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B109F">
      <w:pPr>
        <w:widowControl w:val="0"/>
        <w:numPr>
          <w:ilvl w:val="0"/>
          <w:numId w:val="1"/>
        </w:numPr>
        <w:tabs>
          <w:tab w:val="left" w:pos="1630"/>
        </w:tabs>
        <w:autoSpaceDE w:val="0"/>
        <w:autoSpaceDN w:val="0"/>
        <w:spacing w:line="460" w:lineRule="exact"/>
        <w:ind w:left="8"/>
        <w:jc w:val="center"/>
        <w:outlineLvl w:val="0"/>
        <w:rPr>
          <w:rFonts w:ascii="宋体" w:hAnsi="宋体" w:eastAsia="宋体" w:cs="宋体"/>
          <w:b/>
          <w:bCs/>
          <w:sz w:val="36"/>
          <w:szCs w:val="36"/>
          <w:lang w:val="en-US" w:eastAsia="en-US" w:bidi="ar-SA"/>
        </w:rPr>
      </w:pPr>
      <w:bookmarkStart w:id="0" w:name="_Toc1685"/>
      <w:bookmarkStart w:id="1" w:name="_Toc10273"/>
      <w:r>
        <w:rPr>
          <w:rFonts w:hint="eastAsia" w:ascii="宋体" w:hAnsi="宋体" w:eastAsia="宋体" w:cs="宋体"/>
          <w:b/>
          <w:bCs/>
          <w:sz w:val="36"/>
          <w:szCs w:val="36"/>
          <w:lang w:val="en-US" w:eastAsia="en-US" w:bidi="ar-SA"/>
        </w:rPr>
        <w:t>采购需求</w:t>
      </w:r>
      <w:bookmarkEnd w:id="0"/>
      <w:bookmarkEnd w:id="1"/>
    </w:p>
    <w:p w14:paraId="34A2F654">
      <w:pPr>
        <w:autoSpaceDE w:val="0"/>
        <w:autoSpaceDN w:val="0"/>
        <w:jc w:val="left"/>
        <w:rPr>
          <w:rFonts w:ascii="宋体" w:hAnsi="宋体" w:eastAsia="宋体" w:cs="宋体"/>
          <w:kern w:val="0"/>
          <w:sz w:val="22"/>
          <w:szCs w:val="22"/>
          <w:lang w:eastAsia="en-US"/>
        </w:rPr>
      </w:pPr>
    </w:p>
    <w:p w14:paraId="30FD5059">
      <w:pPr>
        <w:widowControl w:val="0"/>
        <w:autoSpaceDE w:val="0"/>
        <w:autoSpaceDN w:val="0"/>
        <w:spacing w:before="1"/>
        <w:ind w:left="121"/>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5CB0003E">
      <w:pPr>
        <w:widowControl w:val="0"/>
        <w:tabs>
          <w:tab w:val="left" w:pos="470"/>
          <w:tab w:val="left" w:pos="7040"/>
        </w:tabs>
        <w:autoSpaceDE w:val="0"/>
        <w:autoSpaceDN w:val="0"/>
        <w:spacing w:before="154" w:line="338" w:lineRule="auto"/>
        <w:ind w:left="121" w:right="1830" w:firstLine="269" w:firstLineChars="100"/>
        <w:rPr>
          <w:rFonts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采购标的（需求一览表）</w:t>
      </w:r>
    </w:p>
    <w:tbl>
      <w:tblPr>
        <w:tblStyle w:val="2"/>
        <w:tblW w:w="7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143"/>
      </w:tblGrid>
      <w:tr w14:paraId="2C0B0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14:paraId="376460EF">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包号</w:t>
            </w:r>
          </w:p>
        </w:tc>
        <w:tc>
          <w:tcPr>
            <w:tcW w:w="2914" w:type="dxa"/>
            <w:vAlign w:val="center"/>
          </w:tcPr>
          <w:p w14:paraId="194224AA">
            <w:pPr>
              <w:widowControl w:val="0"/>
              <w:autoSpaceDE w:val="0"/>
              <w:autoSpaceDN w:val="0"/>
              <w:jc w:val="center"/>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标的名称</w:t>
            </w:r>
          </w:p>
        </w:tc>
        <w:tc>
          <w:tcPr>
            <w:tcW w:w="1559" w:type="dxa"/>
            <w:vAlign w:val="center"/>
          </w:tcPr>
          <w:p w14:paraId="443ADF74">
            <w:pPr>
              <w:widowControl w:val="0"/>
              <w:autoSpaceDE w:val="0"/>
              <w:autoSpaceDN w:val="0"/>
              <w:jc w:val="center"/>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en-US" w:bidi="ar-SA"/>
              </w:rPr>
              <w:t>数量</w:t>
            </w:r>
          </w:p>
        </w:tc>
        <w:tc>
          <w:tcPr>
            <w:tcW w:w="2143" w:type="dxa"/>
            <w:vAlign w:val="center"/>
          </w:tcPr>
          <w:p w14:paraId="66C0E87C">
            <w:pPr>
              <w:widowControl w:val="0"/>
              <w:autoSpaceDE w:val="0"/>
              <w:autoSpaceDN w:val="0"/>
              <w:jc w:val="center"/>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zh-CN" w:bidi="ar-SA"/>
              </w:rPr>
              <w:t>服务期限</w:t>
            </w:r>
          </w:p>
        </w:tc>
      </w:tr>
      <w:tr w14:paraId="07840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543659E7">
            <w:pPr>
              <w:widowControl w:val="0"/>
              <w:autoSpaceDE w:val="0"/>
              <w:autoSpaceDN w:val="0"/>
              <w:jc w:val="center"/>
              <w:rPr>
                <w:rFonts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w:t>
            </w:r>
          </w:p>
        </w:tc>
        <w:tc>
          <w:tcPr>
            <w:tcW w:w="2914" w:type="dxa"/>
            <w:vAlign w:val="center"/>
          </w:tcPr>
          <w:p w14:paraId="3FD435F2">
            <w:pPr>
              <w:widowControl/>
              <w:autoSpaceDE w:val="0"/>
              <w:autoSpaceDN w:val="0"/>
              <w:jc w:val="center"/>
              <w:textAlignment w:val="center"/>
              <w:rPr>
                <w:rFonts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医用气体供应服务</w:t>
            </w:r>
          </w:p>
        </w:tc>
        <w:tc>
          <w:tcPr>
            <w:tcW w:w="1559" w:type="dxa"/>
            <w:vAlign w:val="center"/>
          </w:tcPr>
          <w:p w14:paraId="6D3C5886">
            <w:pPr>
              <w:widowControl/>
              <w:autoSpaceDE w:val="0"/>
              <w:autoSpaceDN w:val="0"/>
              <w:jc w:val="center"/>
              <w:textAlignment w:val="center"/>
              <w:rPr>
                <w:rFonts w:ascii="宋体" w:hAnsi="宋体" w:eastAsia="宋体" w:cs="宋体"/>
                <w:kern w:val="0"/>
                <w:sz w:val="24"/>
                <w:szCs w:val="24"/>
                <w:lang w:eastAsia="zh-CN"/>
              </w:rPr>
            </w:pPr>
            <w:r>
              <w:rPr>
                <w:rFonts w:hint="eastAsia" w:ascii="宋体" w:hAnsi="宋体" w:eastAsia="宋体" w:cs="宋体"/>
                <w:kern w:val="0"/>
                <w:sz w:val="24"/>
                <w:szCs w:val="24"/>
                <w:lang w:eastAsia="zh-CN"/>
              </w:rPr>
              <w:t>1项</w:t>
            </w:r>
          </w:p>
        </w:tc>
        <w:tc>
          <w:tcPr>
            <w:tcW w:w="2143" w:type="dxa"/>
            <w:vAlign w:val="center"/>
          </w:tcPr>
          <w:p w14:paraId="7030F785">
            <w:pPr>
              <w:widowControl/>
              <w:autoSpaceDE w:val="0"/>
              <w:autoSpaceDN w:val="0"/>
              <w:jc w:val="center"/>
              <w:textAlignment w:val="center"/>
              <w:rPr>
                <w:rFonts w:ascii="宋体" w:hAnsi="宋体" w:eastAsia="宋体" w:cs="宋体"/>
                <w:kern w:val="0"/>
                <w:sz w:val="24"/>
                <w:szCs w:val="24"/>
                <w:lang w:eastAsia="zh-CN" w:bidi="ar"/>
              </w:rPr>
            </w:pPr>
            <w:r>
              <w:rPr>
                <w:rFonts w:hint="eastAsia" w:ascii="宋体" w:hAnsi="宋体" w:eastAsia="宋体" w:cs="宋体"/>
                <w:kern w:val="0"/>
                <w:sz w:val="24"/>
                <w:szCs w:val="24"/>
                <w:lang w:val="en-US" w:eastAsia="zh-CN" w:bidi="ar"/>
              </w:rPr>
              <w:t>3</w:t>
            </w:r>
            <w:r>
              <w:rPr>
                <w:rFonts w:hint="eastAsia" w:ascii="宋体" w:hAnsi="宋体" w:eastAsia="宋体" w:cs="宋体"/>
                <w:kern w:val="0"/>
                <w:sz w:val="24"/>
                <w:szCs w:val="24"/>
                <w:lang w:eastAsia="zh-CN" w:bidi="ar"/>
              </w:rPr>
              <w:t>年</w:t>
            </w:r>
          </w:p>
        </w:tc>
      </w:tr>
    </w:tbl>
    <w:p w14:paraId="37FAD9A6">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48D3AE41">
      <w:pPr>
        <w:widowControl w:val="0"/>
        <w:tabs>
          <w:tab w:val="left" w:pos="1197"/>
        </w:tabs>
        <w:autoSpaceDE w:val="0"/>
        <w:autoSpaceDN w:val="0"/>
        <w:spacing w:before="0" w:line="486" w:lineRule="exact"/>
        <w:ind w:left="0" w:right="233" w:firstLine="0"/>
        <w:jc w:val="both"/>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07E04F93">
      <w:pPr>
        <w:widowControl w:val="0"/>
        <w:tabs>
          <w:tab w:val="left" w:pos="1197"/>
        </w:tabs>
        <w:autoSpaceDE w:val="0"/>
        <w:autoSpaceDN w:val="0"/>
        <w:spacing w:before="0" w:line="486" w:lineRule="exact"/>
        <w:ind w:left="0" w:right="233" w:firstLine="0"/>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1.1服务时间：3年（自合同签订之日起计算），合同一年一签。</w:t>
      </w:r>
    </w:p>
    <w:p w14:paraId="527A0B88">
      <w:pPr>
        <w:widowControl w:val="0"/>
        <w:tabs>
          <w:tab w:val="left" w:pos="1197"/>
        </w:tabs>
        <w:autoSpaceDE w:val="0"/>
        <w:autoSpaceDN w:val="0"/>
        <w:spacing w:before="0" w:line="486" w:lineRule="exact"/>
        <w:ind w:left="0" w:right="233" w:firstLine="0"/>
        <w:jc w:val="both"/>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1.2服务地点：</w:t>
      </w:r>
      <w:r>
        <w:rPr>
          <w:rFonts w:hint="eastAsia" w:ascii="宋体" w:hAnsi="宋体" w:eastAsia="宋体" w:cs="宋体"/>
          <w:color w:val="auto"/>
          <w:sz w:val="24"/>
          <w:szCs w:val="24"/>
          <w:highlight w:val="none"/>
          <w:lang w:val="en-US" w:eastAsia="zh-CN" w:bidi="ar-SA"/>
        </w:rPr>
        <w:t>采购人指定地点</w:t>
      </w:r>
    </w:p>
    <w:p w14:paraId="28E6E166">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2.付款条件（进度和方式）</w:t>
      </w:r>
      <w:r>
        <w:rPr>
          <w:rFonts w:hint="eastAsia" w:ascii="宋体" w:hAnsi="宋体" w:eastAsia="宋体" w:cs="宋体"/>
          <w:sz w:val="24"/>
          <w:szCs w:val="24"/>
          <w:lang w:val="en-US" w:eastAsia="zh-CN" w:bidi="ar-SA"/>
        </w:rPr>
        <w:t>：详见“拟签订的合同文本”。</w:t>
      </w:r>
    </w:p>
    <w:p w14:paraId="3869487C">
      <w:pPr>
        <w:widowControl w:val="0"/>
        <w:tabs>
          <w:tab w:val="left" w:pos="1197"/>
        </w:tabs>
        <w:autoSpaceDE w:val="0"/>
        <w:autoSpaceDN w:val="0"/>
        <w:spacing w:before="0" w:line="486" w:lineRule="exact"/>
        <w:ind w:left="0" w:right="233" w:firstLine="0"/>
        <w:jc w:val="both"/>
        <w:rPr>
          <w:rFonts w:hint="eastAsia"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3.包装和运输：</w:t>
      </w:r>
      <w:r>
        <w:rPr>
          <w:rFonts w:hint="eastAsia" w:ascii="宋体" w:hAnsi="宋体" w:eastAsia="宋体" w:cs="宋体"/>
          <w:sz w:val="24"/>
          <w:szCs w:val="24"/>
          <w:lang w:val="en-US" w:eastAsia="zh-CN" w:bidi="ar-SA"/>
        </w:rPr>
        <w:t>须满足《关于印发〈商品包装政府采购需求标准（试行）〉、〈快递包装政府采购需求标准（试行）〉的通知》（财办库﹝2020﹞123 号）），货物运输符合的相关国际惯例，货物运达所产生的费用由供应商负责。运输途中的货物破损及损失风险由供应商承担，供应商承担运</w:t>
      </w:r>
      <w:bookmarkStart w:id="2" w:name="_GoBack"/>
      <w:bookmarkEnd w:id="2"/>
      <w:r>
        <w:rPr>
          <w:rFonts w:hint="eastAsia" w:ascii="宋体" w:hAnsi="宋体" w:eastAsia="宋体" w:cs="宋体"/>
          <w:sz w:val="24"/>
          <w:szCs w:val="24"/>
          <w:lang w:val="en-US" w:eastAsia="zh-CN" w:bidi="ar-SA"/>
        </w:rPr>
        <w:t>费。</w:t>
      </w:r>
    </w:p>
    <w:p w14:paraId="57F11719">
      <w:pPr>
        <w:widowControl w:val="0"/>
        <w:tabs>
          <w:tab w:val="left" w:pos="470"/>
        </w:tabs>
        <w:autoSpaceDE w:val="0"/>
        <w:autoSpaceDN w:val="0"/>
        <w:spacing w:before="0" w:line="486" w:lineRule="exact"/>
        <w:ind w:left="0" w:right="7155"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三、技术要求</w:t>
      </w:r>
    </w:p>
    <w:p w14:paraId="04938616">
      <w:pPr>
        <w:autoSpaceDE w:val="0"/>
        <w:autoSpaceDN w:val="0"/>
        <w:spacing w:line="486" w:lineRule="exact"/>
        <w:ind w:firstLine="241" w:firstLineChars="100"/>
        <w:contextualSpacing/>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1. 基本要求</w:t>
      </w:r>
    </w:p>
    <w:p w14:paraId="78387822">
      <w:pPr>
        <w:autoSpaceDE w:val="0"/>
        <w:autoSpaceDN w:val="0"/>
        <w:spacing w:line="486" w:lineRule="exact"/>
        <w:ind w:firstLine="241" w:firstLineChars="100"/>
        <w:contextualSpacing/>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1.1 采购标的需实现的功能或者目标</w:t>
      </w:r>
    </w:p>
    <w:p w14:paraId="361A6831">
      <w:pPr>
        <w:autoSpaceDE w:val="0"/>
        <w:autoSpaceDN w:val="0"/>
        <w:adjustRightInd w:val="0"/>
        <w:spacing w:line="486" w:lineRule="exact"/>
        <w:ind w:firstLine="480" w:firstLineChars="2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本次招标采购是为北京小汤山医院提供</w:t>
      </w:r>
      <w:r>
        <w:rPr>
          <w:rFonts w:hint="eastAsia" w:ascii="宋体" w:hAnsi="宋体" w:eastAsia="宋体" w:cs="宋体"/>
          <w:kern w:val="0"/>
          <w:sz w:val="24"/>
          <w:szCs w:val="24"/>
          <w:highlight w:val="none"/>
          <w:lang w:eastAsia="zh-CN"/>
        </w:rPr>
        <w:t>医用气体供应</w:t>
      </w:r>
      <w:r>
        <w:rPr>
          <w:rFonts w:hint="eastAsia" w:ascii="宋体" w:hAnsi="宋体" w:eastAsia="宋体" w:cs="宋体"/>
          <w:kern w:val="0"/>
          <w:sz w:val="24"/>
          <w:szCs w:val="24"/>
          <w:lang w:eastAsia="zh-CN"/>
        </w:rPr>
        <w:t>服务，供应商应根据招标文件所提出的技术规格和服务要求，以先进的技术、优良的服务和优惠的价格，充分显示自己的竞争实力。</w:t>
      </w:r>
    </w:p>
    <w:p w14:paraId="3DBBB662">
      <w:pPr>
        <w:autoSpaceDE w:val="0"/>
        <w:autoSpaceDN w:val="0"/>
        <w:spacing w:line="486" w:lineRule="exact"/>
        <w:ind w:firstLine="241" w:firstLineChars="100"/>
        <w:contextualSpacing/>
        <w:jc w:val="left"/>
        <w:rPr>
          <w:rFonts w:ascii="宋体" w:hAnsi="宋体" w:eastAsia="宋体" w:cs="宋体"/>
          <w:kern w:val="0"/>
          <w:sz w:val="24"/>
          <w:szCs w:val="24"/>
          <w:lang w:eastAsia="zh-CN"/>
        </w:rPr>
      </w:pPr>
      <w:r>
        <w:rPr>
          <w:rFonts w:hint="eastAsia" w:ascii="宋体" w:hAnsi="宋体" w:eastAsia="宋体" w:cs="宋体"/>
          <w:b/>
          <w:bCs/>
          <w:kern w:val="0"/>
          <w:sz w:val="24"/>
          <w:szCs w:val="24"/>
          <w:lang w:eastAsia="zh-CN"/>
        </w:rPr>
        <w:t>1.2 需执行的国家相关标准、行业标准、地方标准或者其他标准、规范</w:t>
      </w:r>
    </w:p>
    <w:p w14:paraId="6D205A4F">
      <w:pPr>
        <w:autoSpaceDE w:val="0"/>
        <w:autoSpaceDN w:val="0"/>
        <w:spacing w:line="486" w:lineRule="exact"/>
        <w:ind w:firstLine="240" w:firstLineChars="100"/>
        <w:contextualSpacing/>
        <w:jc w:val="left"/>
        <w:rPr>
          <w:rFonts w:ascii="宋体" w:hAnsi="宋体" w:eastAsia="宋体" w:cs="宋体"/>
          <w:kern w:val="0"/>
          <w:sz w:val="24"/>
          <w:szCs w:val="24"/>
          <w:lang w:eastAsia="zh-CN"/>
        </w:rPr>
      </w:pPr>
      <w:r>
        <w:rPr>
          <w:rFonts w:hint="eastAsia" w:ascii="宋体" w:hAnsi="宋体" w:eastAsia="宋体" w:cs="宋体"/>
          <w:kern w:val="0"/>
          <w:sz w:val="24"/>
          <w:szCs w:val="24"/>
          <w:lang w:val="en-US" w:eastAsia="zh-CN"/>
        </w:rPr>
        <w:t>1）医用液态氧应符合《中华人民共和国药典》二部 2020 年版的标准。</w:t>
      </w:r>
    </w:p>
    <w:p w14:paraId="4BFA44C6">
      <w:pPr>
        <w:autoSpaceDE w:val="0"/>
        <w:autoSpaceDN w:val="0"/>
        <w:spacing w:line="486" w:lineRule="exact"/>
        <w:ind w:firstLine="240" w:firstLineChars="100"/>
        <w:contextualSpacing/>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lang w:val="en-US" w:eastAsia="zh-CN"/>
        </w:rPr>
        <w:t>2）投标产品及制造商应符合国家有关部门规定的相应技术、计量、节能、安全和环保法规及标准，如国家有关部门对投标产品或其制造商有强制性规定或要求的，投标产</w:t>
      </w:r>
      <w:r>
        <w:rPr>
          <w:rFonts w:hint="eastAsia" w:ascii="宋体" w:hAnsi="宋体" w:eastAsia="宋体" w:cs="宋体"/>
          <w:kern w:val="0"/>
          <w:sz w:val="24"/>
          <w:szCs w:val="24"/>
          <w:highlight w:val="none"/>
          <w:lang w:val="en-US" w:eastAsia="zh-CN"/>
        </w:rPr>
        <w:t>品或其制造商必须符合相应规定或要求，投标人须提供相关证明文件的复印件。</w:t>
      </w:r>
    </w:p>
    <w:p w14:paraId="14C73BC7">
      <w:pPr>
        <w:autoSpaceDE w:val="0"/>
        <w:autoSpaceDN w:val="0"/>
        <w:spacing w:line="486" w:lineRule="exact"/>
        <w:ind w:firstLine="240" w:firstLineChars="100"/>
        <w:contextualSpacing/>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3）</w:t>
      </w:r>
      <w:r>
        <w:rPr>
          <w:rFonts w:hint="eastAsia" w:ascii="宋体" w:hAnsi="宋体" w:eastAsia="宋体" w:cs="宋体"/>
          <w:kern w:val="0"/>
          <w:sz w:val="24"/>
          <w:szCs w:val="22"/>
          <w:highlight w:val="none"/>
          <w:lang w:val="en-US" w:eastAsia="zh-CN"/>
        </w:rPr>
        <w:t>投标人须具备有效期内的《特种设备检验检测机构核准证》（检定工作必须包含无缝气瓶）。</w:t>
      </w:r>
      <w:r>
        <w:rPr>
          <w:rFonts w:hint="eastAsia" w:ascii="宋体" w:hAnsi="宋体" w:eastAsia="宋体" w:cs="宋体"/>
          <w:color w:val="auto"/>
          <w:kern w:val="0"/>
          <w:sz w:val="24"/>
          <w:szCs w:val="22"/>
          <w:highlight w:val="none"/>
          <w:lang w:eastAsia="zh-CN"/>
        </w:rPr>
        <w:t>若委托第三方单位</w:t>
      </w:r>
      <w:r>
        <w:rPr>
          <w:rFonts w:hint="eastAsia" w:ascii="宋体" w:hAnsi="宋体" w:eastAsia="宋体" w:cs="宋体"/>
          <w:color w:val="auto"/>
          <w:kern w:val="0"/>
          <w:sz w:val="24"/>
          <w:szCs w:val="22"/>
          <w:highlight w:val="none"/>
          <w:lang w:val="en-US" w:eastAsia="zh-CN"/>
        </w:rPr>
        <w:t>检测</w:t>
      </w:r>
      <w:r>
        <w:rPr>
          <w:rFonts w:hint="eastAsia" w:ascii="宋体" w:hAnsi="宋体" w:eastAsia="宋体" w:cs="宋体"/>
          <w:color w:val="auto"/>
          <w:kern w:val="0"/>
          <w:sz w:val="24"/>
          <w:szCs w:val="22"/>
          <w:highlight w:val="none"/>
          <w:lang w:eastAsia="zh-CN"/>
        </w:rPr>
        <w:t>的，须提供第三方合作单位相应的</w:t>
      </w:r>
      <w:r>
        <w:rPr>
          <w:rFonts w:hint="eastAsia" w:ascii="宋体" w:hAnsi="宋体" w:eastAsia="宋体" w:cs="宋体"/>
          <w:color w:val="auto"/>
          <w:kern w:val="0"/>
          <w:sz w:val="24"/>
          <w:szCs w:val="22"/>
          <w:highlight w:val="none"/>
          <w:lang w:val="en-US" w:eastAsia="zh-CN"/>
        </w:rPr>
        <w:t>《特种设备检验检测机构核准证》（检定工作必须包含无缝气瓶）</w:t>
      </w:r>
      <w:r>
        <w:rPr>
          <w:rFonts w:hint="eastAsia" w:ascii="宋体" w:hAnsi="宋体" w:eastAsia="宋体" w:cs="宋体"/>
          <w:color w:val="auto"/>
          <w:kern w:val="0"/>
          <w:sz w:val="24"/>
          <w:szCs w:val="22"/>
          <w:highlight w:val="none"/>
          <w:lang w:eastAsia="zh-CN"/>
        </w:rPr>
        <w:t>以及委托第三方合作单位</w:t>
      </w:r>
      <w:r>
        <w:rPr>
          <w:rFonts w:hint="eastAsia" w:ascii="宋体" w:hAnsi="宋体" w:eastAsia="宋体" w:cs="宋体"/>
          <w:color w:val="auto"/>
          <w:kern w:val="0"/>
          <w:sz w:val="24"/>
          <w:szCs w:val="22"/>
          <w:highlight w:val="none"/>
          <w:lang w:val="en-US" w:eastAsia="zh-CN"/>
        </w:rPr>
        <w:t>检测</w:t>
      </w:r>
      <w:r>
        <w:rPr>
          <w:rFonts w:hint="eastAsia" w:ascii="宋体" w:hAnsi="宋体" w:eastAsia="宋体" w:cs="宋体"/>
          <w:color w:val="auto"/>
          <w:kern w:val="0"/>
          <w:sz w:val="24"/>
          <w:szCs w:val="22"/>
          <w:highlight w:val="none"/>
          <w:lang w:eastAsia="zh-CN"/>
        </w:rPr>
        <w:t>的有效合同（合同有效期应可覆盖本项目服务期）。</w:t>
      </w:r>
    </w:p>
    <w:p w14:paraId="4A11C6CA">
      <w:pPr>
        <w:autoSpaceDE w:val="0"/>
        <w:autoSpaceDN w:val="0"/>
        <w:spacing w:line="486" w:lineRule="exact"/>
        <w:ind w:firstLine="241" w:firstLineChars="100"/>
        <w:contextualSpacing/>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2.服务内容及要求</w:t>
      </w:r>
    </w:p>
    <w:p w14:paraId="7B53327C">
      <w:pPr>
        <w:widowControl/>
        <w:autoSpaceDE w:val="0"/>
        <w:autoSpaceDN w:val="0"/>
        <w:spacing w:line="486" w:lineRule="exact"/>
        <w:ind w:left="-1" w:firstLine="241" w:firstLineChars="100"/>
        <w:contextualSpacing/>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2.1 采购标的需满足的质量、安全、技术规格、物理特性等要求；</w:t>
      </w:r>
    </w:p>
    <w:p w14:paraId="54DDA4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rPr>
      </w:pPr>
      <w:r>
        <w:rPr>
          <w:rFonts w:hint="eastAsia" w:ascii="宋体" w:hAnsi="宋体" w:eastAsia="宋体" w:cs="宋体"/>
          <w:b w:val="0"/>
          <w:bCs w:val="0"/>
          <w:color w:val="000000"/>
          <w:kern w:val="0"/>
          <w:sz w:val="24"/>
          <w:szCs w:val="24"/>
          <w:highlight w:val="none"/>
          <w:lang w:val="en-US" w:eastAsia="zh-CN"/>
        </w:rPr>
        <w:t>（一）采购品类、规格及预估用量</w:t>
      </w:r>
    </w:p>
    <w:p w14:paraId="3590E0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rPr>
      </w:pPr>
      <w:r>
        <w:rPr>
          <w:rFonts w:hint="eastAsia" w:ascii="宋体" w:hAnsi="宋体" w:eastAsia="宋体" w:cs="宋体"/>
          <w:b w:val="0"/>
          <w:bCs w:val="0"/>
          <w:color w:val="000000"/>
          <w:kern w:val="0"/>
          <w:sz w:val="24"/>
          <w:szCs w:val="24"/>
          <w:highlight w:val="none"/>
          <w:lang w:val="en-US" w:eastAsia="zh-CN"/>
        </w:rPr>
        <w:t>包括液氧、医用氧（40L）、高纯二氧化碳等5类气体，提供供应及气瓶托管服务。</w:t>
      </w:r>
    </w:p>
    <w:tbl>
      <w:tblPr>
        <w:tblStyle w:val="2"/>
        <w:tblW w:w="9061"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745"/>
        <w:gridCol w:w="1821"/>
        <w:gridCol w:w="790"/>
        <w:gridCol w:w="2657"/>
        <w:gridCol w:w="1216"/>
        <w:gridCol w:w="1832"/>
      </w:tblGrid>
      <w:tr w14:paraId="4D0B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Header/>
          <w:tblCellSpacing w:w="0" w:type="dxa"/>
          <w:jc w:val="center"/>
        </w:trPr>
        <w:tc>
          <w:tcPr>
            <w:tcW w:w="745" w:type="dxa"/>
            <w:shd w:val="clear" w:color="auto" w:fill="auto"/>
            <w:tcMar>
              <w:left w:w="108" w:type="dxa"/>
              <w:right w:w="108" w:type="dxa"/>
            </w:tcMar>
            <w:vAlign w:val="center"/>
          </w:tcPr>
          <w:p w14:paraId="1790E2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sz w:val="24"/>
                <w:szCs w:val="24"/>
                <w:lang w:val="en-US" w:eastAsia="en-US" w:bidi="ar-SA"/>
              </w:rPr>
            </w:pPr>
            <w:r>
              <w:rPr>
                <w:rFonts w:hint="eastAsia" w:ascii="宋体" w:hAnsi="宋体" w:eastAsia="宋体" w:cs="宋体"/>
                <w:b/>
                <w:color w:val="000000"/>
                <w:sz w:val="24"/>
                <w:szCs w:val="24"/>
                <w:lang w:val="en-US" w:eastAsia="en-US" w:bidi="ar-SA"/>
              </w:rPr>
              <w:t>序号</w:t>
            </w:r>
          </w:p>
        </w:tc>
        <w:tc>
          <w:tcPr>
            <w:tcW w:w="1821" w:type="dxa"/>
            <w:shd w:val="clear" w:color="auto" w:fill="auto"/>
            <w:tcMar>
              <w:left w:w="108" w:type="dxa"/>
              <w:right w:w="108" w:type="dxa"/>
            </w:tcMar>
            <w:vAlign w:val="center"/>
          </w:tcPr>
          <w:p w14:paraId="757C66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sz w:val="24"/>
                <w:szCs w:val="24"/>
                <w:lang w:val="en-US" w:eastAsia="en-US" w:bidi="ar-SA"/>
              </w:rPr>
            </w:pPr>
            <w:r>
              <w:rPr>
                <w:rFonts w:hint="eastAsia" w:ascii="宋体" w:hAnsi="宋体" w:eastAsia="宋体" w:cs="宋体"/>
                <w:b/>
                <w:color w:val="000000"/>
                <w:sz w:val="24"/>
                <w:szCs w:val="24"/>
                <w:lang w:val="en-US" w:eastAsia="en-US" w:bidi="ar-SA"/>
              </w:rPr>
              <w:t>标的名称</w:t>
            </w:r>
          </w:p>
        </w:tc>
        <w:tc>
          <w:tcPr>
            <w:tcW w:w="790" w:type="dxa"/>
            <w:shd w:val="clear" w:color="auto" w:fill="auto"/>
            <w:tcMar>
              <w:left w:w="108" w:type="dxa"/>
              <w:right w:w="108" w:type="dxa"/>
            </w:tcMar>
            <w:vAlign w:val="center"/>
          </w:tcPr>
          <w:p w14:paraId="2AE7BA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sz w:val="24"/>
                <w:szCs w:val="24"/>
                <w:lang w:val="en-US" w:eastAsia="en-US" w:bidi="ar-SA"/>
              </w:rPr>
            </w:pPr>
            <w:r>
              <w:rPr>
                <w:rFonts w:hint="eastAsia" w:ascii="宋体" w:hAnsi="宋体" w:eastAsia="宋体" w:cs="宋体"/>
                <w:b/>
                <w:color w:val="000000"/>
                <w:sz w:val="24"/>
                <w:szCs w:val="24"/>
                <w:lang w:val="en-US" w:eastAsia="en-US" w:bidi="ar-SA"/>
              </w:rPr>
              <w:t>规格</w:t>
            </w:r>
          </w:p>
        </w:tc>
        <w:tc>
          <w:tcPr>
            <w:tcW w:w="2657" w:type="dxa"/>
            <w:shd w:val="clear" w:color="auto" w:fill="auto"/>
            <w:tcMar>
              <w:left w:w="108" w:type="dxa"/>
              <w:right w:w="108" w:type="dxa"/>
            </w:tcMar>
            <w:vAlign w:val="center"/>
          </w:tcPr>
          <w:p w14:paraId="021C693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sz w:val="24"/>
                <w:szCs w:val="24"/>
                <w:lang w:val="en-US" w:eastAsia="en-US" w:bidi="ar-SA"/>
              </w:rPr>
            </w:pPr>
            <w:r>
              <w:rPr>
                <w:rFonts w:hint="eastAsia" w:ascii="宋体" w:hAnsi="宋体" w:eastAsia="宋体" w:cs="宋体"/>
                <w:b/>
                <w:color w:val="000000"/>
                <w:sz w:val="24"/>
                <w:szCs w:val="24"/>
                <w:lang w:val="en-US" w:eastAsia="en-US" w:bidi="ar-SA"/>
              </w:rPr>
              <w:t>纯度</w:t>
            </w:r>
          </w:p>
        </w:tc>
        <w:tc>
          <w:tcPr>
            <w:tcW w:w="1216" w:type="dxa"/>
            <w:shd w:val="clear" w:color="auto" w:fill="auto"/>
            <w:tcMar>
              <w:left w:w="108" w:type="dxa"/>
              <w:right w:w="108" w:type="dxa"/>
            </w:tcMar>
            <w:vAlign w:val="center"/>
          </w:tcPr>
          <w:p w14:paraId="1275968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sz w:val="24"/>
                <w:szCs w:val="24"/>
                <w:lang w:val="en-US" w:eastAsia="zh-CN" w:bidi="ar-SA"/>
              </w:rPr>
            </w:pPr>
            <w:r>
              <w:rPr>
                <w:rFonts w:hint="eastAsia" w:ascii="宋体" w:hAnsi="宋体" w:eastAsia="宋体" w:cs="宋体"/>
                <w:b/>
                <w:bCs/>
                <w:sz w:val="24"/>
                <w:szCs w:val="24"/>
                <w:lang w:val="en-US" w:eastAsia="zh-CN" w:bidi="ar-SA"/>
              </w:rPr>
              <w:t>年预估量</w:t>
            </w:r>
          </w:p>
        </w:tc>
        <w:tc>
          <w:tcPr>
            <w:tcW w:w="1832" w:type="dxa"/>
            <w:shd w:val="clear" w:color="auto" w:fill="auto"/>
            <w:tcMar>
              <w:left w:w="108" w:type="dxa"/>
              <w:right w:w="108" w:type="dxa"/>
            </w:tcMar>
            <w:vAlign w:val="center"/>
          </w:tcPr>
          <w:p w14:paraId="4A9EB1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b/>
                <w:sz w:val="24"/>
                <w:szCs w:val="24"/>
                <w:lang w:val="en-US" w:eastAsia="zh-CN" w:bidi="ar-SA"/>
              </w:rPr>
            </w:pPr>
            <w:r>
              <w:rPr>
                <w:rFonts w:hint="eastAsia" w:ascii="宋体" w:hAnsi="宋体" w:eastAsia="宋体" w:cs="宋体"/>
                <w:b/>
                <w:color w:val="000000"/>
                <w:sz w:val="24"/>
                <w:szCs w:val="24"/>
                <w:lang w:val="en-US" w:eastAsia="zh-CN" w:bidi="ar-SA"/>
              </w:rPr>
              <w:t>单价最高限价</w:t>
            </w:r>
          </w:p>
        </w:tc>
      </w:tr>
      <w:tr w14:paraId="537C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745" w:type="dxa"/>
            <w:shd w:val="clear" w:color="auto" w:fill="auto"/>
            <w:tcMar>
              <w:left w:w="108" w:type="dxa"/>
              <w:right w:w="108" w:type="dxa"/>
            </w:tcMar>
            <w:vAlign w:val="center"/>
          </w:tcPr>
          <w:p w14:paraId="56C278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w:t>
            </w:r>
          </w:p>
        </w:tc>
        <w:tc>
          <w:tcPr>
            <w:tcW w:w="1821" w:type="dxa"/>
            <w:shd w:val="clear" w:color="auto" w:fill="auto"/>
            <w:tcMar>
              <w:left w:w="108" w:type="dxa"/>
              <w:right w:w="108" w:type="dxa"/>
            </w:tcMar>
            <w:vAlign w:val="center"/>
          </w:tcPr>
          <w:p w14:paraId="2A6F3C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液氧</w:t>
            </w:r>
          </w:p>
        </w:tc>
        <w:tc>
          <w:tcPr>
            <w:tcW w:w="790" w:type="dxa"/>
            <w:shd w:val="clear" w:color="auto" w:fill="auto"/>
            <w:tcMar>
              <w:left w:w="108" w:type="dxa"/>
              <w:right w:w="108" w:type="dxa"/>
            </w:tcMar>
            <w:vAlign w:val="center"/>
          </w:tcPr>
          <w:p w14:paraId="02FEA9F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w:t>
            </w:r>
          </w:p>
        </w:tc>
        <w:tc>
          <w:tcPr>
            <w:tcW w:w="2657" w:type="dxa"/>
            <w:shd w:val="clear" w:color="auto" w:fill="auto"/>
            <w:tcMar>
              <w:left w:w="108" w:type="dxa"/>
              <w:right w:w="108" w:type="dxa"/>
            </w:tcMar>
            <w:vAlign w:val="center"/>
          </w:tcPr>
          <w:p w14:paraId="3C245B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≥99.5%</w:t>
            </w:r>
          </w:p>
        </w:tc>
        <w:tc>
          <w:tcPr>
            <w:tcW w:w="1216" w:type="dxa"/>
            <w:shd w:val="clear" w:color="auto" w:fill="auto"/>
            <w:tcMar>
              <w:left w:w="108" w:type="dxa"/>
              <w:right w:w="108" w:type="dxa"/>
            </w:tcMar>
            <w:vAlign w:val="center"/>
          </w:tcPr>
          <w:p w14:paraId="5570C1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240吨</w:t>
            </w:r>
          </w:p>
        </w:tc>
        <w:tc>
          <w:tcPr>
            <w:tcW w:w="1832" w:type="dxa"/>
            <w:shd w:val="clear" w:color="auto" w:fill="auto"/>
            <w:tcMar>
              <w:left w:w="108" w:type="dxa"/>
              <w:right w:w="108" w:type="dxa"/>
            </w:tcMar>
            <w:vAlign w:val="center"/>
          </w:tcPr>
          <w:p w14:paraId="22F0624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1600元/吨</w:t>
            </w:r>
          </w:p>
        </w:tc>
      </w:tr>
      <w:tr w14:paraId="03AF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745" w:type="dxa"/>
            <w:shd w:val="clear" w:color="auto" w:fill="auto"/>
            <w:tcMar>
              <w:left w:w="108" w:type="dxa"/>
              <w:right w:w="108" w:type="dxa"/>
            </w:tcMar>
            <w:vAlign w:val="center"/>
          </w:tcPr>
          <w:p w14:paraId="559554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2</w:t>
            </w:r>
          </w:p>
        </w:tc>
        <w:tc>
          <w:tcPr>
            <w:tcW w:w="1821" w:type="dxa"/>
            <w:shd w:val="clear" w:color="auto" w:fill="auto"/>
            <w:tcMar>
              <w:left w:w="108" w:type="dxa"/>
              <w:right w:w="108" w:type="dxa"/>
            </w:tcMar>
            <w:vAlign w:val="center"/>
          </w:tcPr>
          <w:p w14:paraId="0734246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医用氧</w:t>
            </w:r>
          </w:p>
        </w:tc>
        <w:tc>
          <w:tcPr>
            <w:tcW w:w="790" w:type="dxa"/>
            <w:shd w:val="clear" w:color="auto" w:fill="auto"/>
            <w:tcMar>
              <w:left w:w="108" w:type="dxa"/>
              <w:right w:w="108" w:type="dxa"/>
            </w:tcMar>
            <w:vAlign w:val="center"/>
          </w:tcPr>
          <w:p w14:paraId="6163E8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40L</w:t>
            </w:r>
          </w:p>
        </w:tc>
        <w:tc>
          <w:tcPr>
            <w:tcW w:w="2657" w:type="dxa"/>
            <w:shd w:val="clear" w:color="auto" w:fill="auto"/>
            <w:tcMar>
              <w:left w:w="108" w:type="dxa"/>
              <w:right w:w="108" w:type="dxa"/>
            </w:tcMar>
            <w:vAlign w:val="center"/>
          </w:tcPr>
          <w:p w14:paraId="07DF79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≥99.5%</w:t>
            </w:r>
          </w:p>
        </w:tc>
        <w:tc>
          <w:tcPr>
            <w:tcW w:w="1216" w:type="dxa"/>
            <w:shd w:val="clear" w:color="auto" w:fill="auto"/>
            <w:tcMar>
              <w:left w:w="108" w:type="dxa"/>
              <w:right w:w="108" w:type="dxa"/>
            </w:tcMar>
            <w:vAlign w:val="center"/>
          </w:tcPr>
          <w:p w14:paraId="02048C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i w:val="0"/>
                <w:iCs w:val="0"/>
                <w:color w:val="000000"/>
                <w:kern w:val="0"/>
                <w:sz w:val="24"/>
                <w:szCs w:val="24"/>
                <w:u w:val="none"/>
                <w:lang w:val="en-US" w:eastAsia="zh-CN" w:bidi="ar"/>
              </w:rPr>
              <w:t>930瓶</w:t>
            </w:r>
          </w:p>
        </w:tc>
        <w:tc>
          <w:tcPr>
            <w:tcW w:w="1832" w:type="dxa"/>
            <w:shd w:val="clear" w:color="auto" w:fill="auto"/>
            <w:tcMar>
              <w:left w:w="108" w:type="dxa"/>
              <w:right w:w="108" w:type="dxa"/>
            </w:tcMar>
            <w:vAlign w:val="center"/>
          </w:tcPr>
          <w:p w14:paraId="6B5F0D2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50元/瓶</w:t>
            </w:r>
          </w:p>
        </w:tc>
      </w:tr>
      <w:tr w14:paraId="21CF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745" w:type="dxa"/>
            <w:shd w:val="clear" w:color="auto" w:fill="auto"/>
            <w:tcMar>
              <w:left w:w="108" w:type="dxa"/>
              <w:right w:w="108" w:type="dxa"/>
            </w:tcMar>
            <w:vAlign w:val="center"/>
          </w:tcPr>
          <w:p w14:paraId="73FB69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3</w:t>
            </w:r>
          </w:p>
        </w:tc>
        <w:tc>
          <w:tcPr>
            <w:tcW w:w="1821" w:type="dxa"/>
            <w:shd w:val="clear" w:color="auto" w:fill="auto"/>
            <w:tcMar>
              <w:left w:w="108" w:type="dxa"/>
              <w:right w:w="108" w:type="dxa"/>
            </w:tcMar>
            <w:vAlign w:val="center"/>
          </w:tcPr>
          <w:p w14:paraId="7F949E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液氧桶</w:t>
            </w:r>
          </w:p>
        </w:tc>
        <w:tc>
          <w:tcPr>
            <w:tcW w:w="790" w:type="dxa"/>
            <w:shd w:val="clear" w:color="auto" w:fill="auto"/>
            <w:tcMar>
              <w:left w:w="108" w:type="dxa"/>
              <w:right w:w="108" w:type="dxa"/>
            </w:tcMar>
            <w:vAlign w:val="center"/>
          </w:tcPr>
          <w:p w14:paraId="487FEB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175L</w:t>
            </w:r>
          </w:p>
        </w:tc>
        <w:tc>
          <w:tcPr>
            <w:tcW w:w="2657" w:type="dxa"/>
            <w:shd w:val="clear" w:color="auto" w:fill="auto"/>
            <w:tcMar>
              <w:left w:w="108" w:type="dxa"/>
              <w:right w:w="108" w:type="dxa"/>
            </w:tcMar>
            <w:vAlign w:val="center"/>
          </w:tcPr>
          <w:p w14:paraId="23B48F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≥99.5%</w:t>
            </w:r>
          </w:p>
        </w:tc>
        <w:tc>
          <w:tcPr>
            <w:tcW w:w="1216" w:type="dxa"/>
            <w:shd w:val="clear" w:color="auto" w:fill="auto"/>
            <w:tcMar>
              <w:left w:w="108" w:type="dxa"/>
              <w:right w:w="108" w:type="dxa"/>
            </w:tcMar>
            <w:vAlign w:val="center"/>
          </w:tcPr>
          <w:p w14:paraId="74E987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198桶</w:t>
            </w:r>
          </w:p>
        </w:tc>
        <w:tc>
          <w:tcPr>
            <w:tcW w:w="1832" w:type="dxa"/>
            <w:shd w:val="clear" w:color="auto" w:fill="auto"/>
            <w:tcMar>
              <w:left w:w="108" w:type="dxa"/>
              <w:right w:w="108" w:type="dxa"/>
            </w:tcMar>
            <w:vAlign w:val="center"/>
          </w:tcPr>
          <w:p w14:paraId="1942FE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1000元/桶</w:t>
            </w:r>
          </w:p>
        </w:tc>
      </w:tr>
      <w:tr w14:paraId="4135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745" w:type="dxa"/>
            <w:shd w:val="clear" w:color="auto" w:fill="auto"/>
            <w:tcMar>
              <w:left w:w="108" w:type="dxa"/>
              <w:right w:w="108" w:type="dxa"/>
            </w:tcMar>
            <w:vAlign w:val="center"/>
          </w:tcPr>
          <w:p w14:paraId="7B618D1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4</w:t>
            </w:r>
          </w:p>
        </w:tc>
        <w:tc>
          <w:tcPr>
            <w:tcW w:w="1821" w:type="dxa"/>
            <w:shd w:val="clear" w:color="auto" w:fill="auto"/>
            <w:tcMar>
              <w:left w:w="108" w:type="dxa"/>
              <w:right w:w="108" w:type="dxa"/>
            </w:tcMar>
            <w:vAlign w:val="center"/>
          </w:tcPr>
          <w:p w14:paraId="746AE5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高纯二氧化碳</w:t>
            </w:r>
          </w:p>
        </w:tc>
        <w:tc>
          <w:tcPr>
            <w:tcW w:w="790" w:type="dxa"/>
            <w:shd w:val="clear" w:color="auto" w:fill="auto"/>
            <w:tcMar>
              <w:left w:w="108" w:type="dxa"/>
              <w:right w:w="108" w:type="dxa"/>
            </w:tcMar>
            <w:vAlign w:val="center"/>
          </w:tcPr>
          <w:p w14:paraId="61D20A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40L</w:t>
            </w:r>
          </w:p>
        </w:tc>
        <w:tc>
          <w:tcPr>
            <w:tcW w:w="2657" w:type="dxa"/>
            <w:shd w:val="clear" w:color="auto" w:fill="auto"/>
            <w:tcMar>
              <w:left w:w="108" w:type="dxa"/>
              <w:right w:w="108" w:type="dxa"/>
            </w:tcMar>
            <w:vAlign w:val="center"/>
          </w:tcPr>
          <w:p w14:paraId="599673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≥99.999%</w:t>
            </w:r>
          </w:p>
        </w:tc>
        <w:tc>
          <w:tcPr>
            <w:tcW w:w="1216" w:type="dxa"/>
            <w:shd w:val="clear" w:color="auto" w:fill="auto"/>
            <w:tcMar>
              <w:left w:w="108" w:type="dxa"/>
              <w:right w:w="108" w:type="dxa"/>
            </w:tcMar>
            <w:vAlign w:val="center"/>
          </w:tcPr>
          <w:p w14:paraId="44F15B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10瓶</w:t>
            </w:r>
          </w:p>
        </w:tc>
        <w:tc>
          <w:tcPr>
            <w:tcW w:w="1832" w:type="dxa"/>
            <w:shd w:val="clear" w:color="auto" w:fill="auto"/>
            <w:tcMar>
              <w:left w:w="108" w:type="dxa"/>
              <w:right w:w="108" w:type="dxa"/>
            </w:tcMar>
            <w:vAlign w:val="center"/>
          </w:tcPr>
          <w:p w14:paraId="028FA2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1200元/瓶</w:t>
            </w:r>
          </w:p>
        </w:tc>
      </w:tr>
      <w:tr w14:paraId="36F6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745" w:type="dxa"/>
            <w:shd w:val="clear" w:color="auto" w:fill="auto"/>
            <w:tcMar>
              <w:left w:w="108" w:type="dxa"/>
              <w:right w:w="108" w:type="dxa"/>
            </w:tcMar>
            <w:vAlign w:val="center"/>
          </w:tcPr>
          <w:p w14:paraId="4C6EF5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5</w:t>
            </w:r>
          </w:p>
        </w:tc>
        <w:tc>
          <w:tcPr>
            <w:tcW w:w="1821" w:type="dxa"/>
            <w:shd w:val="clear" w:color="auto" w:fill="auto"/>
            <w:tcMar>
              <w:left w:w="108" w:type="dxa"/>
              <w:right w:w="108" w:type="dxa"/>
            </w:tcMar>
            <w:vAlign w:val="center"/>
          </w:tcPr>
          <w:p w14:paraId="6F7573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三元气</w:t>
            </w:r>
          </w:p>
        </w:tc>
        <w:tc>
          <w:tcPr>
            <w:tcW w:w="790" w:type="dxa"/>
            <w:shd w:val="clear" w:color="auto" w:fill="auto"/>
            <w:tcMar>
              <w:left w:w="108" w:type="dxa"/>
              <w:right w:w="108" w:type="dxa"/>
            </w:tcMar>
            <w:vAlign w:val="center"/>
          </w:tcPr>
          <w:p w14:paraId="251882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10L</w:t>
            </w:r>
          </w:p>
        </w:tc>
        <w:tc>
          <w:tcPr>
            <w:tcW w:w="2657" w:type="dxa"/>
            <w:shd w:val="clear" w:color="auto" w:fill="auto"/>
            <w:tcMar>
              <w:left w:w="108" w:type="dxa"/>
              <w:right w:w="108" w:type="dxa"/>
            </w:tcMar>
            <w:vAlign w:val="center"/>
          </w:tcPr>
          <w:p w14:paraId="1FB944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CO2:5%+O2:15%+N2余</w:t>
            </w:r>
          </w:p>
        </w:tc>
        <w:tc>
          <w:tcPr>
            <w:tcW w:w="1216" w:type="dxa"/>
            <w:shd w:val="clear" w:color="auto" w:fill="auto"/>
            <w:tcMar>
              <w:left w:w="108" w:type="dxa"/>
              <w:right w:w="108" w:type="dxa"/>
            </w:tcMar>
            <w:vAlign w:val="center"/>
          </w:tcPr>
          <w:p w14:paraId="529B40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9瓶</w:t>
            </w:r>
          </w:p>
        </w:tc>
        <w:tc>
          <w:tcPr>
            <w:tcW w:w="1832" w:type="dxa"/>
            <w:shd w:val="clear" w:color="auto" w:fill="auto"/>
            <w:tcMar>
              <w:left w:w="108" w:type="dxa"/>
              <w:right w:w="108" w:type="dxa"/>
            </w:tcMar>
            <w:vAlign w:val="center"/>
          </w:tcPr>
          <w:p w14:paraId="01BD52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sz w:val="24"/>
                <w:szCs w:val="24"/>
                <w:lang w:val="en-US" w:eastAsia="en-US" w:bidi="ar-SA"/>
              </w:rPr>
            </w:pPr>
            <w:r>
              <w:rPr>
                <w:rFonts w:hint="eastAsia" w:ascii="宋体" w:hAnsi="宋体" w:eastAsia="宋体" w:cs="宋体"/>
                <w:color w:val="000000"/>
                <w:sz w:val="24"/>
                <w:szCs w:val="24"/>
                <w:lang w:val="en-US" w:eastAsia="en-US" w:bidi="ar-SA"/>
              </w:rPr>
              <w:t>900元/瓶</w:t>
            </w:r>
          </w:p>
        </w:tc>
      </w:tr>
      <w:tr w14:paraId="4C02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54" w:hRule="atLeast"/>
          <w:tblCellSpacing w:w="0" w:type="dxa"/>
          <w:jc w:val="center"/>
        </w:trPr>
        <w:tc>
          <w:tcPr>
            <w:tcW w:w="9061" w:type="dxa"/>
            <w:gridSpan w:val="6"/>
            <w:shd w:val="clear" w:color="auto" w:fill="auto"/>
            <w:tcMar>
              <w:left w:w="108" w:type="dxa"/>
              <w:right w:w="108" w:type="dxa"/>
            </w:tcMar>
            <w:vAlign w:val="center"/>
          </w:tcPr>
          <w:p w14:paraId="3D1741CD">
            <w:pPr>
              <w:keepNext w:val="0"/>
              <w:keepLines w:val="0"/>
              <w:pageBreakBefore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宋体" w:hAnsi="宋体" w:eastAsia="宋体" w:cs="宋体"/>
                <w:color w:val="000000"/>
                <w:kern w:val="0"/>
                <w:sz w:val="24"/>
                <w:szCs w:val="24"/>
                <w:lang w:eastAsia="en-US"/>
              </w:rPr>
            </w:pPr>
            <w:r>
              <w:rPr>
                <w:rFonts w:hint="eastAsia" w:ascii="宋体" w:hAnsi="宋体" w:eastAsia="宋体" w:cs="宋体"/>
                <w:color w:val="auto"/>
                <w:kern w:val="0"/>
                <w:sz w:val="24"/>
                <w:szCs w:val="24"/>
                <w:highlight w:val="none"/>
                <w:lang w:val="en-US" w:eastAsia="zh-CN"/>
              </w:rPr>
              <w:t>注：以上数量为年预估量，后期根据供应商所报单价结合实际使用量进行结算。</w:t>
            </w:r>
          </w:p>
        </w:tc>
      </w:tr>
    </w:tbl>
    <w:p w14:paraId="6E8DFBEA">
      <w:pPr>
        <w:keepNext w:val="0"/>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rPr>
      </w:pPr>
    </w:p>
    <w:p w14:paraId="06677928">
      <w:pPr>
        <w:widowControl w:val="0"/>
        <w:numPr>
          <w:ilvl w:val="0"/>
          <w:numId w:val="0"/>
        </w:numPr>
        <w:autoSpaceDE w:val="0"/>
        <w:autoSpaceDN w:val="0"/>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（二）供货及应急保障</w:t>
      </w:r>
    </w:p>
    <w:p w14:paraId="3E95A7C8">
      <w:pPr>
        <w:numPr>
          <w:ilvl w:val="-1"/>
          <w:numId w:val="0"/>
        </w:numPr>
        <w:autoSpaceDE w:val="0"/>
        <w:autoSpaceDN w:val="0"/>
        <w:spacing w:line="360" w:lineRule="auto"/>
        <w:ind w:left="0" w:leftChars="0"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1.常规供货：采购人提前24小时通知供应商供货，投标人接到采购人订货电话后5小时内将货品送到采购人指定地点。</w:t>
      </w:r>
    </w:p>
    <w:p w14:paraId="5E031C1C">
      <w:pPr>
        <w:autoSpaceDE w:val="0"/>
        <w:autoSpaceDN w:val="0"/>
        <w:spacing w:line="360" w:lineRule="auto"/>
        <w:ind w:left="0" w:leftChars="0" w:firstLine="480" w:firstLineChars="20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2.紧急供货（设备故障、急救用气短缺等）：采购人紧急下单后，供应商≤3小时送达现场；</w:t>
      </w:r>
    </w:p>
    <w:p w14:paraId="0BE3B92F">
      <w:pPr>
        <w:autoSpaceDE w:val="0"/>
        <w:autoSpaceDN w:val="0"/>
        <w:spacing w:line="360" w:lineRule="auto"/>
        <w:ind w:left="0" w:leftChars="0"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color w:val="000000"/>
          <w:kern w:val="2"/>
          <w:sz w:val="24"/>
          <w:szCs w:val="24"/>
          <w:highlight w:val="none"/>
          <w:lang w:val="en-US" w:eastAsia="zh-CN" w:bidi="ar-SA"/>
        </w:rPr>
        <w:t>3.分批按需供货，具体的供货数量、供货日期以采购人实际需要的供应要求为准。</w:t>
      </w:r>
    </w:p>
    <w:p w14:paraId="27C1DEC4">
      <w:pPr>
        <w:widowControl w:val="0"/>
        <w:autoSpaceDE w:val="0"/>
        <w:autoSpaceDN w:val="0"/>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（三）验收及质控</w:t>
      </w:r>
    </w:p>
    <w:p w14:paraId="70121A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1.医用气体气瓶检测费用及气瓶日常维修维护费用，由投标人负责。</w:t>
      </w:r>
    </w:p>
    <w:p w14:paraId="0D1927F6">
      <w:pPr>
        <w:widowControl w:val="0"/>
        <w:autoSpaceDE w:val="0"/>
        <w:autoSpaceDN w:val="0"/>
        <w:spacing w:line="360" w:lineRule="auto"/>
        <w:ind w:left="0"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2.投标人需提供液氧储罐2台，在服务期间供采购人使用，并承担在供气服务期间采购人液氧储罐的维护保养和检测。</w:t>
      </w:r>
    </w:p>
    <w:p w14:paraId="25644133">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3.采购人有权检验和测试货物，以确认货物是否符合合同规格的要求，并且不承担额外的费用。</w:t>
      </w:r>
    </w:p>
    <w:p w14:paraId="062B62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4.验收标准：按照合同规定的产品名称、数量、规格等相关项目进行验收，验收合格后签署书面验收合格报告。</w:t>
      </w:r>
    </w:p>
    <w:p w14:paraId="6CEE22FC">
      <w:pPr>
        <w:autoSpaceDE w:val="0"/>
        <w:autoSpaceDN w:val="0"/>
        <w:spacing w:line="360" w:lineRule="auto"/>
        <w:ind w:firstLine="480" w:firstLineChars="200"/>
        <w:jc w:val="left"/>
        <w:rPr>
          <w:rFonts w:hint="default" w:ascii="宋体" w:hAnsi="宋体" w:eastAsia="宋体" w:cs="宋体"/>
          <w:kern w:val="0"/>
          <w:sz w:val="22"/>
          <w:szCs w:val="22"/>
          <w:lang w:val="en-US" w:eastAsia="zh-CN"/>
        </w:rPr>
      </w:pPr>
      <w:r>
        <w:rPr>
          <w:rFonts w:hint="eastAsia" w:ascii="宋体" w:hAnsi="宋体" w:eastAsia="宋体" w:cs="宋体"/>
          <w:color w:val="000000"/>
          <w:kern w:val="0"/>
          <w:sz w:val="24"/>
          <w:szCs w:val="24"/>
          <w:highlight w:val="none"/>
          <w:lang w:val="en-US" w:eastAsia="zh-CN"/>
        </w:rPr>
        <w:t>5.医用气体气瓶应保障在有效期内，来源可追溯，气瓶配置完好保护帽。装卸应做到轻柔，避免磕碰。</w:t>
      </w:r>
    </w:p>
    <w:p w14:paraId="1EAA18BF">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left"/>
        <w:textAlignment w:val="auto"/>
        <w:rPr>
          <w:rFonts w:ascii="宋体" w:hAnsi="宋体" w:eastAsia="宋体" w:cs="宋体"/>
          <w:kern w:val="0"/>
          <w:sz w:val="22"/>
          <w:szCs w:val="22"/>
          <w:highlight w:val="none"/>
          <w:lang w:eastAsia="en-US"/>
        </w:rPr>
      </w:pPr>
      <w:r>
        <w:rPr>
          <w:rFonts w:hint="eastAsia" w:ascii="宋体" w:hAnsi="宋体" w:eastAsia="宋体" w:cs="宋体"/>
          <w:color w:val="000000"/>
          <w:kern w:val="0"/>
          <w:sz w:val="24"/>
          <w:szCs w:val="24"/>
          <w:highlight w:val="none"/>
          <w:lang w:val="en-US" w:eastAsia="zh-CN" w:bidi="ar"/>
        </w:rPr>
        <w:t>6.年预估量仅为每年预估采购数量，具体采购数量以实际发生为准并进行结算（响应单价*实际采购数量）。供应商报价不得超过单价最高限价。总报价不作为最终合同金额，按实际采购量进行结算，总结算金额不超过采购预算。</w:t>
      </w:r>
    </w:p>
    <w:p w14:paraId="2BA3DF8A">
      <w:pPr>
        <w:widowControl/>
        <w:autoSpaceDE w:val="0"/>
        <w:autoSpaceDN w:val="0"/>
        <w:spacing w:line="486" w:lineRule="exact"/>
        <w:ind w:firstLine="241" w:firstLineChars="100"/>
        <w:contextualSpacing/>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2.2 采购标的需满足的服务标准、期限、效率等要求；</w:t>
      </w:r>
    </w:p>
    <w:p w14:paraId="3D287C72">
      <w:pPr>
        <w:tabs>
          <w:tab w:val="left" w:pos="900"/>
        </w:tabs>
        <w:autoSpaceDE/>
        <w:autoSpaceDN/>
        <w:spacing w:line="486" w:lineRule="exact"/>
        <w:ind w:firstLine="240" w:firstLineChars="1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（1）采购标的需满足的服务标准、效率要求</w:t>
      </w:r>
    </w:p>
    <w:p w14:paraId="5ED86048">
      <w:pPr>
        <w:autoSpaceDE w:val="0"/>
        <w:autoSpaceDN w:val="0"/>
        <w:spacing w:line="486" w:lineRule="exact"/>
        <w:ind w:firstLine="480" w:firstLineChars="200"/>
        <w:contextualSpacing/>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详见 需满足的质量、安全、技术规格、物理特性等要求。</w:t>
      </w:r>
    </w:p>
    <w:p w14:paraId="3A9E4AA4">
      <w:pPr>
        <w:widowControl w:val="0"/>
        <w:autoSpaceDE w:val="0"/>
        <w:autoSpaceDN w:val="0"/>
        <w:spacing w:before="50" w:line="486" w:lineRule="exact"/>
        <w:ind w:firstLine="240" w:firstLineChars="10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（2）采购标的需满足的服务期限要求</w:t>
      </w:r>
    </w:p>
    <w:p w14:paraId="6EB7D83A">
      <w:pPr>
        <w:autoSpaceDE w:val="0"/>
        <w:autoSpaceDN w:val="0"/>
        <w:spacing w:line="486" w:lineRule="exact"/>
        <w:ind w:firstLine="480" w:firstLineChars="200"/>
        <w:contextualSpacing/>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服务期限：</w:t>
      </w: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lang w:eastAsia="zh-CN"/>
        </w:rPr>
        <w:t>年。</w:t>
      </w:r>
    </w:p>
    <w:p w14:paraId="4BA55827">
      <w:pPr>
        <w:tabs>
          <w:tab w:val="left" w:pos="900"/>
        </w:tabs>
        <w:autoSpaceDE w:val="0"/>
        <w:autoSpaceDN w:val="0"/>
        <w:spacing w:before="156" w:beforeLines="50" w:line="486" w:lineRule="exact"/>
        <w:ind w:firstLine="482" w:firstLineChars="200"/>
        <w:jc w:val="left"/>
        <w:rPr>
          <w:rFonts w:ascii="宋体" w:hAnsi="宋体" w:eastAsia="宋体" w:cs="宋体"/>
          <w:b/>
          <w:bCs/>
          <w:kern w:val="0"/>
          <w:sz w:val="24"/>
          <w:szCs w:val="24"/>
          <w:lang w:eastAsia="zh-CN"/>
        </w:rPr>
      </w:pPr>
      <w:r>
        <w:rPr>
          <w:rFonts w:hint="eastAsia" w:ascii="宋体" w:hAnsi="宋体" w:eastAsia="宋体" w:cs="宋体"/>
          <w:b/>
          <w:bCs/>
          <w:kern w:val="0"/>
          <w:sz w:val="24"/>
          <w:szCs w:val="24"/>
          <w:lang w:eastAsia="zh-CN"/>
        </w:rPr>
        <w:t>2.3为落实政府采购政策需满足的要求；</w:t>
      </w:r>
    </w:p>
    <w:p w14:paraId="6323C15A">
      <w:pPr>
        <w:tabs>
          <w:tab w:val="left" w:pos="900"/>
        </w:tabs>
        <w:autoSpaceDE w:val="0"/>
        <w:autoSpaceDN w:val="0"/>
        <w:spacing w:line="486" w:lineRule="exact"/>
        <w:ind w:firstLine="480" w:firstLineChars="2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4FAD0E0F">
      <w:pPr>
        <w:tabs>
          <w:tab w:val="left" w:pos="900"/>
        </w:tabs>
        <w:autoSpaceDE w:val="0"/>
        <w:autoSpaceDN w:val="0"/>
        <w:spacing w:line="486" w:lineRule="exact"/>
        <w:ind w:firstLine="480" w:firstLineChars="2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（2）监狱企业扶持政策：供应商所投产品为监狱企业制造的，将视同为小型或微型企业，将对该投标产品的投标价给予10%的扣除。</w:t>
      </w:r>
      <w:r>
        <w:rPr>
          <w:rFonts w:hint="eastAsia" w:ascii="宋体" w:hAnsi="宋体" w:eastAsia="宋体" w:cs="宋体"/>
          <w:iCs/>
          <w:kern w:val="0"/>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kern w:val="0"/>
          <w:sz w:val="24"/>
          <w:szCs w:val="24"/>
          <w:lang w:eastAsia="zh-CN"/>
        </w:rPr>
        <w:t>。（专门面向中小企业采购或预留份额的情况不适用）</w:t>
      </w:r>
    </w:p>
    <w:p w14:paraId="3A9A6912">
      <w:pPr>
        <w:tabs>
          <w:tab w:val="left" w:pos="900"/>
        </w:tabs>
        <w:autoSpaceDE w:val="0"/>
        <w:autoSpaceDN w:val="0"/>
        <w:spacing w:line="486" w:lineRule="exact"/>
        <w:ind w:firstLine="480" w:firstLineChars="2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27747D12">
      <w:pPr>
        <w:autoSpaceDE/>
        <w:autoSpaceDN/>
        <w:spacing w:line="486"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（4）鼓励节能、环保政策：依据《财政部发展改革委生态环境部市场监管总局关于调整优化节能产品、环境标志产品政府采购执行机制的通知（财库（2019）9号）》执行。</w:t>
      </w:r>
    </w:p>
    <w:p w14:paraId="2F380854">
      <w:pPr>
        <w:tabs>
          <w:tab w:val="left" w:pos="900"/>
        </w:tabs>
        <w:autoSpaceDE w:val="0"/>
        <w:autoSpaceDN w:val="0"/>
        <w:spacing w:line="486" w:lineRule="exact"/>
        <w:ind w:firstLine="480" w:firstLineChars="200"/>
        <w:jc w:val="left"/>
        <w:rPr>
          <w:rFonts w:ascii="宋体" w:hAnsi="宋体" w:eastAsia="宋体" w:cs="宋体"/>
          <w:kern w:val="0"/>
          <w:sz w:val="24"/>
          <w:szCs w:val="24"/>
          <w:lang w:eastAsia="zh-CN"/>
        </w:rPr>
      </w:pPr>
      <w:r>
        <w:rPr>
          <w:rFonts w:hint="eastAsia" w:ascii="宋体" w:hAnsi="宋体" w:eastAsia="宋体" w:cs="宋体"/>
          <w:kern w:val="0"/>
          <w:sz w:val="24"/>
          <w:szCs w:val="24"/>
          <w:lang w:eastAsia="zh-CN"/>
        </w:rPr>
        <w:t>（5）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宋体" w:hAnsi="宋体" w:eastAsia="宋体" w:cs="宋体"/>
          <w:b/>
          <w:bCs/>
          <w:kern w:val="0"/>
          <w:sz w:val="24"/>
          <w:szCs w:val="24"/>
          <w:lang w:eastAsia="zh-CN"/>
        </w:rPr>
        <w:t>供应商应出具招标文件要求的证明材料给予证明，否则评标时不予认可。</w:t>
      </w:r>
      <w:r>
        <w:rPr>
          <w:rFonts w:hint="eastAsia" w:ascii="宋体" w:hAnsi="宋体" w:eastAsia="宋体" w:cs="宋体"/>
          <w:kern w:val="0"/>
          <w:sz w:val="24"/>
          <w:szCs w:val="24"/>
          <w:lang w:eastAsia="zh-CN"/>
        </w:rPr>
        <w:t>供应商应对提交的证明材料真实性负责，提交证明材料不真实的，应承担相应的法律责任。</w:t>
      </w:r>
    </w:p>
    <w:p w14:paraId="1136D846">
      <w:pPr>
        <w:autoSpaceDE/>
        <w:autoSpaceDN/>
        <w:spacing w:before="20" w:line="486" w:lineRule="exact"/>
        <w:ind w:firstLine="482" w:firstLineChars="200"/>
        <w:jc w:val="left"/>
        <w:rPr>
          <w:rFonts w:ascii="宋体" w:hAnsi="宋体" w:eastAsia="宋体" w:cs="宋体"/>
          <w:b/>
          <w:bCs/>
          <w:kern w:val="0"/>
          <w:sz w:val="24"/>
          <w:szCs w:val="24"/>
          <w:highlight w:val="yellow"/>
          <w:lang w:eastAsia="zh-CN"/>
        </w:rPr>
      </w:pPr>
      <w:r>
        <w:rPr>
          <w:rFonts w:hint="eastAsia" w:ascii="宋体" w:hAnsi="宋体" w:eastAsia="宋体" w:cs="宋体"/>
          <w:b/>
          <w:bCs/>
          <w:kern w:val="0"/>
          <w:sz w:val="24"/>
          <w:szCs w:val="24"/>
          <w:lang w:eastAsia="zh-CN"/>
        </w:rPr>
        <w:t>2.4采购标的的其他技术、服务等要求；</w:t>
      </w:r>
    </w:p>
    <w:p w14:paraId="29F28561">
      <w:pPr>
        <w:tabs>
          <w:tab w:val="left" w:pos="900"/>
        </w:tabs>
        <w:autoSpaceDE w:val="0"/>
        <w:autoSpaceDN w:val="0"/>
        <w:spacing w:before="156" w:beforeLines="50" w:line="486" w:lineRule="exact"/>
        <w:ind w:firstLine="482" w:firstLineChars="200"/>
        <w:jc w:val="left"/>
        <w:rPr>
          <w:rFonts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投标人须提供整体服务方案、项目实施与质量控制方案、拟投入本项目人员配备方案、应急预案、售后方案等。</w:t>
      </w:r>
    </w:p>
    <w:p w14:paraId="01E4F1F4">
      <w:pPr>
        <w:tabs>
          <w:tab w:val="left" w:pos="900"/>
        </w:tabs>
        <w:autoSpaceDE w:val="0"/>
        <w:autoSpaceDN w:val="0"/>
        <w:spacing w:before="156" w:beforeLines="50" w:line="486" w:lineRule="exact"/>
        <w:ind w:firstLine="482" w:firstLineChars="200"/>
        <w:jc w:val="left"/>
        <w:rPr>
          <w:rFonts w:ascii="宋体" w:hAnsi="宋体" w:eastAsia="宋体" w:cs="宋体"/>
          <w:b/>
          <w:kern w:val="0"/>
          <w:sz w:val="24"/>
          <w:szCs w:val="24"/>
          <w:lang w:eastAsia="zh-CN"/>
        </w:rPr>
      </w:pPr>
      <w:r>
        <w:rPr>
          <w:rFonts w:hint="eastAsia" w:ascii="宋体" w:hAnsi="宋体" w:eastAsia="宋体" w:cs="宋体"/>
          <w:b/>
          <w:kern w:val="0"/>
          <w:sz w:val="24"/>
          <w:szCs w:val="24"/>
          <w:lang w:eastAsia="zh-CN"/>
        </w:rPr>
        <w:t>3.采购标的的验收标准</w:t>
      </w:r>
    </w:p>
    <w:p w14:paraId="4F3D925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3.1.</w:t>
      </w:r>
      <w:r>
        <w:rPr>
          <w:rFonts w:hint="eastAsia" w:ascii="宋体" w:hAnsi="宋体" w:eastAsia="宋体" w:cs="宋体"/>
          <w:b w:val="0"/>
          <w:sz w:val="24"/>
          <w:szCs w:val="24"/>
          <w:lang w:val="en-US" w:eastAsia="zh-CN" w:bidi="ar-SA"/>
        </w:rPr>
        <w:t>采购人有权检验和</w:t>
      </w:r>
      <w:r>
        <w:rPr>
          <w:rFonts w:hint="default" w:ascii="宋体" w:hAnsi="宋体" w:eastAsia="宋体" w:cs="宋体"/>
          <w:b w:val="0"/>
          <w:sz w:val="24"/>
          <w:szCs w:val="24"/>
          <w:lang w:val="en-US" w:eastAsia="zh-CN" w:bidi="ar-SA"/>
        </w:rPr>
        <w:t>/</w:t>
      </w:r>
      <w:r>
        <w:rPr>
          <w:rFonts w:hint="eastAsia" w:ascii="宋体" w:hAnsi="宋体" w:eastAsia="宋体" w:cs="宋体"/>
          <w:b w:val="0"/>
          <w:sz w:val="24"/>
          <w:szCs w:val="24"/>
          <w:lang w:val="en-US" w:eastAsia="zh-CN" w:bidi="ar-SA"/>
        </w:rPr>
        <w:t>或测试货物，以确认货物是否符合合同规格的要求，并且不承担额外的费用。</w:t>
      </w:r>
    </w:p>
    <w:p w14:paraId="7E98D2D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3.2.</w:t>
      </w:r>
      <w:r>
        <w:rPr>
          <w:rFonts w:hint="eastAsia" w:ascii="宋体" w:hAnsi="宋体" w:eastAsia="宋体" w:cs="宋体"/>
          <w:b w:val="0"/>
          <w:sz w:val="24"/>
          <w:szCs w:val="24"/>
          <w:lang w:val="en-US" w:eastAsia="zh-CN" w:bidi="ar-SA"/>
        </w:rPr>
        <w:t>检验和测试在交货地或货物的最终目的地进行</w:t>
      </w:r>
      <w:r>
        <w:rPr>
          <w:rFonts w:hint="default" w:ascii="宋体" w:hAnsi="宋体" w:eastAsia="宋体" w:cs="宋体"/>
          <w:b w:val="0"/>
          <w:sz w:val="24"/>
          <w:szCs w:val="24"/>
          <w:lang w:val="en-US" w:eastAsia="zh-CN" w:bidi="ar-SA"/>
        </w:rPr>
        <w:t>,</w:t>
      </w:r>
      <w:r>
        <w:rPr>
          <w:rFonts w:hint="eastAsia" w:ascii="宋体" w:hAnsi="宋体" w:eastAsia="宋体" w:cs="宋体"/>
          <w:b w:val="0"/>
          <w:sz w:val="24"/>
          <w:szCs w:val="24"/>
          <w:lang w:val="en-US" w:eastAsia="zh-CN" w:bidi="ar-SA"/>
        </w:rPr>
        <w:t>具体以采购人要求为准。</w:t>
      </w:r>
    </w:p>
    <w:p w14:paraId="7ABF478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3.3.</w:t>
      </w:r>
      <w:r>
        <w:rPr>
          <w:rFonts w:hint="eastAsia" w:ascii="宋体" w:hAnsi="宋体" w:eastAsia="宋体" w:cs="宋体"/>
          <w:b w:val="0"/>
          <w:sz w:val="24"/>
          <w:szCs w:val="24"/>
          <w:lang w:val="en-US" w:eastAsia="zh-CN" w:bidi="ar-SA"/>
        </w:rPr>
        <w:t>如果任何被检验或测试的货物不能满足规格的要求，采购人可以拒绝接受该货物，供应商应更换被拒绝的货物，或者免费进行必要的修改以满足规格的要求。</w:t>
      </w:r>
    </w:p>
    <w:p w14:paraId="1D8AF03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3.4.</w:t>
      </w:r>
      <w:r>
        <w:rPr>
          <w:rFonts w:hint="eastAsia" w:ascii="宋体" w:hAnsi="宋体" w:eastAsia="宋体" w:cs="宋体"/>
          <w:b w:val="0"/>
          <w:sz w:val="24"/>
          <w:szCs w:val="24"/>
          <w:lang w:val="en-US" w:eastAsia="zh-CN" w:bidi="ar-SA"/>
        </w:rPr>
        <w:t>交货时，供应商应将制造商对货物的质量、规格、性能、数量和重量等进行详细而全面检验，制造商检验的结果和细节应附在质量检验证书后面。</w:t>
      </w:r>
    </w:p>
    <w:p w14:paraId="030BB52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3.5.</w:t>
      </w:r>
      <w:r>
        <w:rPr>
          <w:rFonts w:hint="eastAsia" w:ascii="宋体" w:hAnsi="宋体" w:eastAsia="宋体" w:cs="宋体"/>
          <w:b w:val="0"/>
          <w:sz w:val="24"/>
          <w:szCs w:val="24"/>
          <w:lang w:val="en-US" w:eastAsia="zh-CN" w:bidi="ar-SA"/>
        </w:rPr>
        <w:t>采购人组成立验收小组按国家有关规定、规范进行验收，必要时邀请相关的专业人员或机构参与验收。因货物质量问题发生争议时，由本地质量技术监督部门鉴定。鉴定费由供应商承担。</w:t>
      </w:r>
    </w:p>
    <w:p w14:paraId="7874E97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both"/>
        <w:textAlignment w:val="auto"/>
        <w:outlineLvl w:val="9"/>
        <w:rPr>
          <w:rFonts w:ascii="宋体" w:hAnsi="宋体" w:eastAsia="宋体" w:cs="宋体"/>
          <w:b w:val="0"/>
          <w:sz w:val="24"/>
          <w:szCs w:val="24"/>
          <w:lang w:val="en-US" w:eastAsia="zh-CN" w:bidi="ar-SA"/>
        </w:rPr>
      </w:pPr>
      <w:r>
        <w:rPr>
          <w:rFonts w:hint="default" w:ascii="宋体" w:hAnsi="宋体" w:eastAsia="宋体" w:cs="宋体"/>
          <w:b w:val="0"/>
          <w:sz w:val="24"/>
          <w:szCs w:val="24"/>
          <w:lang w:val="en-US" w:eastAsia="zh-CN" w:bidi="ar-SA"/>
        </w:rPr>
        <w:t>3.6.</w:t>
      </w:r>
      <w:r>
        <w:rPr>
          <w:rFonts w:hint="eastAsia" w:ascii="宋体" w:hAnsi="宋体" w:eastAsia="宋体" w:cs="宋体"/>
          <w:b w:val="0"/>
          <w:sz w:val="24"/>
          <w:szCs w:val="24"/>
          <w:lang w:val="en-US" w:eastAsia="zh-CN" w:bidi="ar-SA"/>
        </w:rPr>
        <w:t>验收标准：按照本合同规定的产品名称、数量、规格等相关项目进行验收，按照国家或行业内相关标准及规范及本项目规定的标准与法规的最高标准执行。验收合格后签署书面验收合格报告。</w:t>
      </w:r>
    </w:p>
    <w:p w14:paraId="3A197380">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7C91A"/>
    <w:multiLevelType w:val="singleLevel"/>
    <w:tmpl w:val="2817C91A"/>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462F0"/>
    <w:rsid w:val="3FB34197"/>
    <w:rsid w:val="42563169"/>
    <w:rsid w:val="500F4B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5438</Words>
  <Characters>5626</Characters>
  <Lines>0</Lines>
  <Paragraphs>0</Paragraphs>
  <TotalTime>0</TotalTime>
  <ScaleCrop>false</ScaleCrop>
  <LinksUpToDate>false</LinksUpToDate>
  <CharactersWithSpaces>5656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JianJiang</dc:creator>
  <cp:lastModifiedBy>Serena</cp:lastModifiedBy>
  <dcterms:modified xsi:type="dcterms:W3CDTF">2026-08-24T07:51:36Z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eyJoZGlkIjoiMTUxNjU4Y2I1ZTg1ZmY0MTJiZWRhYWQxYzNmOTNlNDEiLCJ1c2VySWQiOiIyMTg5Mjc5NjMifQ==</vt:lpwstr>
  </property>
  <property fmtid="{D5CDD505-2E9C-101B-9397-08002B2CF9AE}" pid="4" name="ICV">
    <vt:lpwstr>D4EC95946ACB48DB848E1E63FCFC80C9_12</vt:lpwstr>
  </property>
</Properties>
</file>