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2A6D3">
      <w:pPr>
        <w:widowControl w:val="0"/>
        <w:numPr>
          <w:numId w:val="0"/>
        </w:numPr>
        <w:tabs>
          <w:tab w:val="left" w:pos="1630"/>
        </w:tabs>
        <w:autoSpaceDE w:val="0"/>
        <w:autoSpaceDN w:val="0"/>
        <w:spacing w:line="460" w:lineRule="exact"/>
        <w:jc w:val="center"/>
        <w:outlineLvl w:val="0"/>
        <w:rPr>
          <w:rFonts w:ascii="宋体" w:hAnsi="宋体" w:eastAsia="宋体" w:cs="宋体"/>
          <w:b/>
          <w:bCs/>
          <w:sz w:val="36"/>
          <w:szCs w:val="36"/>
          <w:lang w:val="en-US" w:eastAsia="en-US" w:bidi="ar-SA"/>
        </w:rPr>
      </w:pPr>
      <w:bookmarkStart w:id="5" w:name="_GoBack"/>
      <w:bookmarkEnd w:id="5"/>
      <w:bookmarkStart w:id="0" w:name="_Toc32542"/>
      <w:r>
        <w:rPr>
          <w:rFonts w:hint="eastAsia" w:ascii="宋体" w:hAnsi="宋体" w:eastAsia="宋体" w:cs="宋体"/>
          <w:b/>
          <w:bCs/>
          <w:sz w:val="36"/>
          <w:szCs w:val="36"/>
          <w:lang w:val="en-US" w:eastAsia="en-US" w:bidi="ar-SA"/>
        </w:rPr>
        <w:t>采购需求</w:t>
      </w:r>
      <w:bookmarkEnd w:id="0"/>
    </w:p>
    <w:p w14:paraId="7E617ABE">
      <w:pPr>
        <w:rPr>
          <w:rFonts w:ascii="宋体" w:hAnsi="宋体" w:eastAsia="宋体" w:cs="宋体"/>
        </w:rPr>
      </w:pPr>
    </w:p>
    <w:p w14:paraId="10F2A8D8">
      <w:pPr>
        <w:widowControl w:val="0"/>
        <w:autoSpaceDE w:val="0"/>
        <w:autoSpaceDN w:val="0"/>
        <w:spacing w:before="1"/>
        <w:ind w:left="121"/>
        <w:rPr>
          <w:rFonts w:ascii="宋体" w:hAnsi="宋体" w:eastAsia="宋体" w:cs="宋体"/>
          <w:b/>
          <w:bCs/>
          <w:sz w:val="24"/>
          <w:szCs w:val="24"/>
          <w:lang w:val="en-US" w:eastAsia="en-US" w:bidi="ar-SA"/>
        </w:rPr>
      </w:pPr>
      <w:r>
        <w:rPr>
          <w:rFonts w:hint="eastAsia" w:ascii="宋体" w:hAnsi="宋体" w:eastAsia="宋体" w:cs="宋体"/>
          <w:b/>
          <w:bCs/>
          <w:sz w:val="24"/>
          <w:szCs w:val="24"/>
          <w:lang w:val="en-US" w:eastAsia="en-US" w:bidi="ar-SA"/>
        </w:rPr>
        <w:t>一、采购标的</w:t>
      </w:r>
    </w:p>
    <w:p w14:paraId="4E1754FC">
      <w:pPr>
        <w:widowControl w:val="0"/>
        <w:tabs>
          <w:tab w:val="left" w:pos="470"/>
          <w:tab w:val="left" w:pos="7040"/>
        </w:tabs>
        <w:autoSpaceDE w:val="0"/>
        <w:autoSpaceDN w:val="0"/>
        <w:spacing w:before="154"/>
        <w:ind w:left="121" w:right="1830" w:firstLine="269" w:firstLineChars="100"/>
        <w:rPr>
          <w:rFonts w:ascii="宋体" w:hAnsi="宋体" w:eastAsia="宋体" w:cs="宋体"/>
          <w:sz w:val="24"/>
          <w:szCs w:val="22"/>
          <w:lang w:val="en-US" w:eastAsia="zh-CN" w:bidi="ar-SA"/>
        </w:rPr>
      </w:pPr>
      <w:r>
        <w:rPr>
          <w:rFonts w:hint="eastAsia" w:ascii="宋体" w:hAnsi="宋体" w:eastAsia="宋体" w:cs="宋体"/>
          <w:spacing w:val="-2"/>
          <w:w w:val="114"/>
          <w:sz w:val="24"/>
          <w:szCs w:val="24"/>
          <w:lang w:val="en-US" w:eastAsia="zh-CN" w:bidi="ar-SA"/>
        </w:rPr>
        <w:t>1.</w:t>
      </w:r>
      <w:r>
        <w:rPr>
          <w:rFonts w:hint="eastAsia" w:ascii="宋体" w:hAnsi="宋体" w:eastAsia="宋体" w:cs="宋体"/>
          <w:sz w:val="24"/>
          <w:szCs w:val="22"/>
          <w:lang w:val="en-US" w:eastAsia="zh-CN" w:bidi="ar-SA"/>
        </w:rPr>
        <w:t>采购标的（货物需求一览表）</w:t>
      </w:r>
    </w:p>
    <w:tbl>
      <w:tblPr>
        <w:tblStyle w:val="8"/>
        <w:tblW w:w="777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2411"/>
        <w:gridCol w:w="2081"/>
        <w:gridCol w:w="2457"/>
      </w:tblGrid>
      <w:tr w14:paraId="6CFABD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1" w:hRule="exact"/>
          <w:jc w:val="center"/>
        </w:trPr>
        <w:tc>
          <w:tcPr>
            <w:tcW w:w="821" w:type="dxa"/>
            <w:tcBorders>
              <w:top w:val="single" w:color="auto" w:sz="4" w:space="0"/>
              <w:left w:val="single" w:color="auto" w:sz="4" w:space="0"/>
              <w:bottom w:val="single" w:color="auto" w:sz="4" w:space="0"/>
              <w:right w:val="single" w:color="auto" w:sz="4" w:space="0"/>
            </w:tcBorders>
            <w:vAlign w:val="center"/>
          </w:tcPr>
          <w:p w14:paraId="4974E51B">
            <w:pPr>
              <w:jc w:val="center"/>
              <w:rPr>
                <w:rFonts w:ascii="宋体" w:hAnsi="宋体" w:eastAsia="宋体" w:cs="宋体"/>
                <w:b/>
                <w:bCs/>
                <w:sz w:val="24"/>
              </w:rPr>
            </w:pPr>
            <w:r>
              <w:rPr>
                <w:rFonts w:hint="eastAsia" w:ascii="宋体" w:hAnsi="宋体" w:eastAsia="宋体" w:cs="宋体"/>
                <w:b/>
                <w:bCs/>
                <w:sz w:val="24"/>
              </w:rPr>
              <w:t>包号</w:t>
            </w:r>
          </w:p>
        </w:tc>
        <w:tc>
          <w:tcPr>
            <w:tcW w:w="2411" w:type="dxa"/>
            <w:tcBorders>
              <w:top w:val="single" w:color="auto" w:sz="4" w:space="0"/>
              <w:left w:val="single" w:color="auto" w:sz="4" w:space="0"/>
              <w:bottom w:val="single" w:color="auto" w:sz="4" w:space="0"/>
              <w:right w:val="single" w:color="auto" w:sz="4" w:space="0"/>
            </w:tcBorders>
            <w:vAlign w:val="center"/>
          </w:tcPr>
          <w:p w14:paraId="0F028AAA">
            <w:pPr>
              <w:widowControl/>
              <w:jc w:val="center"/>
              <w:rPr>
                <w:rFonts w:ascii="宋体" w:hAnsi="宋体" w:eastAsia="宋体" w:cs="宋体"/>
                <w:b/>
                <w:bCs/>
                <w:sz w:val="24"/>
              </w:rPr>
            </w:pPr>
            <w:r>
              <w:rPr>
                <w:rFonts w:hint="eastAsia" w:ascii="宋体" w:hAnsi="宋体" w:eastAsia="宋体" w:cs="Times New Roman"/>
                <w:b/>
                <w:sz w:val="24"/>
                <w:lang w:eastAsia="zh-CN"/>
              </w:rPr>
              <w:t>品目名称</w:t>
            </w:r>
          </w:p>
        </w:tc>
        <w:tc>
          <w:tcPr>
            <w:tcW w:w="2081" w:type="dxa"/>
            <w:tcBorders>
              <w:top w:val="single" w:color="auto" w:sz="4" w:space="0"/>
              <w:left w:val="single" w:color="auto" w:sz="4" w:space="0"/>
              <w:bottom w:val="single" w:color="auto" w:sz="4" w:space="0"/>
              <w:right w:val="single" w:color="auto" w:sz="4" w:space="0"/>
            </w:tcBorders>
            <w:vAlign w:val="center"/>
          </w:tcPr>
          <w:p w14:paraId="14C7E9D6">
            <w:pPr>
              <w:jc w:val="center"/>
              <w:rPr>
                <w:rFonts w:ascii="宋体" w:hAnsi="宋体" w:eastAsia="宋体" w:cs="宋体"/>
                <w:b/>
                <w:bCs/>
                <w:sz w:val="24"/>
              </w:rPr>
            </w:pPr>
            <w:r>
              <w:rPr>
                <w:rFonts w:hint="eastAsia" w:ascii="Times New Roman" w:hAnsi="Times New Roman" w:eastAsia="宋体" w:cs="Times New Roman"/>
                <w:b/>
                <w:sz w:val="24"/>
              </w:rPr>
              <w:t>数量</w:t>
            </w:r>
          </w:p>
        </w:tc>
        <w:tc>
          <w:tcPr>
            <w:tcW w:w="2457" w:type="dxa"/>
            <w:tcBorders>
              <w:top w:val="single" w:color="auto" w:sz="4" w:space="0"/>
              <w:left w:val="single" w:color="auto" w:sz="4" w:space="0"/>
              <w:bottom w:val="single" w:color="auto" w:sz="4" w:space="0"/>
              <w:right w:val="single" w:color="auto" w:sz="4" w:space="0"/>
            </w:tcBorders>
            <w:shd w:val="clear" w:color="000000" w:fill="FFFFFF"/>
            <w:vAlign w:val="center"/>
          </w:tcPr>
          <w:p w14:paraId="6F8B5EDB">
            <w:pPr>
              <w:widowControl/>
              <w:jc w:val="center"/>
              <w:rPr>
                <w:rFonts w:ascii="宋体" w:hAnsi="宋体" w:eastAsia="宋体" w:cs="宋体"/>
                <w:b/>
                <w:bCs/>
                <w:sz w:val="24"/>
              </w:rPr>
            </w:pPr>
            <w:r>
              <w:rPr>
                <w:rFonts w:hint="eastAsia" w:ascii="宋体" w:hAnsi="宋体" w:eastAsia="宋体" w:cs="宋体"/>
                <w:b/>
                <w:bCs/>
                <w:sz w:val="24"/>
                <w:lang w:eastAsia="zh-CN"/>
              </w:rPr>
              <w:t>服务</w:t>
            </w:r>
            <w:r>
              <w:rPr>
                <w:rFonts w:hint="eastAsia" w:ascii="宋体" w:hAnsi="宋体" w:eastAsia="宋体" w:cs="宋体"/>
                <w:b/>
                <w:bCs/>
                <w:sz w:val="24"/>
              </w:rPr>
              <w:t>期限</w:t>
            </w:r>
          </w:p>
        </w:tc>
      </w:tr>
      <w:tr w14:paraId="59737C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821" w:type="dxa"/>
            <w:tcBorders>
              <w:top w:val="single" w:color="auto" w:sz="4" w:space="0"/>
              <w:left w:val="single" w:color="auto" w:sz="4" w:space="0"/>
              <w:bottom w:val="single" w:color="auto" w:sz="4" w:space="0"/>
              <w:right w:val="single" w:color="auto" w:sz="4" w:space="0"/>
            </w:tcBorders>
            <w:vAlign w:val="center"/>
          </w:tcPr>
          <w:p w14:paraId="1EB212C8">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ascii="宋体" w:hAnsi="宋体" w:eastAsia="宋体" w:cs="宋体"/>
                <w:sz w:val="24"/>
              </w:rPr>
            </w:pPr>
            <w:r>
              <w:rPr>
                <w:rFonts w:hint="eastAsia" w:ascii="宋体" w:hAnsi="宋体" w:eastAsia="宋体" w:cs="宋体"/>
                <w:sz w:val="24"/>
                <w:lang w:val="en-US" w:eastAsia="zh-CN"/>
              </w:rPr>
              <w:t>0</w:t>
            </w:r>
            <w:r>
              <w:rPr>
                <w:rFonts w:hint="eastAsia" w:ascii="宋体" w:hAnsi="宋体" w:eastAsia="宋体" w:cs="宋体"/>
                <w:sz w:val="24"/>
              </w:rPr>
              <w:t>1</w:t>
            </w:r>
          </w:p>
        </w:tc>
        <w:tc>
          <w:tcPr>
            <w:tcW w:w="2411" w:type="dxa"/>
            <w:tcBorders>
              <w:top w:val="single" w:color="auto" w:sz="4" w:space="0"/>
              <w:left w:val="single" w:color="auto" w:sz="4" w:space="0"/>
              <w:bottom w:val="single" w:color="auto" w:sz="4" w:space="0"/>
              <w:right w:val="single" w:color="auto" w:sz="4" w:space="0"/>
            </w:tcBorders>
            <w:vAlign w:val="center"/>
          </w:tcPr>
          <w:p w14:paraId="44EE659E">
            <w:pPr>
              <w:widowControl/>
              <w:jc w:val="center"/>
              <w:textAlignment w:val="center"/>
              <w:rPr>
                <w:rFonts w:ascii="宋体" w:hAnsi="宋体" w:eastAsia="宋体" w:cs="宋体"/>
                <w:sz w:val="24"/>
                <w:lang w:eastAsia="zh-CN"/>
              </w:rPr>
            </w:pPr>
            <w:r>
              <w:rPr>
                <w:rFonts w:hint="eastAsia" w:ascii="宋体" w:hAnsi="宋体" w:eastAsia="宋体" w:cs="宋体"/>
                <w:sz w:val="24"/>
                <w:szCs w:val="24"/>
                <w:lang w:eastAsia="zh-CN"/>
              </w:rPr>
              <w:t>高通量测序服务</w:t>
            </w:r>
          </w:p>
        </w:tc>
        <w:tc>
          <w:tcPr>
            <w:tcW w:w="2081" w:type="dxa"/>
            <w:tcBorders>
              <w:top w:val="single" w:color="auto" w:sz="4" w:space="0"/>
              <w:left w:val="single" w:color="auto" w:sz="4" w:space="0"/>
              <w:bottom w:val="single" w:color="auto" w:sz="4" w:space="0"/>
              <w:right w:val="single" w:color="auto" w:sz="4" w:space="0"/>
            </w:tcBorders>
            <w:vAlign w:val="center"/>
          </w:tcPr>
          <w:p w14:paraId="7DDBA8C0">
            <w:pPr>
              <w:jc w:val="center"/>
              <w:rPr>
                <w:rFonts w:ascii="宋体" w:hAnsi="宋体" w:eastAsia="宋体" w:cs="宋体"/>
                <w:sz w:val="24"/>
                <w:lang w:eastAsia="zh-CN"/>
              </w:rPr>
            </w:pPr>
            <w:r>
              <w:rPr>
                <w:rFonts w:hint="eastAsia" w:ascii="宋体" w:hAnsi="宋体" w:eastAsia="宋体" w:cs="宋体"/>
                <w:sz w:val="24"/>
                <w:lang w:eastAsia="zh-CN"/>
              </w:rPr>
              <w:t>一项</w:t>
            </w:r>
          </w:p>
        </w:tc>
        <w:tc>
          <w:tcPr>
            <w:tcW w:w="2457" w:type="dxa"/>
            <w:tcBorders>
              <w:top w:val="single" w:color="auto" w:sz="4" w:space="0"/>
              <w:left w:val="single" w:color="auto" w:sz="4" w:space="0"/>
              <w:bottom w:val="single" w:color="auto" w:sz="4" w:space="0"/>
              <w:right w:val="single" w:color="auto" w:sz="4" w:space="0"/>
            </w:tcBorders>
            <w:shd w:val="clear" w:color="000000" w:fill="FFFFFF"/>
            <w:vAlign w:val="center"/>
          </w:tcPr>
          <w:p w14:paraId="31FE740D">
            <w:pPr>
              <w:spacing w:before="50"/>
              <w:jc w:val="center"/>
              <w:rPr>
                <w:rFonts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一年</w:t>
            </w:r>
          </w:p>
        </w:tc>
      </w:tr>
    </w:tbl>
    <w:p w14:paraId="11FE0D38">
      <w:pPr>
        <w:widowControl w:val="0"/>
        <w:tabs>
          <w:tab w:val="left" w:pos="1197"/>
        </w:tabs>
        <w:autoSpaceDE w:val="0"/>
        <w:autoSpaceDN w:val="0"/>
        <w:spacing w:before="0" w:line="360" w:lineRule="auto"/>
        <w:ind w:left="0" w:right="233" w:firstLine="0"/>
        <w:jc w:val="both"/>
        <w:rPr>
          <w:rFonts w:ascii="宋体" w:hAnsi="宋体" w:eastAsia="宋体" w:cs="宋体"/>
          <w:b/>
          <w:bCs/>
          <w:sz w:val="24"/>
          <w:szCs w:val="22"/>
          <w:lang w:val="en-US" w:eastAsia="zh-CN" w:bidi="ar-SA"/>
        </w:rPr>
      </w:pPr>
      <w:r>
        <w:rPr>
          <w:rFonts w:hint="eastAsia" w:ascii="宋体" w:hAnsi="宋体" w:eastAsia="宋体" w:cs="宋体"/>
          <w:b/>
          <w:bCs/>
          <w:sz w:val="24"/>
          <w:szCs w:val="22"/>
          <w:lang w:val="en-US" w:eastAsia="zh-CN" w:bidi="ar-SA"/>
        </w:rPr>
        <w:t>二、商务要求</w:t>
      </w:r>
    </w:p>
    <w:p w14:paraId="5D70E010">
      <w:pPr>
        <w:widowControl w:val="0"/>
        <w:tabs>
          <w:tab w:val="left" w:pos="1197"/>
        </w:tabs>
        <w:autoSpaceDE w:val="0"/>
        <w:autoSpaceDN w:val="0"/>
        <w:spacing w:before="0" w:line="360" w:lineRule="auto"/>
        <w:ind w:left="0" w:right="233" w:firstLine="0"/>
        <w:jc w:val="both"/>
        <w:rPr>
          <w:rFonts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1.采购项目交付或者服务的时间和地点：</w:t>
      </w:r>
    </w:p>
    <w:p w14:paraId="612E2027">
      <w:pPr>
        <w:widowControl w:val="0"/>
        <w:autoSpaceDE w:val="0"/>
        <w:autoSpaceDN w:val="0"/>
        <w:spacing w:line="360" w:lineRule="auto"/>
        <w:jc w:val="both"/>
        <w:outlineLvl w:val="9"/>
        <w:rPr>
          <w:rFonts w:ascii="宋体" w:hAnsi="宋体" w:eastAsia="宋体" w:cs="宋体"/>
          <w:b w:val="0"/>
          <w:sz w:val="24"/>
          <w:szCs w:val="24"/>
          <w:highlight w:val="yellow"/>
          <w:lang w:val="en-US" w:eastAsia="zh-CN" w:bidi="ar-SA"/>
        </w:rPr>
      </w:pPr>
      <w:bookmarkStart w:id="1" w:name="_Toc17411"/>
      <w:bookmarkStart w:id="2" w:name="_Toc12019"/>
      <w:r>
        <w:rPr>
          <w:rFonts w:ascii="宋体" w:hAnsi="宋体" w:eastAsia="宋体" w:cs="宋体"/>
          <w:b w:val="0"/>
          <w:sz w:val="24"/>
          <w:szCs w:val="24"/>
          <w:lang w:val="en-US" w:eastAsia="zh-CN" w:bidi="ar-SA"/>
        </w:rPr>
        <w:t>1.</w:t>
      </w:r>
      <w:r>
        <w:rPr>
          <w:rFonts w:hint="eastAsia" w:ascii="宋体" w:hAnsi="宋体" w:eastAsia="宋体" w:cs="宋体"/>
          <w:b w:val="0"/>
          <w:sz w:val="24"/>
          <w:szCs w:val="24"/>
          <w:lang w:val="en-US" w:eastAsia="zh-CN" w:bidi="ar-SA"/>
        </w:rPr>
        <w:t>1采购项目（标的）实施的时间：</w:t>
      </w:r>
      <w:bookmarkEnd w:id="1"/>
      <w:bookmarkEnd w:id="2"/>
      <w:r>
        <w:rPr>
          <w:rFonts w:hint="eastAsia" w:ascii="宋体" w:hAnsi="宋体" w:eastAsia="宋体" w:cs="宋体"/>
          <w:b w:val="0"/>
          <w:sz w:val="24"/>
          <w:szCs w:val="24"/>
          <w:lang w:val="en-US" w:eastAsia="zh-CN" w:bidi="ar-SA"/>
        </w:rPr>
        <w:t>按首都医科大学附属北京天坛医院要求</w:t>
      </w:r>
    </w:p>
    <w:p w14:paraId="283F2BD1">
      <w:pPr>
        <w:widowControl w:val="0"/>
        <w:tabs>
          <w:tab w:val="left" w:pos="0"/>
        </w:tabs>
        <w:autoSpaceDE w:val="0"/>
        <w:autoSpaceDN w:val="0"/>
        <w:spacing w:line="360" w:lineRule="auto"/>
        <w:jc w:val="both"/>
        <w:outlineLvl w:val="9"/>
        <w:rPr>
          <w:rFonts w:ascii="宋体" w:hAnsi="宋体" w:eastAsia="宋体" w:cs="宋体"/>
          <w:b/>
          <w:i/>
          <w:sz w:val="24"/>
          <w:szCs w:val="20"/>
          <w:lang w:val="en-US" w:eastAsia="zh-CN" w:bidi="ar-SA"/>
        </w:rPr>
      </w:pPr>
      <w:bookmarkStart w:id="3" w:name="_Toc11311"/>
      <w:bookmarkStart w:id="4" w:name="_Toc19695"/>
      <w:r>
        <w:rPr>
          <w:rFonts w:hint="eastAsia" w:ascii="宋体" w:hAnsi="宋体" w:eastAsia="宋体" w:cs="宋体"/>
          <w:b w:val="0"/>
          <w:sz w:val="24"/>
          <w:szCs w:val="24"/>
          <w:lang w:val="en-US" w:eastAsia="zh-CN" w:bidi="ar-SA"/>
        </w:rPr>
        <w:t>1.</w:t>
      </w:r>
      <w:r>
        <w:rPr>
          <w:rFonts w:ascii="宋体" w:hAnsi="宋体" w:eastAsia="宋体" w:cs="宋体"/>
          <w:b w:val="0"/>
          <w:sz w:val="24"/>
          <w:szCs w:val="24"/>
          <w:lang w:val="en-US" w:eastAsia="zh-CN" w:bidi="ar-SA"/>
        </w:rPr>
        <w:t>2</w:t>
      </w:r>
      <w:r>
        <w:rPr>
          <w:rFonts w:hint="eastAsia" w:ascii="宋体" w:hAnsi="宋体" w:eastAsia="宋体" w:cs="宋体"/>
          <w:b w:val="0"/>
          <w:sz w:val="24"/>
          <w:szCs w:val="24"/>
          <w:lang w:val="en-US" w:eastAsia="zh-CN" w:bidi="ar-SA"/>
        </w:rPr>
        <w:t>采购项目（标的）实施的地点：首都医科大学附属北京天坛医院</w:t>
      </w:r>
      <w:bookmarkEnd w:id="3"/>
      <w:bookmarkEnd w:id="4"/>
      <w:r>
        <w:rPr>
          <w:rFonts w:hint="eastAsia" w:ascii="宋体" w:hAnsi="宋体" w:eastAsia="宋体" w:cs="宋体"/>
          <w:b w:val="0"/>
          <w:sz w:val="24"/>
          <w:szCs w:val="24"/>
          <w:lang w:val="en-US" w:eastAsia="zh-CN" w:bidi="ar-SA"/>
        </w:rPr>
        <w:t>指定地点</w:t>
      </w:r>
    </w:p>
    <w:p w14:paraId="6B47A3D9">
      <w:pPr>
        <w:widowControl w:val="0"/>
        <w:tabs>
          <w:tab w:val="left" w:pos="1197"/>
        </w:tabs>
        <w:autoSpaceDE w:val="0"/>
        <w:autoSpaceDN w:val="0"/>
        <w:spacing w:before="0" w:line="360" w:lineRule="auto"/>
        <w:ind w:left="0" w:right="233" w:firstLine="0"/>
        <w:jc w:val="both"/>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2.付款条件（进度和方式）</w:t>
      </w:r>
      <w:r>
        <w:rPr>
          <w:rFonts w:hint="eastAsia" w:ascii="宋体" w:hAnsi="宋体" w:eastAsia="宋体" w:cs="宋体"/>
          <w:sz w:val="24"/>
          <w:szCs w:val="24"/>
          <w:lang w:val="en-US" w:eastAsia="zh-CN" w:bidi="ar-SA"/>
        </w:rPr>
        <w:t>：详见“拟签订的合同文本”。</w:t>
      </w:r>
    </w:p>
    <w:p w14:paraId="27471822">
      <w:pPr>
        <w:widowControl w:val="0"/>
        <w:tabs>
          <w:tab w:val="left" w:pos="470"/>
        </w:tabs>
        <w:autoSpaceDE w:val="0"/>
        <w:autoSpaceDN w:val="0"/>
        <w:spacing w:before="0" w:line="360" w:lineRule="auto"/>
        <w:ind w:left="0" w:right="7155" w:firstLine="0"/>
        <w:jc w:val="both"/>
        <w:rPr>
          <w:rFonts w:ascii="宋体" w:hAnsi="宋体" w:eastAsia="宋体" w:cs="宋体"/>
          <w:sz w:val="24"/>
          <w:szCs w:val="24"/>
          <w:lang w:val="en-US" w:eastAsia="zh-CN" w:bidi="ar-SA"/>
        </w:rPr>
      </w:pPr>
      <w:r>
        <w:rPr>
          <w:rFonts w:hint="eastAsia" w:ascii="宋体" w:hAnsi="宋体" w:eastAsia="宋体" w:cs="宋体"/>
          <w:b/>
          <w:bCs/>
          <w:sz w:val="24"/>
          <w:szCs w:val="24"/>
          <w:lang w:val="en-US" w:eastAsia="zh-CN" w:bidi="ar-SA"/>
        </w:rPr>
        <w:t>三、技术要求</w:t>
      </w:r>
    </w:p>
    <w:p w14:paraId="586ABDD6">
      <w:pPr>
        <w:spacing w:line="360" w:lineRule="auto"/>
        <w:ind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1. 基本要求</w:t>
      </w:r>
    </w:p>
    <w:p w14:paraId="2FE287CB">
      <w:pPr>
        <w:spacing w:line="360" w:lineRule="auto"/>
        <w:ind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1.1 采购标的需实现的功能或者目标</w:t>
      </w:r>
    </w:p>
    <w:p w14:paraId="26850FB1">
      <w:pPr>
        <w:adjustRightInd w:val="0"/>
        <w:spacing w:line="360" w:lineRule="auto"/>
        <w:ind w:firstLine="480" w:firstLineChars="200"/>
        <w:rPr>
          <w:rFonts w:ascii="宋体" w:hAnsi="宋体" w:eastAsia="宋体" w:cs="宋体"/>
          <w:sz w:val="24"/>
          <w:lang w:eastAsia="zh-CN"/>
        </w:rPr>
      </w:pPr>
      <w:r>
        <w:rPr>
          <w:rFonts w:hint="eastAsia" w:ascii="宋体" w:hAnsi="宋体" w:eastAsia="宋体" w:cs="宋体"/>
          <w:sz w:val="24"/>
          <w:lang w:eastAsia="zh-CN"/>
        </w:rPr>
        <w:t>本次招标采购是为首都医科大学附属北京天坛医院提供高通量测序服务。供应商应根据招标文件所提出的技术规格和服务要求以先进的技术、优良的服务和优惠的价格，充分显示自己的竞争实力。</w:t>
      </w:r>
    </w:p>
    <w:p w14:paraId="764E97A6">
      <w:pPr>
        <w:spacing w:line="360" w:lineRule="auto"/>
        <w:ind w:firstLine="241" w:firstLineChars="100"/>
        <w:contextualSpacing/>
        <w:rPr>
          <w:rFonts w:ascii="宋体" w:hAnsi="宋体" w:eastAsia="宋体" w:cs="宋体"/>
          <w:sz w:val="24"/>
          <w:szCs w:val="24"/>
          <w:lang w:eastAsia="zh-CN"/>
        </w:rPr>
      </w:pPr>
      <w:r>
        <w:rPr>
          <w:rFonts w:hint="eastAsia" w:ascii="宋体" w:hAnsi="宋体" w:eastAsia="宋体" w:cs="宋体"/>
          <w:b/>
          <w:bCs/>
          <w:sz w:val="24"/>
          <w:szCs w:val="24"/>
          <w:lang w:eastAsia="zh-CN"/>
        </w:rPr>
        <w:t>1.2 需执行的国家相关标准、行业标准、地方标准或者其他标准、规范</w:t>
      </w:r>
    </w:p>
    <w:p w14:paraId="770AB77D">
      <w:pPr>
        <w:spacing w:line="360" w:lineRule="auto"/>
        <w:ind w:firstLine="480" w:firstLineChars="200"/>
        <w:rPr>
          <w:rFonts w:ascii="宋体" w:hAnsi="宋体" w:eastAsia="宋体" w:cs="宋体"/>
          <w:bCs/>
          <w:sz w:val="24"/>
          <w:szCs w:val="24"/>
          <w:lang w:eastAsia="zh-CN"/>
        </w:rPr>
      </w:pPr>
      <w:r>
        <w:rPr>
          <w:rFonts w:hint="eastAsia" w:ascii="宋体" w:hAnsi="宋体" w:eastAsia="宋体" w:cs="宋体"/>
          <w:sz w:val="24"/>
          <w:szCs w:val="24"/>
          <w:lang w:eastAsia="zh-CN"/>
        </w:rPr>
        <w:t>供应商应保证所提供的测序服务符合国家相关法律法规的要求。</w:t>
      </w:r>
    </w:p>
    <w:p w14:paraId="4EFD962E">
      <w:pPr>
        <w:spacing w:line="360" w:lineRule="auto"/>
        <w:ind w:firstLine="241" w:firstLineChars="100"/>
        <w:contextualSpacing/>
        <w:rPr>
          <w:rFonts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2.服务内容及要求</w:t>
      </w:r>
    </w:p>
    <w:p w14:paraId="6347C9EA">
      <w:pPr>
        <w:widowControl/>
        <w:spacing w:line="360" w:lineRule="auto"/>
        <w:ind w:left="-1" w:firstLine="241" w:firstLineChars="100"/>
        <w:contextualSpacing/>
        <w:rPr>
          <w:rFonts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2.1 采购标的需满足的、质量、安全、技术规格、物理特性等要求；</w:t>
      </w:r>
    </w:p>
    <w:p w14:paraId="5FA25BF1">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（一）采购项目</w:t>
      </w:r>
    </w:p>
    <w:p w14:paraId="3DB2BC4B">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检测目的：辅助中枢神经系统肿瘤的分子分型、预后评估，预测相关靶向药物和免疫治疗药物的疗效。</w:t>
      </w:r>
    </w:p>
    <w:p w14:paraId="2BFD04E7">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（二）检测机构实力</w:t>
      </w:r>
    </w:p>
    <w:p w14:paraId="0FA98B5E">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投标单位具备科学研究和成果转化能力（提供证明材料，包括但不限于：已发表文章、科研立项书、产品注册证等）。投标单位具备基因组学、转录组学、蛋白组学、代谢组学和表观组学实验平台（提供设备照片作为证明材料）。</w:t>
      </w:r>
    </w:p>
    <w:p w14:paraId="3FECA64A">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（三）技术参数</w:t>
      </w:r>
    </w:p>
    <w:p w14:paraId="0D698419">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xml:space="preserve">（1）中枢神经系统肿瘤分子分型检测项目： </w:t>
      </w:r>
    </w:p>
    <w:p w14:paraId="6E467449">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1.1 样本类型： FFPE组织样本。预估样本数量：5160例（含遗传性肿瘤基因检测）</w:t>
      </w:r>
    </w:p>
    <w:p w14:paraId="2573FDCC">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1.2 检测范围：同时涵盖2021年 WHO CNS5有明确分子诊断指标的肿瘤，包括胶质瘤、胶质神经元肿瘤和神经元肿瘤(包括成人型弥漫性胶质瘤和儿童型弥漫性胶质瘤等)、胚胎性肿瘤、颅神经和椎旁神经肿瘤、脑膜瘤、间叶性非脑膜皮肿瘤、黑色素细胞肿瘤、松果体肿瘤、鞍区肿瘤共8大类CNS肿瘤。</w:t>
      </w:r>
    </w:p>
    <w:p w14:paraId="3DB4E9FF">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1.3 检测基因总数：≥270个。</w:t>
      </w:r>
    </w:p>
    <w:p w14:paraId="39F060AC">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1.4  基于RNA水平检测基因数≥110个。</w:t>
      </w:r>
    </w:p>
    <w:p w14:paraId="7A1E5710">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1.5 基于DNA水平检测拷贝数变异（拷贝数缺失以及扩增）基因≥30个。</w:t>
      </w:r>
    </w:p>
    <w:p w14:paraId="1F707066">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1.6 检测变异类型：一份样本可在 DNA 水平上检测≥5种及不同变异类型，至少包括SNV、CNV、InDel、Fusion、LOH，同时覆盖染色体水平上的缺失与扩增。</w:t>
      </w:r>
    </w:p>
    <w:p w14:paraId="702E44F0">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1.7 突变基因检测：包含IDH1、IDH2、ATRX、TP53、CDKNA/B、CTDNEP1、DDX3X、TERT、MYB、BRAF、NF1、NF2、TP53、ACVR1、PDGFRA、EGFR、CYSLTR2、PLCB4、CTDNEP1、GFI1、GFI1B、KBTBD4、KMT2D、KDM6A、PPRDM6、ZMYM3、PRKCA、SMARCE1等基因突变。</w:t>
      </w:r>
    </w:p>
    <w:p w14:paraId="31692856">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▲1.8 CNV基因检测：包含PLAGL1、PLAGL2、SMARCB1、FOXR2、PTEN、C13MC、NF2等基因拷贝数变异。</w:t>
      </w:r>
    </w:p>
    <w:p w14:paraId="5C001E6D">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1.9 染色体检测：包含23条染色体臂水平缺失和扩增。</w:t>
      </w:r>
    </w:p>
    <w:p w14:paraId="709315F1">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▲1.10 杂合性缺失检测：包含CDKN2A、CDKN2B、RB1、SMARCB1、NF2。</w:t>
      </w:r>
    </w:p>
    <w:p w14:paraId="2B31A885">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▲1.11 内部串联重复(ITD)检测：包含BCOR。</w:t>
      </w:r>
    </w:p>
    <w:p w14:paraId="7EB47FF2">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1.12 融合基因检测：同一份样本可在DNA水平上和RNA水平上检测融合；包含ATXN1/ATXN1L::NUTM2A、ATXN1::DUX4、ATXN1::NUTM1、PTPRZ1::MET、CREM、FOXR2、PLAGL1、YAP1等基因融合检测。</w:t>
      </w:r>
    </w:p>
    <w:p w14:paraId="54EAD580">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▲1.13 融合基因检测：同一份样本可在DNA水平和RNA水平上检测MET14跳跃突变、EGFRvIII。</w:t>
      </w:r>
    </w:p>
    <w:p w14:paraId="7FA63B7A">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1.14 检测具备已获得软件著作权的中枢神经系统肿瘤高通量测序分析软件。</w:t>
      </w:r>
    </w:p>
    <w:p w14:paraId="76DC7221">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1.15具备可实现自动化的数据下载、分析、报告审核和生成检测报告的分析审核报告一体机。</w:t>
      </w:r>
    </w:p>
    <w:p w14:paraId="612FDE08">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xml:space="preserve">（2）DNA甲基化聚类分析检测项目： </w:t>
      </w:r>
    </w:p>
    <w:p w14:paraId="76896C21">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2.1 样本类型：新鲜组织样本、兼顾FFPE组织样本。预估样本数量：2582例。</w:t>
      </w:r>
    </w:p>
    <w:p w14:paraId="10F01501">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2.2 检测项目覆盖范围：全面覆盖 CpG 岛、甲基化位点、增强子、超甲基化位点、启动子区域等，每个样本检测＞935,000个 CpG 位点。</w:t>
      </w:r>
    </w:p>
    <w:p w14:paraId="6B6041A4">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2.3 分辨率：单碱基分辨率，直接获得准确的甲基化位点信息。</w:t>
      </w:r>
    </w:p>
    <w:p w14:paraId="45F19F38">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2.4、甲基化测量可重复性：≥99%的可重现性。</w:t>
      </w:r>
    </w:p>
    <w:p w14:paraId="76A82856">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2.5 分析灵敏度：可检测</w:t>
      </w:r>
      <w:r>
        <w:rPr>
          <w:rFonts w:hint="eastAsia" w:ascii="宋体" w:hAnsi="宋体" w:eastAsia="宋体" w:cs="宋体"/>
          <w:sz w:val="24"/>
          <w:szCs w:val="24"/>
          <w:highlight w:val="none"/>
        </w:rPr>
        <w:t>β</w:t>
      </w:r>
      <w:r>
        <w:rPr>
          <w:rFonts w:hint="eastAsia" w:ascii="宋体" w:hAnsi="宋体" w:eastAsia="宋体" w:cs="宋体"/>
          <w:sz w:val="24"/>
          <w:szCs w:val="24"/>
          <w:highlight w:val="none"/>
          <w:lang w:eastAsia="zh-CN"/>
        </w:rPr>
        <w:t>值≤0.2 的差异，假阳性率≤1%。</w:t>
      </w:r>
    </w:p>
    <w:p w14:paraId="7361A9F0">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2.6 高度相关性：与靶向亚硫酸氢盐测序数据之间具有高度相关性。</w:t>
      </w:r>
    </w:p>
    <w:p w14:paraId="00FDA4E5">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▲2.7 检测平台：实验室需同时具备 NGS及935K甲基化检测平台。</w:t>
      </w:r>
    </w:p>
    <w:p w14:paraId="4312342E">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（四）服务要求</w:t>
      </w:r>
    </w:p>
    <w:p w14:paraId="37CA350D">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（1）服务流程包含样本收集、运输过程、检测过程等环节。</w:t>
      </w:r>
    </w:p>
    <w:p w14:paraId="4BD43E11">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（2）报告周期：自实验室收到样本之日起不超过11个自然日。</w:t>
      </w:r>
    </w:p>
    <w:p w14:paraId="45E17620">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（3）安排至少五名专职人员配合院方，负责样品接收、核对、实验进展跟进和检测结果反馈等具体工作。</w:t>
      </w:r>
    </w:p>
    <w:p w14:paraId="481A737F">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（4）针对本项目需成立专门的技术服务团队，其中实验人员均需具有检验医学等医学相关专业大学专科（含）以上学历，均具有《临床基因扩增检验上岗资格证》（提供证书复印件）。</w:t>
      </w:r>
    </w:p>
    <w:p w14:paraId="6DA55076">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（5）出现问题/疑问响应时间：30分钟以内。具有详细的应急预案，针对突发状况具备快速反应机制，可最大程度保障样本安全，确保检测顺利进行。</w:t>
      </w:r>
    </w:p>
    <w:p w14:paraId="045B5E07">
      <w:pPr>
        <w:spacing w:line="360" w:lineRule="auto"/>
        <w:rPr>
          <w:rFonts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（6）投标单位具备全国范围内的样本物流接收与配送服务能力。</w:t>
      </w:r>
    </w:p>
    <w:p w14:paraId="0923EDC8">
      <w:pPr>
        <w:widowControl/>
        <w:spacing w:line="360" w:lineRule="auto"/>
        <w:ind w:firstLine="241" w:firstLineChars="100"/>
        <w:contextualSpacing/>
        <w:rPr>
          <w:rFonts w:ascii="宋体" w:hAnsi="宋体" w:eastAsia="宋体" w:cs="宋体"/>
          <w:b/>
          <w:bCs/>
          <w:sz w:val="24"/>
          <w:szCs w:val="24"/>
          <w:lang w:eastAsia="zh-CN"/>
        </w:rPr>
      </w:pPr>
      <w:r>
        <w:rPr>
          <w:rFonts w:hint="eastAsia" w:ascii="宋体" w:hAnsi="宋体" w:eastAsia="宋体" w:cs="宋体"/>
          <w:b/>
          <w:bCs/>
          <w:sz w:val="24"/>
          <w:szCs w:val="24"/>
          <w:lang w:eastAsia="zh-CN"/>
        </w:rPr>
        <w:t>2.2 采购标的需满足的服务标准、期限、效率等要求；</w:t>
      </w:r>
    </w:p>
    <w:p w14:paraId="3DED8BD5">
      <w:pPr>
        <w:tabs>
          <w:tab w:val="left" w:pos="900"/>
        </w:tabs>
        <w:autoSpaceDE/>
        <w:autoSpaceDN/>
        <w:spacing w:line="360" w:lineRule="auto"/>
        <w:ind w:firstLine="240" w:firstLineChars="100"/>
        <w:rPr>
          <w:rFonts w:ascii="宋体" w:hAnsi="宋体" w:eastAsia="宋体" w:cs="宋体"/>
          <w:sz w:val="24"/>
          <w:szCs w:val="24"/>
          <w:lang w:eastAsia="zh-CN"/>
        </w:rPr>
      </w:pPr>
      <w:r>
        <w:rPr>
          <w:rFonts w:hint="eastAsia" w:ascii="宋体" w:hAnsi="宋体" w:eastAsia="宋体" w:cs="宋体"/>
          <w:sz w:val="24"/>
          <w:szCs w:val="24"/>
          <w:lang w:eastAsia="zh-CN"/>
        </w:rPr>
        <w:t>（1）采购标的需满足的服务标准、效率要求</w:t>
      </w:r>
    </w:p>
    <w:p w14:paraId="0269A138">
      <w:pPr>
        <w:spacing w:line="360" w:lineRule="auto"/>
        <w:ind w:firstLine="480" w:firstLineChars="200"/>
        <w:contextualSpacing/>
        <w:rPr>
          <w:rFonts w:ascii="宋体" w:hAnsi="宋体" w:eastAsia="宋体" w:cs="宋体"/>
          <w:sz w:val="24"/>
          <w:szCs w:val="24"/>
          <w:lang w:eastAsia="zh-CN"/>
        </w:rPr>
      </w:pPr>
      <w:r>
        <w:rPr>
          <w:rFonts w:hint="eastAsia" w:ascii="宋体" w:hAnsi="宋体" w:eastAsia="宋体" w:cs="宋体"/>
          <w:sz w:val="24"/>
          <w:szCs w:val="24"/>
          <w:lang w:eastAsia="zh-CN"/>
        </w:rPr>
        <w:t>详见 需满足的质量、安全、技术规格、物理特性等要求。</w:t>
      </w:r>
    </w:p>
    <w:p w14:paraId="375BC9F2">
      <w:pPr>
        <w:tabs>
          <w:tab w:val="left" w:pos="900"/>
        </w:tabs>
        <w:autoSpaceDE/>
        <w:autoSpaceDN/>
        <w:spacing w:line="360" w:lineRule="auto"/>
        <w:ind w:firstLine="220" w:firstLineChars="100"/>
        <w:rPr>
          <w:rFonts w:ascii="宋体" w:hAnsi="宋体" w:eastAsia="宋体" w:cs="宋体"/>
          <w:sz w:val="24"/>
          <w:szCs w:val="24"/>
          <w:lang w:eastAsia="zh-CN"/>
        </w:rPr>
      </w:pPr>
      <w:r>
        <w:rPr>
          <w:rFonts w:hint="eastAsia" w:ascii="宋体" w:hAnsi="宋体" w:eastAsia="宋体" w:cs="宋体"/>
          <w:szCs w:val="24"/>
          <w:lang w:eastAsia="zh-CN"/>
        </w:rPr>
        <w:t>（</w:t>
      </w:r>
      <w:r>
        <w:rPr>
          <w:rFonts w:hint="eastAsia" w:ascii="宋体" w:hAnsi="宋体" w:eastAsia="宋体" w:cs="宋体"/>
          <w:sz w:val="24"/>
          <w:szCs w:val="24"/>
          <w:lang w:eastAsia="zh-CN"/>
        </w:rPr>
        <w:t>2）采购标的需满足的服务期限要求</w:t>
      </w:r>
    </w:p>
    <w:p w14:paraId="0D67FD1B">
      <w:pPr>
        <w:tabs>
          <w:tab w:val="left" w:pos="900"/>
        </w:tabs>
        <w:autoSpaceDE/>
        <w:autoSpaceDN/>
        <w:spacing w:line="360" w:lineRule="auto"/>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服务期限：一年。</w:t>
      </w:r>
    </w:p>
    <w:p w14:paraId="38314438">
      <w:pPr>
        <w:tabs>
          <w:tab w:val="left" w:pos="900"/>
        </w:tabs>
        <w:spacing w:line="360" w:lineRule="auto"/>
        <w:ind w:firstLine="482" w:firstLineChars="200"/>
        <w:rPr>
          <w:rFonts w:ascii="宋体" w:hAnsi="宋体" w:eastAsia="宋体" w:cs="宋体"/>
          <w:b/>
          <w:bCs/>
          <w:sz w:val="24"/>
          <w:szCs w:val="24"/>
          <w:lang w:eastAsia="zh-CN"/>
        </w:rPr>
      </w:pPr>
      <w:r>
        <w:rPr>
          <w:rFonts w:hint="eastAsia" w:ascii="宋体" w:hAnsi="宋体" w:eastAsia="宋体" w:cs="宋体"/>
          <w:b/>
          <w:bCs/>
          <w:sz w:val="24"/>
          <w:szCs w:val="24"/>
          <w:lang w:eastAsia="zh-CN"/>
        </w:rPr>
        <w:t>2.3为落实政府采购政策需满足的要求；</w:t>
      </w:r>
    </w:p>
    <w:p w14:paraId="6DDFA7B8">
      <w:pPr>
        <w:tabs>
          <w:tab w:val="left" w:pos="900"/>
        </w:tabs>
        <w:spacing w:line="360" w:lineRule="auto"/>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1）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4514131B">
      <w:pPr>
        <w:tabs>
          <w:tab w:val="left" w:pos="900"/>
        </w:tabs>
        <w:spacing w:line="360" w:lineRule="auto"/>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（2）监狱企业扶持政策：供应商所投产品为监狱企业制造的，将视同为小型或微型企业，将对该投标产品的投标价给予10%的扣除。</w:t>
      </w:r>
      <w:r>
        <w:rPr>
          <w:rFonts w:hint="eastAsia" w:ascii="宋体" w:hAnsi="宋体" w:eastAsia="宋体" w:cs="宋体"/>
          <w:iCs/>
          <w:sz w:val="24"/>
          <w:szCs w:val="24"/>
          <w:lang w:eastAsia="zh-CN"/>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ascii="宋体" w:hAnsi="宋体" w:eastAsia="宋体" w:cs="宋体"/>
          <w:sz w:val="24"/>
          <w:szCs w:val="24"/>
          <w:lang w:eastAsia="zh-CN"/>
        </w:rPr>
        <w:t>。（专门面向中小企业采购或预留份额的情况不适用）</w:t>
      </w:r>
    </w:p>
    <w:p w14:paraId="45872B56">
      <w:pPr>
        <w:tabs>
          <w:tab w:val="left" w:pos="900"/>
        </w:tabs>
        <w:spacing w:line="360" w:lineRule="auto"/>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3）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3EC7F0B5">
      <w:pPr>
        <w:autoSpaceDE/>
        <w:autoSpaceDN/>
        <w:spacing w:line="360" w:lineRule="auto"/>
        <w:ind w:firstLine="480" w:firstLineChars="200"/>
        <w:rPr>
          <w:rFonts w:ascii="宋体" w:hAnsi="宋体" w:eastAsia="宋体" w:cs="宋体"/>
          <w:sz w:val="24"/>
          <w:szCs w:val="24"/>
          <w:lang w:eastAsia="zh-CN"/>
        </w:rPr>
      </w:pPr>
      <w:r>
        <w:rPr>
          <w:rFonts w:hint="eastAsia" w:ascii="宋体" w:hAnsi="宋体" w:eastAsia="宋体" w:cs="宋体"/>
          <w:sz w:val="24"/>
          <w:szCs w:val="24"/>
          <w:lang w:eastAsia="zh-CN"/>
        </w:rPr>
        <w:t>（4）鼓励节能、环保政策：依据《财政部发展改革委生态环境部市场监管总局关于调整优化节能产品、环境标志产品政府采购执行机制的通知（财库（2019）9号）》执行。</w:t>
      </w:r>
    </w:p>
    <w:p w14:paraId="52AD57D0">
      <w:pPr>
        <w:autoSpaceDE/>
        <w:autoSpaceDN/>
        <w:spacing w:line="360" w:lineRule="auto"/>
        <w:ind w:firstLine="482" w:firstLineChars="200"/>
        <w:rPr>
          <w:rFonts w:ascii="宋体" w:hAnsi="宋体" w:eastAsia="宋体" w:cs="宋体"/>
          <w:b/>
          <w:bCs/>
          <w:sz w:val="24"/>
          <w:szCs w:val="24"/>
          <w:lang w:eastAsia="zh-CN"/>
        </w:rPr>
      </w:pPr>
      <w:r>
        <w:rPr>
          <w:rFonts w:hint="eastAsia" w:ascii="宋体" w:hAnsi="宋体" w:eastAsia="宋体" w:cs="宋体"/>
          <w:b/>
          <w:bCs/>
          <w:sz w:val="24"/>
          <w:szCs w:val="24"/>
          <w:lang w:eastAsia="zh-CN"/>
        </w:rPr>
        <w:t>2.4采购标的的其他技术、服务等要求；</w:t>
      </w:r>
    </w:p>
    <w:p w14:paraId="11654BA5">
      <w:pPr>
        <w:tabs>
          <w:tab w:val="left" w:pos="900"/>
        </w:tabs>
        <w:spacing w:line="360" w:lineRule="auto"/>
        <w:ind w:firstLine="480" w:firstLineChars="200"/>
        <w:rPr>
          <w:rFonts w:ascii="宋体" w:hAnsi="宋体" w:eastAsia="宋体" w:cs="宋体"/>
          <w:bCs/>
          <w:sz w:val="24"/>
          <w:szCs w:val="24"/>
          <w:lang w:eastAsia="zh-CN"/>
        </w:rPr>
      </w:pPr>
      <w:r>
        <w:rPr>
          <w:rFonts w:hint="eastAsia" w:ascii="宋体" w:hAnsi="宋体" w:eastAsia="宋体" w:cs="宋体"/>
          <w:bCs/>
          <w:sz w:val="24"/>
          <w:szCs w:val="24"/>
          <w:lang w:eastAsia="zh-CN"/>
        </w:rPr>
        <w:t>投标人需按照招标文件要求提供整体服务方案、售后服务方案、培训方案应急预案及措施等。</w:t>
      </w:r>
    </w:p>
    <w:p w14:paraId="5CA8BA0A">
      <w:pPr>
        <w:tabs>
          <w:tab w:val="left" w:pos="900"/>
        </w:tabs>
        <w:spacing w:line="360" w:lineRule="auto"/>
        <w:ind w:firstLine="482" w:firstLineChars="200"/>
        <w:rPr>
          <w:rFonts w:ascii="宋体" w:hAnsi="宋体" w:eastAsia="宋体" w:cs="宋体"/>
          <w:b/>
          <w:sz w:val="24"/>
          <w:szCs w:val="24"/>
          <w:lang w:eastAsia="zh-CN"/>
        </w:rPr>
      </w:pPr>
      <w:r>
        <w:rPr>
          <w:rFonts w:hint="eastAsia" w:ascii="宋体" w:hAnsi="宋体" w:eastAsia="宋体" w:cs="宋体"/>
          <w:b/>
          <w:sz w:val="24"/>
          <w:szCs w:val="24"/>
          <w:lang w:eastAsia="zh-CN"/>
        </w:rPr>
        <w:t>3.采购标的的验收标准</w:t>
      </w:r>
    </w:p>
    <w:p w14:paraId="1FB96191">
      <w:pPr>
        <w:tabs>
          <w:tab w:val="left" w:pos="900"/>
        </w:tabs>
        <w:spacing w:line="360" w:lineRule="auto"/>
        <w:ind w:firstLine="480" w:firstLineChars="200"/>
        <w:rPr>
          <w:rFonts w:ascii="宋体" w:hAnsi="宋体" w:eastAsia="宋体" w:cs="宋体"/>
          <w:bCs/>
          <w:sz w:val="24"/>
          <w:szCs w:val="24"/>
          <w:lang w:eastAsia="zh-CN"/>
        </w:rPr>
      </w:pPr>
      <w:r>
        <w:rPr>
          <w:rFonts w:hint="eastAsia" w:ascii="宋体" w:hAnsi="宋体" w:eastAsia="宋体" w:cs="宋体"/>
          <w:bCs/>
          <w:sz w:val="24"/>
          <w:szCs w:val="24"/>
          <w:lang w:eastAsia="zh-CN"/>
        </w:rPr>
        <w:t>3.1.符合人员选择条件和数量。</w:t>
      </w:r>
    </w:p>
    <w:p w14:paraId="0880CF2F">
      <w:pPr>
        <w:tabs>
          <w:tab w:val="left" w:pos="900"/>
        </w:tabs>
        <w:spacing w:line="360" w:lineRule="auto"/>
        <w:ind w:firstLine="480" w:firstLineChars="200"/>
        <w:rPr>
          <w:rFonts w:ascii="宋体" w:hAnsi="宋体" w:eastAsia="宋体" w:cs="宋体"/>
          <w:bCs/>
          <w:sz w:val="24"/>
          <w:szCs w:val="24"/>
          <w:lang w:eastAsia="zh-CN"/>
        </w:rPr>
      </w:pPr>
      <w:r>
        <w:rPr>
          <w:rFonts w:hint="eastAsia" w:ascii="宋体" w:hAnsi="宋体" w:eastAsia="宋体" w:cs="宋体"/>
          <w:bCs/>
          <w:sz w:val="24"/>
          <w:szCs w:val="24"/>
          <w:lang w:eastAsia="zh-CN"/>
        </w:rPr>
        <w:t>3.2.投标人配置的硬件设备（如需）符合采购人要求。</w:t>
      </w:r>
    </w:p>
    <w:p w14:paraId="1BA0B4F0">
      <w:pPr>
        <w:tabs>
          <w:tab w:val="left" w:pos="900"/>
        </w:tabs>
        <w:spacing w:line="360" w:lineRule="auto"/>
        <w:ind w:firstLine="480" w:firstLineChars="200"/>
        <w:rPr>
          <w:rFonts w:ascii="宋体" w:hAnsi="宋体" w:eastAsia="宋体" w:cs="宋体"/>
          <w:bCs/>
          <w:sz w:val="24"/>
          <w:szCs w:val="24"/>
          <w:lang w:eastAsia="zh-CN"/>
        </w:rPr>
      </w:pPr>
      <w:r>
        <w:rPr>
          <w:rFonts w:hint="eastAsia" w:ascii="宋体" w:hAnsi="宋体" w:eastAsia="宋体" w:cs="宋体"/>
          <w:bCs/>
          <w:sz w:val="24"/>
          <w:szCs w:val="24"/>
          <w:lang w:eastAsia="zh-CN"/>
        </w:rPr>
        <w:t>3.3.完成采购人要求的工作内容。</w:t>
      </w:r>
    </w:p>
    <w:p w14:paraId="632F4B91">
      <w:pPr>
        <w:tabs>
          <w:tab w:val="left" w:pos="900"/>
        </w:tabs>
        <w:spacing w:line="360" w:lineRule="auto"/>
        <w:ind w:firstLine="480" w:firstLineChars="200"/>
      </w:pPr>
      <w:r>
        <w:rPr>
          <w:rFonts w:hint="eastAsia" w:ascii="宋体" w:hAnsi="宋体" w:eastAsia="宋体" w:cs="宋体"/>
          <w:bCs/>
          <w:sz w:val="24"/>
          <w:szCs w:val="24"/>
          <w:lang w:eastAsia="zh-CN"/>
        </w:rPr>
        <w:t>3.4.达到采购人要求的服务和质量标准。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444C26"/>
    <w:rsid w:val="25D043BC"/>
    <w:rsid w:val="36B80769"/>
    <w:rsid w:val="38444C26"/>
    <w:rsid w:val="3E530FD1"/>
    <w:rsid w:val="57D05FA1"/>
    <w:rsid w:val="69284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paragraph" w:styleId="3">
    <w:name w:val="heading 2"/>
    <w:basedOn w:val="1"/>
    <w:next w:val="1"/>
    <w:qFormat/>
    <w:uiPriority w:val="1"/>
    <w:pPr>
      <w:ind w:left="121"/>
      <w:outlineLvl w:val="1"/>
    </w:pPr>
    <w:rPr>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sz w:val="24"/>
      <w:szCs w:val="24"/>
    </w:rPr>
  </w:style>
  <w:style w:type="paragraph" w:styleId="5">
    <w:name w:val="Plain Text"/>
    <w:basedOn w:val="1"/>
    <w:unhideWhenUsed/>
    <w:qFormat/>
    <w:uiPriority w:val="0"/>
    <w:rPr>
      <w:rFonts w:hAnsi="Courier New" w:cs="Courier New"/>
      <w:sz w:val="24"/>
      <w:szCs w:val="21"/>
    </w:rPr>
  </w:style>
  <w:style w:type="paragraph" w:styleId="6">
    <w:name w:val="toc 2"/>
    <w:basedOn w:val="1"/>
    <w:next w:val="1"/>
    <w:qFormat/>
    <w:uiPriority w:val="39"/>
    <w:pPr>
      <w:tabs>
        <w:tab w:val="right" w:leader="dot" w:pos="8937"/>
      </w:tabs>
      <w:spacing w:line="312" w:lineRule="auto"/>
      <w:ind w:left="420" w:leftChars="200"/>
    </w:pPr>
  </w:style>
  <w:style w:type="paragraph" w:styleId="7">
    <w:name w:val="Title"/>
    <w:basedOn w:val="1"/>
    <w:qFormat/>
    <w:uiPriority w:val="0"/>
    <w:pPr>
      <w:jc w:val="center"/>
      <w:outlineLvl w:val="0"/>
    </w:pPr>
    <w:rPr>
      <w:b/>
      <w:sz w:val="32"/>
      <w:szCs w:val="20"/>
    </w:rPr>
  </w:style>
  <w:style w:type="paragraph" w:customStyle="1" w:styleId="10">
    <w:name w:val="列表段落1"/>
    <w:basedOn w:val="1"/>
    <w:qFormat/>
    <w:uiPriority w:val="1"/>
    <w:pPr>
      <w:spacing w:before="134"/>
      <w:ind w:left="1196" w:hanging="720"/>
    </w:pPr>
    <w:rPr>
      <w:sz w:val="20"/>
    </w:rPr>
  </w:style>
  <w:style w:type="paragraph" w:customStyle="1" w:styleId="11">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14209</Words>
  <Characters>14681</Characters>
  <Lines>0</Lines>
  <Paragraphs>0</Paragraphs>
  <TotalTime>0</TotalTime>
  <ScaleCrop>false</ScaleCrop>
  <LinksUpToDate>false</LinksUpToDate>
  <CharactersWithSpaces>15149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2026-05-26T09:23:00Z</dcterms:created>
  <dc:creator>王崴</dc:creator>
  <cp:lastModifiedBy>Serena</cp:lastModifiedBy>
  <dcterms:modified xsi:type="dcterms:W3CDTF">2026-08-24T01:21:48Z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AAF2E0C7C6124112BB1D7BCBD48612D1_11</vt:lpwstr>
  </property>
  <property fmtid="{D5CDD505-2E9C-101B-9397-08002B2CF9AE}" pid="4" name="KSOTemplateDocerSaveRecord">
    <vt:lpwstr>eyJoZGlkIjoiMTUxNjU4Y2I1ZTg1ZmY0MTJiZWRhYWQxYzNmOTNlNDEiLCJ1c2VySWQiOiIyMTg5Mjc5NjMifQ==</vt:lpwstr>
  </property>
</Properties>
</file>