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6086A">
      <w:pPr>
        <w:spacing w:line="360" w:lineRule="auto"/>
        <w:contextualSpacing/>
        <w:jc w:val="center"/>
        <w:rPr>
          <w:rFonts w:hint="eastAsia" w:ascii="Times New Roman" w:hAnsi="Times New Roman" w:eastAsia="宋体" w:cs="Times New Roman"/>
          <w:b/>
          <w:bCs/>
          <w:sz w:val="36"/>
          <w:szCs w:val="36"/>
          <w:highlight w:val="none"/>
          <w:lang w:val="en-US" w:eastAsia="zh-CN"/>
        </w:rPr>
      </w:pPr>
      <w:r>
        <w:rPr>
          <w:rFonts w:hint="eastAsia" w:ascii="Times New Roman" w:hAnsi="Times New Roman" w:eastAsia="宋体" w:cs="Times New Roman"/>
          <w:b/>
          <w:bCs/>
          <w:sz w:val="36"/>
          <w:szCs w:val="36"/>
          <w:highlight w:val="none"/>
          <w:lang w:val="en-US" w:eastAsia="zh-CN"/>
        </w:rPr>
        <w:t>采购需求</w:t>
      </w:r>
    </w:p>
    <w:p w14:paraId="1B848FC2">
      <w:pPr>
        <w:numPr>
          <w:ilvl w:val="0"/>
          <w:numId w:val="1"/>
        </w:numPr>
        <w:jc w:val="both"/>
        <w:rPr>
          <w:rFonts w:hint="default"/>
          <w:b/>
          <w:bCs/>
          <w:lang w:val="en-US" w:eastAsia="zh-CN"/>
        </w:rPr>
      </w:pPr>
      <w:r>
        <w:rPr>
          <w:rFonts w:hint="eastAsia"/>
          <w:b/>
          <w:bCs/>
          <w:lang w:val="en-US" w:eastAsia="zh-CN"/>
        </w:rPr>
        <w:t>采购标的</w:t>
      </w:r>
    </w:p>
    <w:p w14:paraId="32C98788">
      <w:pPr>
        <w:numPr>
          <w:ilvl w:val="0"/>
          <w:numId w:val="2"/>
        </w:numPr>
        <w:jc w:val="both"/>
        <w:rPr>
          <w:rFonts w:hint="eastAsia"/>
          <w:lang w:val="en-US" w:eastAsia="zh-CN"/>
        </w:rPr>
      </w:pPr>
      <w:r>
        <w:rPr>
          <w:rFonts w:hint="eastAsia"/>
          <w:lang w:val="en-US" w:eastAsia="zh-CN"/>
        </w:rPr>
        <w:t>项目预算</w:t>
      </w:r>
    </w:p>
    <w:p w14:paraId="6687EE85">
      <w:pPr>
        <w:numPr>
          <w:ilvl w:val="0"/>
          <w:numId w:val="0"/>
        </w:numPr>
        <w:jc w:val="both"/>
        <w:rPr>
          <w:rFonts w:hint="eastAsia"/>
          <w:lang w:val="en-US" w:eastAsia="zh-CN"/>
        </w:rPr>
      </w:pPr>
      <w:r>
        <w:rPr>
          <w:rFonts w:hint="eastAsia"/>
          <w:lang w:val="en-US" w:eastAsia="zh-CN"/>
        </w:rPr>
        <w:t>总预算：106.12万元</w:t>
      </w:r>
    </w:p>
    <w:p w14:paraId="4F03F03C">
      <w:pPr>
        <w:pStyle w:val="6"/>
        <w:numPr>
          <w:ilvl w:val="0"/>
          <w:numId w:val="2"/>
        </w:numPr>
        <w:topLinePunct/>
        <w:ind w:left="0" w:leftChars="0" w:firstLine="0" w:firstLineChars="0"/>
        <w:rPr>
          <w:rFonts w:hint="eastAsia" w:ascii="宋体" w:hAnsi="宋体" w:cs="宋体"/>
          <w:b w:val="0"/>
          <w:bCs/>
          <w:color w:val="000000"/>
          <w:kern w:val="2"/>
          <w:sz w:val="21"/>
          <w:szCs w:val="21"/>
          <w:lang w:val="en-US" w:eastAsia="zh-CN" w:bidi="ar-SA"/>
        </w:rPr>
      </w:pPr>
      <w:r>
        <w:rPr>
          <w:rFonts w:hint="eastAsia" w:ascii="宋体" w:hAnsi="宋体" w:cs="宋体"/>
          <w:b w:val="0"/>
          <w:bCs/>
          <w:color w:val="000000"/>
          <w:kern w:val="2"/>
          <w:sz w:val="21"/>
          <w:szCs w:val="21"/>
          <w:lang w:val="en-US" w:eastAsia="zh-CN" w:bidi="ar-SA"/>
        </w:rPr>
        <w:t>采购须知</w:t>
      </w:r>
    </w:p>
    <w:p w14:paraId="1D1ABFF7">
      <w:pPr>
        <w:pStyle w:val="3"/>
        <w:numPr>
          <w:ilvl w:val="0"/>
          <w:numId w:val="0"/>
        </w:numPr>
        <w:snapToGrid w:val="0"/>
        <w:spacing w:line="400" w:lineRule="exact"/>
        <w:ind w:leftChars="0" w:firstLine="420" w:firstLineChars="200"/>
        <w:rPr>
          <w:rFonts w:hint="eastAsia" w:ascii="宋体" w:hAnsi="宋体" w:cs="宋体" w:eastAsiaTheme="minorEastAsia"/>
          <w:b/>
          <w:color w:val="000000"/>
          <w:kern w:val="2"/>
          <w:sz w:val="21"/>
          <w:szCs w:val="21"/>
          <w:lang w:val="en-US" w:eastAsia="zh-CN" w:bidi="ar-SA"/>
        </w:rPr>
      </w:pPr>
      <w:r>
        <w:rPr>
          <w:rFonts w:hint="eastAsia" w:ascii="宋体" w:hAnsi="宋体" w:cs="宋体"/>
          <w:b w:val="0"/>
          <w:bCs/>
          <w:color w:val="000000"/>
          <w:kern w:val="2"/>
          <w:sz w:val="21"/>
          <w:szCs w:val="21"/>
          <w:lang w:val="en-US" w:eastAsia="zh-CN" w:bidi="ar-SA"/>
        </w:rPr>
        <w:t xml:space="preserve">    </w:t>
      </w:r>
      <w:r>
        <w:rPr>
          <w:rFonts w:hint="eastAsia" w:ascii="宋体" w:hAnsi="宋体" w:cs="宋体"/>
          <w:b w:val="0"/>
          <w:bCs/>
          <w:color w:val="000000"/>
          <w:sz w:val="21"/>
          <w:szCs w:val="21"/>
          <w:highlight w:val="none"/>
        </w:rPr>
        <w:t>本项目专门面向中小型企业采购</w:t>
      </w:r>
      <w:r>
        <w:rPr>
          <w:rFonts w:hint="eastAsia" w:ascii="宋体" w:hAnsi="宋体" w:cs="宋体"/>
          <w:b w:val="0"/>
          <w:bCs/>
          <w:color w:val="000000"/>
          <w:sz w:val="21"/>
          <w:szCs w:val="21"/>
          <w:highlight w:val="none"/>
          <w:lang w:eastAsia="zh-CN"/>
        </w:rPr>
        <w:t>；</w:t>
      </w:r>
      <w:r>
        <w:rPr>
          <w:rFonts w:hint="eastAsia" w:ascii="宋体" w:hAnsi="宋体" w:cs="宋体"/>
          <w:b w:val="0"/>
          <w:bCs/>
          <w:color w:val="000000"/>
          <w:sz w:val="21"/>
          <w:szCs w:val="21"/>
          <w:highlight w:val="none"/>
        </w:rPr>
        <w:t>投标人所投货物仅限产自中国境内的产品</w:t>
      </w:r>
      <w:r>
        <w:rPr>
          <w:rFonts w:hint="eastAsia" w:ascii="宋体" w:hAnsi="宋体" w:cs="宋体"/>
          <w:b w:val="0"/>
          <w:bCs/>
          <w:color w:val="000000"/>
          <w:sz w:val="21"/>
          <w:szCs w:val="21"/>
          <w:highlight w:val="none"/>
          <w:lang w:eastAsia="zh-CN"/>
        </w:rPr>
        <w:t>；</w:t>
      </w:r>
      <w:r>
        <w:rPr>
          <w:rFonts w:ascii="宋体" w:hAnsi="宋体"/>
        </w:rPr>
        <w:t>包装和运输（须满足《关于印发〈商品包装政府采购需求标准（试行）〉、〈快递包装政府采购需求标准（试行）〉的通知》（财办库﹝2020﹞123号））</w:t>
      </w:r>
      <w:r>
        <w:rPr>
          <w:rFonts w:hint="eastAsia" w:ascii="宋体" w:hAnsi="宋体" w:cs="宋体"/>
          <w:b w:val="0"/>
          <w:bCs/>
          <w:color w:val="000000"/>
          <w:sz w:val="21"/>
          <w:szCs w:val="21"/>
          <w:highlight w:val="none"/>
        </w:rPr>
        <w:t>。</w:t>
      </w:r>
    </w:p>
    <w:p w14:paraId="6082017D">
      <w:pPr>
        <w:numPr>
          <w:ilvl w:val="0"/>
          <w:numId w:val="2"/>
        </w:numPr>
        <w:jc w:val="both"/>
        <w:rPr>
          <w:rFonts w:hint="default" w:eastAsia="宋体"/>
          <w:b w:val="0"/>
          <w:bCs/>
          <w:lang w:val="en-US" w:eastAsia="zh-CN"/>
        </w:rPr>
      </w:pPr>
      <w:r>
        <w:rPr>
          <w:rFonts w:hint="eastAsia"/>
          <w:lang w:eastAsia="zh-CN"/>
        </w:rPr>
        <w:t>本项目所有产品不</w:t>
      </w:r>
      <w:r>
        <w:rPr>
          <w:bCs/>
          <w:sz w:val="24"/>
          <w:highlight w:val="none"/>
        </w:rPr>
        <w:t>接受进口产品。</w:t>
      </w:r>
    </w:p>
    <w:p w14:paraId="1CBB0A89">
      <w:pPr>
        <w:numPr>
          <w:ilvl w:val="0"/>
          <w:numId w:val="2"/>
        </w:numPr>
        <w:jc w:val="both"/>
        <w:rPr>
          <w:rFonts w:hint="default" w:eastAsia="宋体"/>
          <w:b w:val="0"/>
          <w:bCs/>
          <w:lang w:val="en-US" w:eastAsia="zh-CN"/>
        </w:rPr>
      </w:pPr>
      <w:r>
        <w:rPr>
          <w:rFonts w:hint="eastAsia"/>
          <w:b w:val="0"/>
          <w:bCs/>
          <w:lang w:val="en-US" w:eastAsia="zh-CN"/>
        </w:rPr>
        <w:t>货物需求一览表</w:t>
      </w:r>
    </w:p>
    <w:tbl>
      <w:tblPr>
        <w:tblStyle w:val="4"/>
        <w:tblW w:w="85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85"/>
        <w:gridCol w:w="2821"/>
        <w:gridCol w:w="1183"/>
        <w:gridCol w:w="1302"/>
        <w:gridCol w:w="2228"/>
      </w:tblGrid>
      <w:tr w14:paraId="3283A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004A8">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2821" w:type="dxa"/>
            <w:tcBorders>
              <w:top w:val="single" w:color="000000" w:sz="4" w:space="0"/>
              <w:left w:val="single" w:color="000000" w:sz="4" w:space="0"/>
              <w:bottom w:val="nil"/>
              <w:right w:val="nil"/>
            </w:tcBorders>
            <w:shd w:val="clear" w:color="auto" w:fill="auto"/>
            <w:vAlign w:val="center"/>
          </w:tcPr>
          <w:p w14:paraId="5A1E5B9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货物或服务名称</w:t>
            </w:r>
          </w:p>
        </w:tc>
        <w:tc>
          <w:tcPr>
            <w:tcW w:w="1183" w:type="dxa"/>
            <w:tcBorders>
              <w:top w:val="single" w:color="000000" w:sz="4" w:space="0"/>
              <w:left w:val="single" w:color="000000" w:sz="4" w:space="0"/>
              <w:bottom w:val="nil"/>
              <w:right w:val="nil"/>
            </w:tcBorders>
            <w:shd w:val="clear" w:color="auto" w:fill="auto"/>
            <w:vAlign w:val="center"/>
          </w:tcPr>
          <w:p w14:paraId="1A85B23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1302" w:type="dxa"/>
            <w:tcBorders>
              <w:top w:val="single" w:color="000000" w:sz="4" w:space="0"/>
              <w:left w:val="single" w:color="000000" w:sz="4" w:space="0"/>
              <w:bottom w:val="nil"/>
              <w:right w:val="nil"/>
            </w:tcBorders>
            <w:shd w:val="clear" w:color="auto" w:fill="auto"/>
            <w:vAlign w:val="center"/>
          </w:tcPr>
          <w:p w14:paraId="041E33B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2228" w:type="dxa"/>
            <w:tcBorders>
              <w:top w:val="single" w:color="000000" w:sz="4" w:space="0"/>
              <w:left w:val="single" w:color="000000" w:sz="4" w:space="0"/>
              <w:bottom w:val="nil"/>
              <w:right w:val="single" w:color="000000" w:sz="4" w:space="0"/>
            </w:tcBorders>
            <w:shd w:val="clear" w:color="auto" w:fill="auto"/>
            <w:vAlign w:val="center"/>
          </w:tcPr>
          <w:p w14:paraId="53CA001E">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所属行业</w:t>
            </w:r>
          </w:p>
        </w:tc>
      </w:tr>
      <w:tr w14:paraId="58FA7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6E15F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F0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班椅</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CD5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04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8FC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4C7F8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36EB5B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04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办公椅</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5E2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78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FC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A98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6C5BE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3A1FEB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F3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会议椅</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9E2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09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C5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624B4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798C88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D3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办公椅</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1FA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8DC2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061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414BA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22692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C3A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会议椅</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28D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110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14C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9E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6831C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453D04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70D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班台</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BCF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24A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607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068B4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74E67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15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电脑桌</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96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D0D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94B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616C4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32BDC9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3C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办公桌</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9F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5C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5C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5022A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2932FB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353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办公桌</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574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8F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5CF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4586A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4ABA9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E7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直桌屏风工位</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5A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E26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AC5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07211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694FF6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41D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转角屏风工位</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39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3A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E3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40C8C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050389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E5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洽谈桌</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4B0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7BF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8A9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09ADD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3B33AB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7CA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洽谈桌</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1C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8E25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B51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1A821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179442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C9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会议桌</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6EE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6CFA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129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35C46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16A4EA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4F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圆茶几</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5C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D08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3D6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01AA8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24FA4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1A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长茶几</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B3F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891B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25F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2B7AD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7F21F7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EE22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长茶几</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EA8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EC13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D3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5C2EE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047A0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5BA7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长茶几</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30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2E3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84F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757B2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4FF5E6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4BF0C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休闲沙发</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AD9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24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97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CA5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1371F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4F81C1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FAC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F9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FC8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6A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3AA26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47B04A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6B1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组合柜</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8E1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84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0D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35328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55540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D19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更衣柜</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A4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E3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07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69E8D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060C74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AFCE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玻璃文件柜</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13F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8C5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E53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4748D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auto" w:sz="4" w:space="0"/>
              <w:right w:val="nil"/>
            </w:tcBorders>
            <w:shd w:val="clear" w:color="auto" w:fill="FFFFFF"/>
            <w:noWrap/>
            <w:vAlign w:val="center"/>
          </w:tcPr>
          <w:p w14:paraId="48771E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82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E8EAA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文件柜</w:t>
            </w:r>
          </w:p>
        </w:tc>
        <w:tc>
          <w:tcPr>
            <w:tcW w:w="1183" w:type="dxa"/>
            <w:tcBorders>
              <w:top w:val="single" w:color="000000" w:sz="4" w:space="0"/>
              <w:left w:val="single" w:color="000000" w:sz="4" w:space="0"/>
              <w:bottom w:val="single" w:color="auto" w:sz="4" w:space="0"/>
              <w:right w:val="single" w:color="000000" w:sz="4" w:space="0"/>
            </w:tcBorders>
            <w:shd w:val="clear" w:color="auto" w:fill="FFFFFF"/>
            <w:vAlign w:val="center"/>
          </w:tcPr>
          <w:p w14:paraId="61C8C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CF50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1BA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64435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96DC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821" w:type="dxa"/>
            <w:tcBorders>
              <w:top w:val="single" w:color="auto" w:sz="4" w:space="0"/>
              <w:left w:val="single" w:color="auto" w:sz="4" w:space="0"/>
              <w:bottom w:val="single" w:color="auto" w:sz="4" w:space="0"/>
              <w:right w:val="single" w:color="auto" w:sz="4" w:space="0"/>
            </w:tcBorders>
            <w:shd w:val="clear" w:color="auto" w:fill="FFFFFF"/>
            <w:vAlign w:val="center"/>
          </w:tcPr>
          <w:p w14:paraId="69B509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四门文件柜</w:t>
            </w: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4050D9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1302" w:type="dxa"/>
            <w:tcBorders>
              <w:top w:val="single" w:color="000000" w:sz="4" w:space="0"/>
              <w:left w:val="single" w:color="auto" w:sz="4" w:space="0"/>
              <w:bottom w:val="single" w:color="000000" w:sz="4" w:space="0"/>
              <w:right w:val="single" w:color="000000" w:sz="4" w:space="0"/>
            </w:tcBorders>
            <w:shd w:val="clear" w:color="auto" w:fill="FFFFFF"/>
            <w:vAlign w:val="center"/>
          </w:tcPr>
          <w:p w14:paraId="6566BC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5BF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7C30D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BE2BA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8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D2A0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双门文件柜</w:t>
            </w: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677097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302" w:type="dxa"/>
            <w:tcBorders>
              <w:top w:val="single" w:color="000000" w:sz="4" w:space="0"/>
              <w:left w:val="single" w:color="auto" w:sz="4" w:space="0"/>
              <w:bottom w:val="single" w:color="000000" w:sz="4" w:space="0"/>
              <w:right w:val="single" w:color="000000" w:sz="4" w:space="0"/>
            </w:tcBorders>
            <w:shd w:val="clear" w:color="auto" w:fill="FFFFFF"/>
            <w:vAlign w:val="center"/>
          </w:tcPr>
          <w:p w14:paraId="4A9757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3C5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3461D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FE31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2821" w:type="dxa"/>
            <w:tcBorders>
              <w:top w:val="single" w:color="auto" w:sz="4" w:space="0"/>
              <w:left w:val="single" w:color="auto" w:sz="4" w:space="0"/>
              <w:bottom w:val="single" w:color="auto" w:sz="4" w:space="0"/>
              <w:right w:val="single" w:color="auto" w:sz="4" w:space="0"/>
            </w:tcBorders>
            <w:shd w:val="clear" w:color="auto" w:fill="FFFFFF"/>
            <w:vAlign w:val="center"/>
          </w:tcPr>
          <w:p w14:paraId="53EB59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储物联柜</w:t>
            </w: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5418A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302" w:type="dxa"/>
            <w:tcBorders>
              <w:top w:val="single" w:color="000000" w:sz="4" w:space="0"/>
              <w:left w:val="single" w:color="auto" w:sz="4" w:space="0"/>
              <w:bottom w:val="single" w:color="000000" w:sz="4" w:space="0"/>
              <w:right w:val="single" w:color="000000" w:sz="4" w:space="0"/>
            </w:tcBorders>
            <w:shd w:val="clear" w:color="auto" w:fill="FFFFFF"/>
            <w:vAlign w:val="center"/>
          </w:tcPr>
          <w:p w14:paraId="14273C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7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6CAD7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auto" w:sz="4" w:space="0"/>
              <w:left w:val="single" w:color="000000" w:sz="4" w:space="0"/>
              <w:bottom w:val="single" w:color="000000" w:sz="4" w:space="0"/>
              <w:right w:val="nil"/>
            </w:tcBorders>
            <w:shd w:val="clear" w:color="auto" w:fill="FFFFFF"/>
            <w:noWrap/>
            <w:vAlign w:val="center"/>
          </w:tcPr>
          <w:p w14:paraId="52CA4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282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5A0B2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更衣柜</w:t>
            </w:r>
          </w:p>
        </w:tc>
        <w:tc>
          <w:tcPr>
            <w:tcW w:w="1183" w:type="dxa"/>
            <w:tcBorders>
              <w:top w:val="single" w:color="auto" w:sz="4" w:space="0"/>
              <w:left w:val="single" w:color="000000" w:sz="4" w:space="0"/>
              <w:bottom w:val="single" w:color="000000" w:sz="4" w:space="0"/>
              <w:right w:val="single" w:color="000000" w:sz="4" w:space="0"/>
            </w:tcBorders>
            <w:shd w:val="clear" w:color="auto" w:fill="FFFFFF"/>
            <w:vAlign w:val="center"/>
          </w:tcPr>
          <w:p w14:paraId="2ABC9F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A6B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FB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13FA9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7CE2E0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6B9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手机屏蔽柜</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66D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07A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50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49991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6FA618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472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茶水柜</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3AA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760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2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0704E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2DBEB9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792E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鞋柜</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B78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FF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1AF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03B22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026A7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3E53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双人沙发</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46F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800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583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7B595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00527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886D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双层钢制床</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80B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ECB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DB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76045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6BDD75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5B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单人床</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A13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41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19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7E54E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57704E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0F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排衣架</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86F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A7C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A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6A557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3DD7DC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A18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演播台</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2D8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98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D6E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552B9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772A7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06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展览柜</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587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F5C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CB5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66F07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4662E7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C5B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直桌屏风工位</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47C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36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61D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68C67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676AD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5BD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办公椅</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1B0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A03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E4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0BFC9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5A1A38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831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文件柜</w:t>
            </w:r>
          </w:p>
        </w:tc>
        <w:tc>
          <w:tcPr>
            <w:tcW w:w="1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CED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AF1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24D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23396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574DA6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38ADB7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组合沙发</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503FA8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6F5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EC6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59726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1CF6D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1B81CC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组合沙发</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249F3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878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BBF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10283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12B276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716DDD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组合沙发</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125F2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B5A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9B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554DB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498DD3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3BD8C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双人休闲沙发</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3589A1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0378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572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2A0E9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69E416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3ADFB4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单人休闲沙发</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5550FD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9FA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D1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6DA48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5D0BB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0FE74D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10622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A55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60F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3DECC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5AF02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24A7F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0F530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A6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D74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5079A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auto" w:sz="4" w:space="0"/>
              <w:right w:val="nil"/>
            </w:tcBorders>
            <w:shd w:val="clear" w:color="auto" w:fill="FFFFFF"/>
            <w:noWrap/>
            <w:vAlign w:val="center"/>
          </w:tcPr>
          <w:p w14:paraId="0A1AF0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282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005A8B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83"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49436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302" w:type="dxa"/>
            <w:tcBorders>
              <w:top w:val="single" w:color="000000" w:sz="4" w:space="0"/>
              <w:left w:val="single" w:color="000000" w:sz="4" w:space="0"/>
              <w:bottom w:val="single" w:color="auto" w:sz="4" w:space="0"/>
              <w:right w:val="single" w:color="000000" w:sz="4" w:space="0"/>
            </w:tcBorders>
            <w:shd w:val="clear" w:color="auto" w:fill="FFFFFF"/>
            <w:vAlign w:val="center"/>
          </w:tcPr>
          <w:p w14:paraId="0DB97B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50E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6352B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auto" w:sz="4" w:space="0"/>
              <w:left w:val="single" w:color="auto" w:sz="4" w:space="0"/>
              <w:bottom w:val="single" w:color="auto" w:sz="4" w:space="0"/>
              <w:right w:val="nil"/>
            </w:tcBorders>
            <w:shd w:val="clear" w:color="auto" w:fill="FFFFFF"/>
            <w:noWrap/>
            <w:vAlign w:val="center"/>
          </w:tcPr>
          <w:p w14:paraId="15CE73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2821" w:type="dxa"/>
            <w:tcBorders>
              <w:top w:val="single" w:color="auto" w:sz="4" w:space="0"/>
              <w:left w:val="single" w:color="000000" w:sz="4" w:space="0"/>
              <w:bottom w:val="single" w:color="auto" w:sz="4" w:space="0"/>
              <w:right w:val="single" w:color="000000" w:sz="4" w:space="0"/>
            </w:tcBorders>
            <w:shd w:val="clear" w:color="auto" w:fill="FFFFFF"/>
            <w:vAlign w:val="center"/>
          </w:tcPr>
          <w:p w14:paraId="273839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接待桌</w:t>
            </w:r>
          </w:p>
        </w:tc>
        <w:tc>
          <w:tcPr>
            <w:tcW w:w="1183" w:type="dxa"/>
            <w:tcBorders>
              <w:top w:val="single" w:color="auto" w:sz="4" w:space="0"/>
              <w:left w:val="single" w:color="000000" w:sz="4" w:space="0"/>
              <w:bottom w:val="single" w:color="auto" w:sz="4" w:space="0"/>
              <w:right w:val="single" w:color="000000" w:sz="4" w:space="0"/>
            </w:tcBorders>
            <w:shd w:val="clear" w:color="auto" w:fill="FFFFFF"/>
            <w:vAlign w:val="center"/>
          </w:tcPr>
          <w:p w14:paraId="4CB657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302" w:type="dxa"/>
            <w:tcBorders>
              <w:top w:val="single" w:color="auto" w:sz="4" w:space="0"/>
              <w:left w:val="single" w:color="000000" w:sz="4" w:space="0"/>
              <w:bottom w:val="single" w:color="auto" w:sz="4" w:space="0"/>
              <w:right w:val="single" w:color="auto" w:sz="4" w:space="0"/>
            </w:tcBorders>
            <w:shd w:val="clear" w:color="auto" w:fill="FFFFFF"/>
            <w:vAlign w:val="center"/>
          </w:tcPr>
          <w:p w14:paraId="63272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auto" w:sz="4" w:space="0"/>
              <w:bottom w:val="single" w:color="000000" w:sz="4" w:space="0"/>
              <w:right w:val="single" w:color="000000" w:sz="4" w:space="0"/>
            </w:tcBorders>
            <w:shd w:val="clear" w:color="auto" w:fill="auto"/>
            <w:vAlign w:val="center"/>
          </w:tcPr>
          <w:p w14:paraId="47580F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0A976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auto" w:sz="4" w:space="0"/>
              <w:left w:val="single" w:color="000000" w:sz="4" w:space="0"/>
              <w:bottom w:val="single" w:color="000000" w:sz="4" w:space="0"/>
              <w:right w:val="nil"/>
            </w:tcBorders>
            <w:shd w:val="clear" w:color="auto" w:fill="FFFFFF"/>
            <w:noWrap/>
            <w:vAlign w:val="center"/>
          </w:tcPr>
          <w:p w14:paraId="1E278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2821" w:type="dxa"/>
            <w:tcBorders>
              <w:top w:val="single" w:color="auto" w:sz="4" w:space="0"/>
              <w:left w:val="single" w:color="000000" w:sz="4" w:space="0"/>
              <w:bottom w:val="nil"/>
              <w:right w:val="single" w:color="000000" w:sz="4" w:space="0"/>
            </w:tcBorders>
            <w:shd w:val="clear" w:color="auto" w:fill="FFFFFF"/>
            <w:vAlign w:val="center"/>
          </w:tcPr>
          <w:p w14:paraId="2C8AD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接待椅</w:t>
            </w:r>
          </w:p>
        </w:tc>
        <w:tc>
          <w:tcPr>
            <w:tcW w:w="1183" w:type="dxa"/>
            <w:tcBorders>
              <w:top w:val="single" w:color="auto" w:sz="4" w:space="0"/>
              <w:left w:val="single" w:color="000000" w:sz="4" w:space="0"/>
              <w:bottom w:val="nil"/>
              <w:right w:val="single" w:color="000000" w:sz="4" w:space="0"/>
            </w:tcBorders>
            <w:shd w:val="clear" w:color="auto" w:fill="FFFFFF"/>
            <w:vAlign w:val="center"/>
          </w:tcPr>
          <w:p w14:paraId="4E064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 </w:t>
            </w:r>
          </w:p>
        </w:tc>
        <w:tc>
          <w:tcPr>
            <w:tcW w:w="1302" w:type="dxa"/>
            <w:tcBorders>
              <w:top w:val="single" w:color="auto" w:sz="4" w:space="0"/>
              <w:left w:val="single" w:color="000000" w:sz="4" w:space="0"/>
              <w:bottom w:val="single" w:color="000000" w:sz="4" w:space="0"/>
              <w:right w:val="single" w:color="000000" w:sz="4" w:space="0"/>
            </w:tcBorders>
            <w:shd w:val="clear" w:color="auto" w:fill="FFFFFF"/>
            <w:vAlign w:val="center"/>
          </w:tcPr>
          <w:p w14:paraId="3D19BD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BFF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35B3E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65386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7BDF7E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休闲沙发</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18230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88B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964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2E973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7D3D66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52507F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休闲沙发</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6C02B7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F33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426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15A98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0DF35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43A7E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洽谈桌</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4ABF77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6E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BEB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2A734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57B436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0AD39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1BAFA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046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EA2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048B1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5ADA4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35FF2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331DE3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507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93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319E0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60B58F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146FE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定制沙发</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6C764B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BAB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9A0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6B8CB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57B4A8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2521E2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休闲沙发</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381083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8B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AF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03656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2ED335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12125B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6EB631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4FA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5E4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0EFBC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477502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6444FD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01280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269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6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4BE6A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316458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14A6D9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66E42A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E2A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C88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3E3D5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22293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26C808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休闲沙发</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76FEC1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AC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79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53C59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0ADCF6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39A92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15DC0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3A6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2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24F66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0D8F8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3364CF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坐墩</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0C0AD0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506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60C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2AB01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27BB9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7CD9C7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定制手工桌</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0E215B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633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8B3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26AD6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7BAB2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7E4B81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定制乐高手工桌</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3A7D83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0DF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AE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62715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7095C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5F8FA3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手工椅</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5940E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40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1C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67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50EEA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6A7488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563127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阅览沙发</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706848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733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2C0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39A06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68F6BB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521D9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豆袋沙发</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6316AF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FE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77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090FF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70998E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231BF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定制书柜</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2F951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28A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5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29D53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5B59C1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412699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定制等候桌</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47206E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03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77B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2F17A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403BAA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2821" w:type="dxa"/>
            <w:tcBorders>
              <w:top w:val="single" w:color="000000" w:sz="4" w:space="0"/>
              <w:left w:val="single" w:color="000000" w:sz="4" w:space="0"/>
              <w:bottom w:val="nil"/>
              <w:right w:val="single" w:color="000000" w:sz="4" w:space="0"/>
            </w:tcBorders>
            <w:shd w:val="clear" w:color="auto" w:fill="FFFFFF"/>
            <w:vAlign w:val="center"/>
          </w:tcPr>
          <w:p w14:paraId="561564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等候沙发</w:t>
            </w:r>
          </w:p>
        </w:tc>
        <w:tc>
          <w:tcPr>
            <w:tcW w:w="1183" w:type="dxa"/>
            <w:tcBorders>
              <w:top w:val="single" w:color="000000" w:sz="4" w:space="0"/>
              <w:left w:val="single" w:color="000000" w:sz="4" w:space="0"/>
              <w:bottom w:val="nil"/>
              <w:right w:val="single" w:color="000000" w:sz="4" w:space="0"/>
            </w:tcBorders>
            <w:shd w:val="clear" w:color="auto" w:fill="FFFFFF"/>
            <w:vAlign w:val="center"/>
          </w:tcPr>
          <w:p w14:paraId="536131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DDB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89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p>
        </w:tc>
      </w:tr>
      <w:tr w14:paraId="3EA4D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5" w:type="dxa"/>
            <w:tcBorders>
              <w:top w:val="single" w:color="000000" w:sz="4" w:space="0"/>
              <w:left w:val="single" w:color="000000" w:sz="4" w:space="0"/>
              <w:bottom w:val="single" w:color="000000" w:sz="4" w:space="0"/>
              <w:right w:val="nil"/>
            </w:tcBorders>
            <w:shd w:val="clear" w:color="auto" w:fill="FFFFFF"/>
            <w:noWrap/>
            <w:vAlign w:val="center"/>
          </w:tcPr>
          <w:p w14:paraId="1A7AAC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43622">
            <w:pPr>
              <w:jc w:val="center"/>
              <w:rPr>
                <w:rFonts w:hint="eastAsia" w:ascii="宋体" w:hAnsi="宋体" w:eastAsia="宋体" w:cs="宋体"/>
                <w:i w:val="0"/>
                <w:iCs w:val="0"/>
                <w:color w:val="000000"/>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AA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597 </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BBB4">
            <w:pPr>
              <w:jc w:val="center"/>
              <w:rPr>
                <w:rFonts w:hint="eastAsia" w:ascii="宋体" w:hAnsi="宋体" w:eastAsia="宋体" w:cs="宋体"/>
                <w:i w:val="0"/>
                <w:iCs w:val="0"/>
                <w:color w:val="000000"/>
                <w:sz w:val="22"/>
                <w:szCs w:val="22"/>
                <w:u w:val="none"/>
              </w:rPr>
            </w:pPr>
          </w:p>
        </w:tc>
        <w:tc>
          <w:tcPr>
            <w:tcW w:w="2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6B2A5">
            <w:pPr>
              <w:jc w:val="center"/>
              <w:rPr>
                <w:rFonts w:hint="eastAsia" w:ascii="宋体" w:hAnsi="宋体" w:eastAsia="宋体" w:cs="宋体"/>
                <w:i w:val="0"/>
                <w:iCs w:val="0"/>
                <w:color w:val="000000"/>
                <w:sz w:val="22"/>
                <w:szCs w:val="22"/>
                <w:u w:val="none"/>
              </w:rPr>
            </w:pPr>
          </w:p>
        </w:tc>
      </w:tr>
    </w:tbl>
    <w:p w14:paraId="45C0E507">
      <w:pPr>
        <w:numPr>
          <w:ilvl w:val="-1"/>
          <w:numId w:val="0"/>
        </w:numPr>
        <w:jc w:val="both"/>
        <w:rPr>
          <w:rFonts w:hint="default" w:eastAsia="宋体"/>
          <w:b w:val="0"/>
          <w:bCs/>
          <w:lang w:val="en-US" w:eastAsia="zh-CN"/>
        </w:rPr>
      </w:pPr>
    </w:p>
    <w:p w14:paraId="5ACC0E87">
      <w:pPr>
        <w:pStyle w:val="6"/>
        <w:numPr>
          <w:ilvl w:val="0"/>
          <w:numId w:val="0"/>
        </w:numPr>
        <w:topLinePunct/>
        <w:ind w:firstLine="0" w:firstLineChars="0"/>
        <w:rPr>
          <w:rFonts w:hint="eastAsia" w:ascii="宋体" w:hAnsi="宋体" w:cs="宋体"/>
          <w:b/>
          <w:bCs w:val="0"/>
          <w:color w:val="000000"/>
          <w:sz w:val="21"/>
          <w:szCs w:val="21"/>
        </w:rPr>
      </w:pPr>
      <w:r>
        <w:rPr>
          <w:rFonts w:hint="eastAsia" w:ascii="宋体" w:hAnsi="宋体" w:cs="宋体"/>
          <w:b/>
          <w:bCs w:val="0"/>
          <w:color w:val="000000"/>
          <w:kern w:val="2"/>
          <w:sz w:val="21"/>
          <w:szCs w:val="21"/>
          <w:lang w:val="en-US" w:eastAsia="zh-CN" w:bidi="ar-SA"/>
        </w:rPr>
        <w:t>二</w:t>
      </w:r>
      <w:r>
        <w:rPr>
          <w:rFonts w:hint="eastAsia" w:ascii="宋体" w:hAnsi="宋体" w:cs="宋体" w:eastAsiaTheme="minorEastAsia"/>
          <w:b/>
          <w:bCs w:val="0"/>
          <w:color w:val="000000"/>
          <w:kern w:val="2"/>
          <w:sz w:val="21"/>
          <w:szCs w:val="21"/>
          <w:lang w:val="en-US" w:eastAsia="zh-CN" w:bidi="ar-SA"/>
        </w:rPr>
        <w:t>、</w:t>
      </w:r>
      <w:r>
        <w:rPr>
          <w:rFonts w:hint="eastAsia" w:ascii="宋体" w:hAnsi="宋体" w:cs="宋体"/>
          <w:b/>
          <w:bCs w:val="0"/>
          <w:color w:val="000000"/>
          <w:sz w:val="21"/>
          <w:szCs w:val="21"/>
        </w:rPr>
        <w:t>项目背景或简况</w:t>
      </w:r>
    </w:p>
    <w:p w14:paraId="3450F920">
      <w:pPr>
        <w:pStyle w:val="2"/>
        <w:rPr>
          <w:rFonts w:hint="default"/>
          <w:b w:val="0"/>
          <w:bCs/>
          <w:lang w:val="en-US" w:eastAsia="zh-CN"/>
        </w:rPr>
      </w:pPr>
      <w:r>
        <w:rPr>
          <w:rFonts w:hint="eastAsia" w:hAnsi="宋体" w:cs="宋体"/>
          <w:sz w:val="21"/>
          <w:szCs w:val="21"/>
        </w:rPr>
        <w:t>本项目</w:t>
      </w:r>
      <w:r>
        <w:rPr>
          <w:rFonts w:hint="eastAsia" w:hAnsi="宋体" w:cs="宋体"/>
          <w:sz w:val="21"/>
          <w:szCs w:val="21"/>
          <w:lang w:val="en-US" w:eastAsia="zh-CN"/>
        </w:rPr>
        <w:t>为北京市城市规划设计研究院新业务楼办公家具采购项目，</w:t>
      </w:r>
      <w:r>
        <w:rPr>
          <w:rFonts w:hint="eastAsia" w:hAnsi="宋体" w:cs="宋体"/>
          <w:sz w:val="21"/>
          <w:szCs w:val="21"/>
        </w:rPr>
        <w:t>为</w:t>
      </w:r>
      <w:r>
        <w:rPr>
          <w:rFonts w:hint="eastAsia" w:hAnsi="宋体" w:cs="宋体"/>
          <w:sz w:val="21"/>
          <w:szCs w:val="21"/>
          <w:lang w:val="en-US" w:eastAsia="zh-CN"/>
        </w:rPr>
        <w:t>满足职工日常工作需求、生活需求、保证北京市城市规划设计研究院的</w:t>
      </w:r>
      <w:r>
        <w:rPr>
          <w:rFonts w:hint="eastAsia" w:hAnsi="宋体" w:cs="宋体"/>
          <w:sz w:val="21"/>
          <w:szCs w:val="21"/>
        </w:rPr>
        <w:t>日常运营需求所采购的办公家具，预算包含所有产品验收合格前所发生的所有费用。</w:t>
      </w:r>
    </w:p>
    <w:p w14:paraId="1DD55522">
      <w:pPr>
        <w:numPr>
          <w:ilvl w:val="0"/>
          <w:numId w:val="0"/>
        </w:numPr>
        <w:adjustRightInd w:val="0"/>
        <w:spacing w:before="240"/>
        <w:jc w:val="left"/>
        <w:textAlignment w:val="baseline"/>
        <w:rPr>
          <w:rFonts w:ascii="宋体" w:hAnsi="宋体" w:cs="宋体"/>
          <w:b/>
          <w:bCs/>
          <w:sz w:val="21"/>
          <w:szCs w:val="21"/>
        </w:rPr>
      </w:pPr>
      <w:r>
        <w:rPr>
          <w:rFonts w:hint="eastAsia" w:ascii="宋体" w:hAnsi="宋体" w:cs="宋体" w:eastAsiaTheme="minorEastAsia"/>
          <w:b/>
          <w:bCs/>
          <w:kern w:val="2"/>
          <w:sz w:val="21"/>
          <w:szCs w:val="21"/>
          <w:lang w:val="en-US" w:eastAsia="zh-CN" w:bidi="ar-SA"/>
        </w:rPr>
        <w:t>三、</w:t>
      </w:r>
      <w:r>
        <w:rPr>
          <w:rFonts w:hint="eastAsia" w:ascii="宋体" w:hAnsi="宋体" w:cs="宋体"/>
          <w:b/>
          <w:bCs/>
          <w:color w:val="000000"/>
          <w:sz w:val="21"/>
          <w:szCs w:val="21"/>
        </w:rPr>
        <w:t>技术参数要求</w:t>
      </w:r>
      <w:r>
        <w:rPr>
          <w:rFonts w:hint="eastAsia" w:ascii="宋体" w:hAnsi="宋体"/>
          <w:b/>
          <w:bCs/>
          <w:sz w:val="21"/>
          <w:szCs w:val="21"/>
        </w:rPr>
        <w:t>或服务要求。如有实质性条款的，须以</w:t>
      </w:r>
      <w:r>
        <w:rPr>
          <w:rFonts w:ascii="宋体" w:hAnsi="宋体"/>
          <w:b/>
          <w:bCs/>
          <w:sz w:val="21"/>
          <w:szCs w:val="21"/>
        </w:rPr>
        <w:t>*</w:t>
      </w:r>
      <w:r>
        <w:rPr>
          <w:rFonts w:hint="eastAsia" w:ascii="宋体" w:hAnsi="宋体"/>
          <w:b/>
          <w:bCs/>
          <w:sz w:val="21"/>
          <w:szCs w:val="21"/>
        </w:rPr>
        <w:t>标出。</w:t>
      </w:r>
    </w:p>
    <w:p w14:paraId="22F9C38B">
      <w:pPr>
        <w:numPr>
          <w:ilvl w:val="0"/>
          <w:numId w:val="0"/>
        </w:numPr>
        <w:topLinePunct/>
        <w:ind w:firstLine="420" w:firstLineChars="200"/>
        <w:rPr>
          <w:rFonts w:ascii="PingFang-SC-Regular" w:hAnsi="PingFang-SC-Regular" w:eastAsia="PingFang-SC-Regular" w:cs="PingFang-SC-Regular"/>
          <w:b w:val="0"/>
          <w:bCs w:val="0"/>
          <w:sz w:val="22"/>
          <w:szCs w:val="22"/>
        </w:rPr>
      </w:pPr>
      <w:r>
        <w:rPr>
          <w:rFonts w:hint="eastAsia" w:ascii="宋体" w:hAnsi="宋体" w:eastAsia="宋体" w:cs="宋体"/>
          <w:b w:val="0"/>
          <w:bCs w:val="0"/>
          <w:color w:val="000000"/>
          <w:sz w:val="21"/>
          <w:szCs w:val="21"/>
          <w:lang w:val="en-US" w:eastAsia="zh-CN"/>
        </w:rPr>
        <w:t>1.</w:t>
      </w:r>
      <w:r>
        <w:rPr>
          <w:rFonts w:hint="eastAsia" w:ascii="宋体" w:hAnsi="宋体" w:eastAsia="宋体" w:cs="宋体"/>
          <w:b w:val="0"/>
          <w:bCs w:val="0"/>
          <w:color w:val="000000"/>
          <w:sz w:val="21"/>
          <w:szCs w:val="21"/>
        </w:rPr>
        <w:t>投标产品设计</w:t>
      </w:r>
      <w:r>
        <w:rPr>
          <w:rFonts w:hint="eastAsia" w:ascii="宋体" w:hAnsi="宋体" w:eastAsia="宋体" w:cs="宋体"/>
          <w:b w:val="0"/>
          <w:bCs w:val="0"/>
          <w:color w:val="000000"/>
          <w:sz w:val="21"/>
          <w:szCs w:val="21"/>
          <w:lang w:val="en-US" w:eastAsia="zh-CN"/>
        </w:rPr>
        <w:t>应充分考虑以下需求：</w:t>
      </w:r>
    </w:p>
    <w:p w14:paraId="5C23020B">
      <w:pPr>
        <w:pStyle w:val="2"/>
        <w:rPr>
          <w:rFonts w:hint="default" w:ascii="宋体" w:hAnsi="宋体" w:cs="宋体"/>
          <w:sz w:val="21"/>
          <w:szCs w:val="21"/>
          <w:lang w:val="en-US" w:eastAsia="zh-CN"/>
        </w:rPr>
      </w:pPr>
      <w:r>
        <w:rPr>
          <w:rFonts w:hint="eastAsia" w:ascii="宋体" w:hAnsi="宋体" w:cs="宋体"/>
          <w:sz w:val="21"/>
          <w:szCs w:val="21"/>
          <w:lang w:val="en-US" w:eastAsia="zh-CN"/>
        </w:rPr>
        <w:t>（1）人体工程学</w:t>
      </w:r>
      <w:r>
        <w:rPr>
          <w:rFonts w:hint="default" w:ascii="宋体" w:hAnsi="宋体" w:cs="宋体"/>
          <w:sz w:val="21"/>
          <w:szCs w:val="21"/>
          <w:lang w:val="en-US" w:eastAsia="zh-CN"/>
        </w:rPr>
        <w:t>：</w:t>
      </w:r>
      <w:r>
        <w:rPr>
          <w:rFonts w:hint="eastAsia" w:ascii="宋体" w:hAnsi="宋体" w:cs="宋体"/>
          <w:sz w:val="21"/>
          <w:szCs w:val="21"/>
          <w:lang w:val="en-US" w:eastAsia="zh-CN"/>
        </w:rPr>
        <w:t>产品</w:t>
      </w:r>
      <w:r>
        <w:rPr>
          <w:rFonts w:hint="default" w:ascii="宋体" w:hAnsi="宋体" w:cs="宋体"/>
          <w:sz w:val="21"/>
          <w:szCs w:val="21"/>
          <w:lang w:val="en-US" w:eastAsia="zh-CN"/>
        </w:rPr>
        <w:t>符合人体工学原理，如办公椅的高度、倾斜角度、靠背支撑等可调，以适应不同体型和坐姿习惯，减少长时间坐姿带来的身体负担。</w:t>
      </w:r>
    </w:p>
    <w:p w14:paraId="37A3E15E">
      <w:pPr>
        <w:pStyle w:val="2"/>
        <w:ind w:left="0" w:leftChars="0" w:firstLine="420" w:firstLineChars="200"/>
        <w:rPr>
          <w:rFonts w:hint="default" w:ascii="宋体" w:hAnsi="宋体" w:cs="宋体"/>
          <w:sz w:val="21"/>
          <w:szCs w:val="21"/>
          <w:lang w:val="en-US" w:eastAsia="zh-CN"/>
        </w:rPr>
      </w:pPr>
      <w:r>
        <w:rPr>
          <w:rFonts w:hint="eastAsia" w:ascii="宋体" w:hAnsi="宋体" w:cs="宋体"/>
          <w:sz w:val="21"/>
          <w:szCs w:val="21"/>
          <w:lang w:val="en-US" w:eastAsia="zh-CN"/>
        </w:rPr>
        <w:t>（2）</w:t>
      </w:r>
      <w:r>
        <w:rPr>
          <w:rFonts w:hint="default" w:ascii="宋体" w:hAnsi="宋体" w:cs="宋体"/>
          <w:sz w:val="21"/>
          <w:szCs w:val="21"/>
          <w:lang w:val="en-US" w:eastAsia="zh-CN"/>
        </w:rPr>
        <w:t>功能性与多样性：</w:t>
      </w:r>
      <w:r>
        <w:rPr>
          <w:rFonts w:hint="eastAsia" w:ascii="宋体" w:hAnsi="宋体" w:cs="宋体"/>
          <w:sz w:val="21"/>
          <w:szCs w:val="21"/>
          <w:lang w:val="en-US" w:eastAsia="zh-CN"/>
        </w:rPr>
        <w:t>产品</w:t>
      </w:r>
      <w:r>
        <w:rPr>
          <w:rFonts w:hint="default" w:ascii="宋体" w:hAnsi="宋体" w:cs="宋体"/>
          <w:sz w:val="21"/>
          <w:szCs w:val="21"/>
          <w:lang w:val="en-US" w:eastAsia="zh-CN"/>
        </w:rPr>
        <w:t>应满足不同的工作需求，如办公桌需要有足够的空间放置电脑、文件和其他办公用品</w:t>
      </w:r>
      <w:r>
        <w:rPr>
          <w:rFonts w:hint="eastAsia" w:ascii="宋体" w:hAnsi="宋体" w:cs="宋体"/>
          <w:sz w:val="21"/>
          <w:szCs w:val="21"/>
          <w:lang w:val="en-US" w:eastAsia="zh-CN"/>
        </w:rPr>
        <w:t>。</w:t>
      </w:r>
    </w:p>
    <w:p w14:paraId="272BDBC6">
      <w:pPr>
        <w:pStyle w:val="2"/>
        <w:rPr>
          <w:rFonts w:hint="default" w:ascii="宋体" w:hAnsi="宋体" w:cs="宋体"/>
          <w:sz w:val="21"/>
          <w:szCs w:val="21"/>
          <w:lang w:val="en-US" w:eastAsia="zh-CN"/>
        </w:rPr>
      </w:pPr>
      <w:r>
        <w:rPr>
          <w:rFonts w:hint="eastAsia" w:ascii="宋体" w:hAnsi="宋体" w:cs="宋体"/>
          <w:sz w:val="21"/>
          <w:szCs w:val="21"/>
          <w:lang w:val="en-US" w:eastAsia="zh-CN"/>
        </w:rPr>
        <w:t>（3）</w:t>
      </w:r>
      <w:r>
        <w:rPr>
          <w:rFonts w:hint="default" w:ascii="宋体" w:hAnsi="宋体" w:cs="宋体"/>
          <w:sz w:val="21"/>
          <w:szCs w:val="21"/>
          <w:lang w:val="en-US" w:eastAsia="zh-CN"/>
        </w:rPr>
        <w:t>美观与形象：</w:t>
      </w:r>
      <w:r>
        <w:rPr>
          <w:rFonts w:hint="eastAsia" w:ascii="宋体" w:hAnsi="宋体" w:cs="宋体"/>
          <w:sz w:val="21"/>
          <w:szCs w:val="21"/>
          <w:lang w:val="en-US" w:eastAsia="zh-CN"/>
        </w:rPr>
        <w:t>产品</w:t>
      </w:r>
      <w:r>
        <w:rPr>
          <w:rFonts w:hint="default" w:ascii="宋体" w:hAnsi="宋体" w:cs="宋体"/>
          <w:sz w:val="21"/>
          <w:szCs w:val="21"/>
          <w:lang w:val="en-US" w:eastAsia="zh-CN"/>
        </w:rPr>
        <w:t>的外观设计应与</w:t>
      </w:r>
      <w:r>
        <w:rPr>
          <w:rFonts w:hint="eastAsia" w:ascii="宋体" w:hAnsi="宋体" w:cs="宋体"/>
          <w:sz w:val="21"/>
          <w:szCs w:val="21"/>
          <w:lang w:val="en-US" w:eastAsia="zh-CN"/>
        </w:rPr>
        <w:t>北京市城市规划设计研究院</w:t>
      </w:r>
      <w:r>
        <w:rPr>
          <w:rFonts w:hint="default" w:ascii="宋体" w:hAnsi="宋体" w:cs="宋体"/>
          <w:sz w:val="21"/>
          <w:szCs w:val="21"/>
          <w:lang w:val="en-US" w:eastAsia="zh-CN"/>
        </w:rPr>
        <w:t>的整体装修风格</w:t>
      </w:r>
      <w:r>
        <w:rPr>
          <w:rFonts w:hint="eastAsia" w:ascii="宋体" w:hAnsi="宋体" w:cs="宋体"/>
          <w:sz w:val="21"/>
          <w:szCs w:val="21"/>
          <w:lang w:val="en-US" w:eastAsia="zh-CN"/>
        </w:rPr>
        <w:t>及</w:t>
      </w:r>
      <w:r>
        <w:rPr>
          <w:rFonts w:hint="default" w:ascii="宋体" w:hAnsi="宋体" w:cs="宋体"/>
          <w:sz w:val="21"/>
          <w:szCs w:val="21"/>
          <w:lang w:val="en-US" w:eastAsia="zh-CN"/>
        </w:rPr>
        <w:t>形象相协调。</w:t>
      </w:r>
    </w:p>
    <w:p w14:paraId="2A544377">
      <w:pPr>
        <w:pStyle w:val="2"/>
        <w:rPr>
          <w:rFonts w:hint="default" w:ascii="宋体" w:hAnsi="宋体" w:cs="宋体"/>
          <w:sz w:val="21"/>
          <w:szCs w:val="21"/>
          <w:lang w:val="en-US" w:eastAsia="zh-CN"/>
        </w:rPr>
      </w:pPr>
      <w:r>
        <w:rPr>
          <w:rFonts w:hint="eastAsia" w:ascii="宋体" w:hAnsi="宋体" w:cs="宋体"/>
          <w:sz w:val="21"/>
          <w:szCs w:val="21"/>
          <w:lang w:val="en-US" w:eastAsia="zh-CN"/>
        </w:rPr>
        <w:t>（4）</w:t>
      </w:r>
      <w:r>
        <w:rPr>
          <w:rFonts w:hint="default" w:ascii="宋体" w:hAnsi="宋体" w:cs="宋体"/>
          <w:sz w:val="21"/>
          <w:szCs w:val="21"/>
          <w:lang w:val="en-US" w:eastAsia="zh-CN"/>
        </w:rPr>
        <w:t>耐用性：</w:t>
      </w:r>
      <w:r>
        <w:rPr>
          <w:rFonts w:hint="eastAsia" w:ascii="宋体" w:hAnsi="宋体" w:cs="宋体"/>
          <w:sz w:val="21"/>
          <w:szCs w:val="21"/>
          <w:lang w:val="en-US" w:eastAsia="zh-CN"/>
        </w:rPr>
        <w:t>产品应采用</w:t>
      </w:r>
      <w:r>
        <w:rPr>
          <w:rFonts w:hint="default" w:ascii="宋体" w:hAnsi="宋体" w:cs="宋体"/>
          <w:sz w:val="21"/>
          <w:szCs w:val="21"/>
          <w:lang w:val="en-US" w:eastAsia="zh-CN"/>
        </w:rPr>
        <w:t>高质量、耐用的材料，确保</w:t>
      </w:r>
      <w:r>
        <w:rPr>
          <w:rFonts w:hint="eastAsia" w:ascii="宋体" w:hAnsi="宋体" w:cs="宋体"/>
          <w:sz w:val="21"/>
          <w:szCs w:val="21"/>
          <w:lang w:val="en-US" w:eastAsia="zh-CN"/>
        </w:rPr>
        <w:t>产品</w:t>
      </w:r>
      <w:r>
        <w:rPr>
          <w:rFonts w:hint="default" w:ascii="宋体" w:hAnsi="宋体" w:cs="宋体"/>
          <w:sz w:val="21"/>
          <w:szCs w:val="21"/>
          <w:lang w:val="en-US" w:eastAsia="zh-CN"/>
        </w:rPr>
        <w:t>能经受日常使用中的磨损，延长使用寿命。</w:t>
      </w:r>
    </w:p>
    <w:p w14:paraId="366A7788">
      <w:pPr>
        <w:pStyle w:val="2"/>
        <w:rPr>
          <w:rFonts w:hint="eastAsia" w:ascii="宋体" w:hAnsi="宋体" w:eastAsia="宋体" w:cs="宋体"/>
          <w:color w:val="000000"/>
          <w:sz w:val="21"/>
          <w:szCs w:val="21"/>
          <w:lang w:val="en-US" w:eastAsia="zh-CN"/>
        </w:rPr>
      </w:pPr>
      <w:r>
        <w:rPr>
          <w:rFonts w:hint="eastAsia" w:ascii="宋体" w:hAnsi="宋体" w:cs="宋体"/>
          <w:sz w:val="21"/>
          <w:szCs w:val="21"/>
          <w:lang w:val="en-US" w:eastAsia="zh-CN"/>
        </w:rPr>
        <w:t>（5）环保</w:t>
      </w:r>
      <w:r>
        <w:rPr>
          <w:rFonts w:hint="default" w:ascii="宋体" w:hAnsi="宋体" w:cs="宋体"/>
          <w:sz w:val="21"/>
          <w:szCs w:val="21"/>
          <w:lang w:val="en-US" w:eastAsia="zh-CN"/>
        </w:rPr>
        <w:t>与</w:t>
      </w:r>
      <w:r>
        <w:rPr>
          <w:rFonts w:hint="eastAsia" w:ascii="宋体" w:hAnsi="宋体" w:cs="宋体"/>
          <w:sz w:val="21"/>
          <w:szCs w:val="21"/>
          <w:lang w:val="en-US" w:eastAsia="zh-CN"/>
        </w:rPr>
        <w:t>健康</w:t>
      </w:r>
      <w:r>
        <w:rPr>
          <w:rFonts w:hint="default" w:ascii="宋体" w:hAnsi="宋体" w:cs="宋体"/>
          <w:sz w:val="21"/>
          <w:szCs w:val="21"/>
          <w:lang w:val="en-US" w:eastAsia="zh-CN"/>
        </w:rPr>
        <w:t>：</w:t>
      </w:r>
      <w:r>
        <w:rPr>
          <w:rFonts w:hint="eastAsia" w:ascii="宋体" w:hAnsi="宋体" w:cs="宋体"/>
          <w:sz w:val="21"/>
          <w:szCs w:val="21"/>
          <w:lang w:val="en-US" w:eastAsia="zh-CN"/>
        </w:rPr>
        <w:t>产品应</w:t>
      </w:r>
      <w:r>
        <w:rPr>
          <w:rFonts w:hint="default" w:ascii="宋体" w:hAnsi="宋体" w:cs="宋体"/>
          <w:sz w:val="21"/>
          <w:szCs w:val="21"/>
          <w:lang w:val="en-US" w:eastAsia="zh-CN"/>
        </w:rPr>
        <w:t>符合</w:t>
      </w:r>
      <w:r>
        <w:rPr>
          <w:rFonts w:hint="eastAsia" w:ascii="宋体" w:hAnsi="宋体" w:cs="宋体"/>
          <w:sz w:val="21"/>
          <w:szCs w:val="21"/>
          <w:lang w:val="en-US" w:eastAsia="zh-CN"/>
        </w:rPr>
        <w:t>绿色环保</w:t>
      </w:r>
      <w:r>
        <w:rPr>
          <w:rFonts w:hint="default" w:ascii="宋体" w:hAnsi="宋体" w:cs="宋体"/>
          <w:sz w:val="21"/>
          <w:szCs w:val="21"/>
          <w:lang w:val="en-US" w:eastAsia="zh-CN"/>
        </w:rPr>
        <w:t>标准。</w:t>
      </w:r>
    </w:p>
    <w:p w14:paraId="4132A3A2">
      <w:pPr>
        <w:pStyle w:val="2"/>
        <w:keepNext w:val="0"/>
        <w:keepLines w:val="0"/>
        <w:pageBreakBefore w:val="0"/>
        <w:widowControl w:val="0"/>
        <w:numPr>
          <w:ilvl w:val="0"/>
          <w:numId w:val="0"/>
        </w:numPr>
        <w:kinsoku/>
        <w:wordWrap/>
        <w:overflowPunct/>
        <w:topLinePunct w:val="0"/>
        <w:bidi w:val="0"/>
        <w:adjustRightInd/>
        <w:snapToGrid/>
        <w:ind w:firstLine="420" w:firstLineChars="200"/>
        <w:textAlignment w:val="auto"/>
        <w:rPr>
          <w:rFonts w:hint="eastAsia" w:hAnsi="宋体" w:cs="宋体"/>
          <w:b w:val="0"/>
          <w:bCs w:val="0"/>
          <w:color w:val="000000"/>
          <w:kern w:val="44"/>
          <w:sz w:val="21"/>
          <w:szCs w:val="21"/>
          <w:lang w:val="en-US" w:eastAsia="zh-CN"/>
        </w:rPr>
      </w:pPr>
    </w:p>
    <w:p w14:paraId="53FECED5">
      <w:pPr>
        <w:pStyle w:val="2"/>
        <w:keepNext w:val="0"/>
        <w:keepLines w:val="0"/>
        <w:pageBreakBefore w:val="0"/>
        <w:widowControl w:val="0"/>
        <w:numPr>
          <w:ilvl w:val="0"/>
          <w:numId w:val="0"/>
        </w:numPr>
        <w:kinsoku/>
        <w:wordWrap/>
        <w:overflowPunct/>
        <w:topLinePunct w:val="0"/>
        <w:bidi w:val="0"/>
        <w:adjustRightInd/>
        <w:snapToGrid/>
        <w:ind w:firstLine="420" w:firstLineChars="200"/>
        <w:textAlignment w:val="auto"/>
        <w:rPr>
          <w:rFonts w:hAnsi="宋体" w:cs="宋体"/>
          <w:b w:val="0"/>
          <w:bCs w:val="0"/>
          <w:color w:val="000000"/>
          <w:kern w:val="44"/>
          <w:sz w:val="21"/>
          <w:szCs w:val="21"/>
        </w:rPr>
      </w:pPr>
      <w:r>
        <w:rPr>
          <w:rFonts w:hint="eastAsia" w:hAnsi="宋体" w:cs="宋体"/>
          <w:b w:val="0"/>
          <w:bCs w:val="0"/>
          <w:color w:val="000000"/>
          <w:kern w:val="44"/>
          <w:sz w:val="21"/>
          <w:szCs w:val="21"/>
          <w:lang w:val="en-US" w:eastAsia="zh-CN"/>
        </w:rPr>
        <w:t>2.</w:t>
      </w:r>
      <w:r>
        <w:rPr>
          <w:rFonts w:hint="eastAsia" w:hAnsi="宋体" w:cs="宋体"/>
          <w:b w:val="0"/>
          <w:bCs w:val="0"/>
          <w:color w:val="000000"/>
          <w:kern w:val="44"/>
          <w:sz w:val="21"/>
          <w:szCs w:val="21"/>
        </w:rPr>
        <w:t>要求投标人按照采购清单顺序逐项提供单件产品设计效果图、三视图（含节点图）；</w:t>
      </w:r>
      <w:r>
        <w:rPr>
          <w:rFonts w:hint="eastAsia" w:hAnsi="宋体" w:cs="宋体"/>
          <w:b w:val="0"/>
          <w:bCs w:val="0"/>
          <w:color w:val="000000"/>
          <w:kern w:val="44"/>
          <w:sz w:val="21"/>
          <w:szCs w:val="21"/>
          <w:lang w:val="en-US" w:eastAsia="zh-CN"/>
        </w:rPr>
        <w:t>招标期间，投标人需在规定的时间内统一进行踏勘后按照空间整体设计效果图清单</w:t>
      </w:r>
      <w:r>
        <w:rPr>
          <w:rFonts w:hint="eastAsia" w:hAnsi="宋体" w:cs="宋体"/>
          <w:b w:val="0"/>
          <w:bCs w:val="0"/>
          <w:color w:val="000000"/>
          <w:kern w:val="44"/>
          <w:sz w:val="21"/>
          <w:szCs w:val="21"/>
        </w:rPr>
        <w:t>提供各使用空间效果图。中标后须配合采购人根据实际需求进行深化设计。因本次采购属于定制采购，投标人应综合考虑相关深化设计及样式调整所产生的费用。</w:t>
      </w:r>
    </w:p>
    <w:p w14:paraId="2EA2D86A">
      <w:pPr>
        <w:numPr>
          <w:ilvl w:val="0"/>
          <w:numId w:val="0"/>
        </w:numPr>
        <w:jc w:val="both"/>
        <w:rPr>
          <w:rFonts w:hint="default"/>
          <w:b w:val="0"/>
          <w:bCs/>
          <w:lang w:val="en-US" w:eastAsia="zh-CN"/>
        </w:rPr>
      </w:pPr>
    </w:p>
    <w:p w14:paraId="4B626CA1">
      <w:pPr>
        <w:pStyle w:val="2"/>
        <w:ind w:firstLine="422"/>
        <w:rPr>
          <w:rFonts w:hAnsi="宋体" w:cs="宋体"/>
          <w:b w:val="0"/>
          <w:bCs w:val="0"/>
          <w:sz w:val="21"/>
          <w:szCs w:val="21"/>
        </w:rPr>
      </w:pPr>
      <w:r>
        <w:rPr>
          <w:rFonts w:hint="eastAsia" w:ascii="宋体" w:hAnsi="宋体" w:cs="宋体"/>
          <w:b w:val="0"/>
          <w:bCs w:val="0"/>
          <w:color w:val="000000"/>
          <w:kern w:val="44"/>
          <w:sz w:val="21"/>
          <w:szCs w:val="21"/>
          <w:lang w:val="en-US" w:eastAsia="zh-CN"/>
        </w:rPr>
        <w:t>3.</w:t>
      </w:r>
      <w:r>
        <w:rPr>
          <w:rFonts w:hint="eastAsia" w:hAnsi="宋体" w:cs="宋体"/>
          <w:b w:val="0"/>
          <w:bCs w:val="0"/>
          <w:color w:val="000000"/>
          <w:kern w:val="44"/>
          <w:sz w:val="21"/>
          <w:szCs w:val="21"/>
        </w:rPr>
        <w:t>采购产品需满足以下国家相关标准、行业标准、北京市地方标准或者其他标准、规范</w:t>
      </w:r>
    </w:p>
    <w:p w14:paraId="03B48437">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w:t>
      </w:r>
      <w:r>
        <w:rPr>
          <w:rFonts w:hint="eastAsia" w:ascii="宋体" w:hAnsi="宋体" w:cs="宋体"/>
          <w:color w:val="000000"/>
          <w:sz w:val="21"/>
          <w:szCs w:val="21"/>
          <w:lang w:val="en-US" w:eastAsia="zh-CN"/>
        </w:rPr>
        <w:t xml:space="preserve"> </w:t>
      </w:r>
      <w:r>
        <w:rPr>
          <w:rFonts w:hint="eastAsia" w:ascii="宋体" w:hAnsi="宋体" w:cs="宋体"/>
          <w:color w:val="000000"/>
          <w:sz w:val="21"/>
          <w:szCs w:val="21"/>
        </w:rPr>
        <w:t>18580室内装饰装修材料人造板及其制品中甲醛释放限量</w:t>
      </w:r>
    </w:p>
    <w:p w14:paraId="3CF60B9A">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w:t>
      </w:r>
      <w:r>
        <w:rPr>
          <w:rFonts w:hint="eastAsia" w:ascii="宋体" w:hAnsi="宋体" w:cs="宋体"/>
          <w:color w:val="000000"/>
          <w:sz w:val="21"/>
          <w:szCs w:val="21"/>
          <w:lang w:val="en-US" w:eastAsia="zh-CN"/>
        </w:rPr>
        <w:t xml:space="preserve"> </w:t>
      </w:r>
      <w:r>
        <w:rPr>
          <w:rFonts w:hint="eastAsia" w:ascii="宋体" w:hAnsi="宋体" w:cs="宋体"/>
          <w:color w:val="000000"/>
          <w:sz w:val="21"/>
          <w:szCs w:val="21"/>
        </w:rPr>
        <w:t>18581木器涂料中有害物质限量</w:t>
      </w:r>
    </w:p>
    <w:p w14:paraId="07A8FEB2">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w:t>
      </w:r>
      <w:r>
        <w:rPr>
          <w:rFonts w:hint="eastAsia" w:ascii="宋体" w:hAnsi="宋体" w:cs="宋体"/>
          <w:color w:val="000000"/>
          <w:sz w:val="21"/>
          <w:szCs w:val="21"/>
          <w:lang w:val="en-US" w:eastAsia="zh-CN"/>
        </w:rPr>
        <w:t xml:space="preserve"> </w:t>
      </w:r>
      <w:r>
        <w:rPr>
          <w:rFonts w:hint="eastAsia" w:ascii="宋体" w:hAnsi="宋体" w:cs="宋体"/>
          <w:color w:val="000000"/>
          <w:sz w:val="21"/>
          <w:szCs w:val="21"/>
        </w:rPr>
        <w:t>18583室内装饰装修材料胶粘剂中有害物质限量</w:t>
      </w:r>
    </w:p>
    <w:p w14:paraId="1B9F80C7">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w:t>
      </w:r>
      <w:r>
        <w:rPr>
          <w:rFonts w:hint="eastAsia" w:ascii="宋体" w:hAnsi="宋体" w:cs="宋体"/>
          <w:color w:val="000000"/>
          <w:sz w:val="21"/>
          <w:szCs w:val="21"/>
          <w:lang w:val="en-US" w:eastAsia="zh-CN"/>
        </w:rPr>
        <w:t xml:space="preserve"> </w:t>
      </w:r>
      <w:r>
        <w:rPr>
          <w:rFonts w:hint="eastAsia" w:ascii="宋体" w:hAnsi="宋体" w:cs="宋体"/>
          <w:color w:val="000000"/>
          <w:sz w:val="21"/>
          <w:szCs w:val="21"/>
        </w:rPr>
        <w:t>18584室内装饰装修材料木家具中有害物质限量</w:t>
      </w:r>
    </w:p>
    <w:p w14:paraId="1491E953">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w:t>
      </w:r>
      <w:r>
        <w:rPr>
          <w:rFonts w:hint="eastAsia" w:ascii="宋体" w:hAnsi="宋体" w:cs="宋体"/>
          <w:color w:val="000000"/>
          <w:sz w:val="21"/>
          <w:szCs w:val="21"/>
          <w:lang w:val="en-US" w:eastAsia="zh-CN"/>
        </w:rPr>
        <w:t xml:space="preserve"> </w:t>
      </w:r>
      <w:r>
        <w:rPr>
          <w:rFonts w:hint="eastAsia" w:ascii="宋体" w:hAnsi="宋体" w:cs="宋体"/>
          <w:color w:val="000000"/>
          <w:sz w:val="21"/>
          <w:szCs w:val="21"/>
        </w:rPr>
        <w:t>33372胶粘剂挥发性有机化合物限量</w:t>
      </w:r>
    </w:p>
    <w:p w14:paraId="673C381D">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w:t>
      </w:r>
      <w:r>
        <w:rPr>
          <w:rFonts w:hint="eastAsia" w:ascii="宋体" w:hAnsi="宋体" w:cs="宋体"/>
          <w:color w:val="000000"/>
          <w:sz w:val="21"/>
          <w:szCs w:val="21"/>
          <w:lang w:val="en-US" w:eastAsia="zh-CN"/>
        </w:rPr>
        <w:t xml:space="preserve"> </w:t>
      </w:r>
      <w:r>
        <w:rPr>
          <w:rFonts w:hint="eastAsia" w:ascii="宋体" w:hAnsi="宋体" w:cs="宋体"/>
          <w:color w:val="000000"/>
          <w:sz w:val="21"/>
          <w:szCs w:val="21"/>
        </w:rPr>
        <w:t>22792.2办公家具屏风第2部分：安全要求</w:t>
      </w:r>
    </w:p>
    <w:p w14:paraId="2575610F">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GB24430.1家用双层床安全第1部分：要求</w:t>
      </w:r>
    </w:p>
    <w:p w14:paraId="694E064B">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GB/T3324木家具通用技术条件</w:t>
      </w:r>
    </w:p>
    <w:p w14:paraId="65120D00">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GB/T3325金属家具通用技术条件</w:t>
      </w:r>
    </w:p>
    <w:p w14:paraId="0B54883F">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GB/T13668钢制书柜、资料柜通用技术条件</w:t>
      </w:r>
    </w:p>
    <w:p w14:paraId="18A2C811">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GB/T28200钢制储物柜（架）技术要求及试验方法</w:t>
      </w:r>
    </w:p>
    <w:p w14:paraId="6D04B475">
      <w:pPr>
        <w:spacing w:line="360" w:lineRule="auto"/>
        <w:ind w:firstLine="420" w:firstLineChars="200"/>
        <w:rPr>
          <w:rFonts w:ascii="宋体" w:hAnsi="宋体" w:cs="宋体"/>
          <w:color w:val="000000"/>
          <w:sz w:val="21"/>
          <w:szCs w:val="21"/>
        </w:rPr>
      </w:pPr>
      <w:r>
        <w:rPr>
          <w:rFonts w:hint="eastAsia" w:ascii="宋体" w:hAnsi="宋体" w:cs="宋体"/>
          <w:bCs/>
          <w:color w:val="000000"/>
          <w:sz w:val="21"/>
          <w:szCs w:val="21"/>
        </w:rPr>
        <w:t>GB/T38597低挥发性有机化合物含量涂料产品技术要求</w:t>
      </w:r>
    </w:p>
    <w:p w14:paraId="7F7BA186">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GB/T13667.3钢制书架第3部分：手动密集架</w:t>
      </w:r>
    </w:p>
    <w:p w14:paraId="39EBE7B6">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GB/T14532办公家具木制柜、架</w:t>
      </w:r>
    </w:p>
    <w:p w14:paraId="43863AC1">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GB/T26706软体家具棕纤维弹性床垫</w:t>
      </w:r>
    </w:p>
    <w:p w14:paraId="6B70A035">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GB/T22792.1办公家具屏风第1部分：尺寸</w:t>
      </w:r>
    </w:p>
    <w:p w14:paraId="7A968C47">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GB/T3326家具桌、椅、凳类主要尺寸</w:t>
      </w:r>
    </w:p>
    <w:p w14:paraId="0601E0F3">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GB/T3327家具柜类主要尺寸</w:t>
      </w:r>
    </w:p>
    <w:p w14:paraId="0E705EB6">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GB/T3328家具床类主要尺寸</w:t>
      </w:r>
    </w:p>
    <w:p w14:paraId="306B6C86">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GB/T35607绿色产品评价家具</w:t>
      </w:r>
    </w:p>
    <w:p w14:paraId="2EF7D2B8">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GB/T5296.6消费品使用说明第6部分：家具</w:t>
      </w:r>
    </w:p>
    <w:p w14:paraId="7A059602">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GB/T4893.1~9家具表面漆膜理化性能试验第1部分~第9部分</w:t>
      </w:r>
    </w:p>
    <w:p w14:paraId="5D1CF714">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GB/T10357.1~7家具力学性能试验第1部分~第7部分</w:t>
      </w:r>
    </w:p>
    <w:p w14:paraId="212D0D53">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GB/T38607办公家具桌台类稳定性、强度和耐久性测试方法</w:t>
      </w:r>
    </w:p>
    <w:p w14:paraId="6F27AF3A">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GB/T38611办公家具办公工作椅稳定性、强度和耐久性测试方法</w:t>
      </w:r>
    </w:p>
    <w:p w14:paraId="0808C192">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GB/T31106家具中挥发性有机化合物的测定</w:t>
      </w:r>
    </w:p>
    <w:p w14:paraId="5FF86A2C">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GB/T1931木材含水率测定方法</w:t>
      </w:r>
    </w:p>
    <w:p w14:paraId="7F462FF5">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GB/T23825人造板及其制品中甲醛释放量测定气体分析法</w:t>
      </w:r>
    </w:p>
    <w:p w14:paraId="3CB45FDC">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GB/T39600人造板及其制品甲醛释放量分级</w:t>
      </w:r>
    </w:p>
    <w:p w14:paraId="0A75D0B3">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GB/T4897刨花板</w:t>
      </w:r>
    </w:p>
    <w:p w14:paraId="64EA1939">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GB/T11718中密度纤维板</w:t>
      </w:r>
    </w:p>
    <w:p w14:paraId="7C626CBF">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GB/T9846普通胶合板</w:t>
      </w:r>
    </w:p>
    <w:p w14:paraId="51DE2B37">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GB/T13010刨切单板</w:t>
      </w:r>
    </w:p>
    <w:p w14:paraId="369C9595">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GB/T15102浸渍胶膜纸饰面纤维板和刨花板</w:t>
      </w:r>
    </w:p>
    <w:p w14:paraId="378B3FDA">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GB/T15104装饰单板贴面人造板</w:t>
      </w:r>
    </w:p>
    <w:p w14:paraId="10E5871C">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GB/T16799家具用皮革</w:t>
      </w:r>
    </w:p>
    <w:p w14:paraId="1DE07F8E">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QB/T1242家具五金件安装尺寸</w:t>
      </w:r>
    </w:p>
    <w:p w14:paraId="4BE855F1">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QB/T1952.1软体家具沙发</w:t>
      </w:r>
    </w:p>
    <w:p w14:paraId="567562A7">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QB/T2280办公家具办公椅</w:t>
      </w:r>
    </w:p>
    <w:p w14:paraId="4E4B14A8">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QB/T2384木制写字桌</w:t>
      </w:r>
    </w:p>
    <w:p w14:paraId="4C24920F">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QB/T2530木制柜</w:t>
      </w:r>
    </w:p>
    <w:p w14:paraId="4F4C2FE8">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SB/T10990家具售后服务规范</w:t>
      </w:r>
    </w:p>
    <w:p w14:paraId="6EE854B1">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QB/T2189-2013《家具五金杯状暗铰链》</w:t>
      </w:r>
    </w:p>
    <w:p w14:paraId="57FD6605">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QB/T2454-2013《家具五金抽屉导轨》</w:t>
      </w:r>
    </w:p>
    <w:p w14:paraId="3D05DA5C">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QB/T3832-1999《轻工产品金属镀层腐蚀试验结果的评价》</w:t>
      </w:r>
    </w:p>
    <w:p w14:paraId="6305CF85">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GB/T19367-2009《人造板的尺寸测定》</w:t>
      </w:r>
    </w:p>
    <w:p w14:paraId="03B74D01">
      <w:pPr>
        <w:spacing w:line="360" w:lineRule="auto"/>
        <w:ind w:firstLine="420" w:firstLineChars="200"/>
        <w:rPr>
          <w:rFonts w:hint="eastAsia" w:ascii="宋体" w:hAnsi="宋体" w:cs="宋体"/>
          <w:color w:val="000000"/>
          <w:sz w:val="21"/>
          <w:szCs w:val="21"/>
        </w:rPr>
      </w:pPr>
      <w:r>
        <w:rPr>
          <w:rFonts w:hint="eastAsia" w:ascii="宋体" w:hAnsi="宋体" w:cs="宋体"/>
          <w:color w:val="000000"/>
          <w:sz w:val="21"/>
          <w:szCs w:val="21"/>
        </w:rPr>
        <w:t>注：上述标准按照最新版本执行。</w:t>
      </w:r>
    </w:p>
    <w:p w14:paraId="00C5FCEE">
      <w:pPr>
        <w:ind w:firstLine="210" w:firstLineChars="100"/>
        <w:rPr>
          <w:rFonts w:hint="eastAsia" w:ascii="宋体" w:hAnsi="宋体" w:cs="宋体"/>
          <w:b w:val="0"/>
          <w:bCs w:val="0"/>
          <w:color w:val="000000"/>
          <w:kern w:val="44"/>
          <w:sz w:val="21"/>
          <w:szCs w:val="21"/>
          <w:lang w:val="en-US" w:eastAsia="zh-CN"/>
        </w:rPr>
      </w:pPr>
    </w:p>
    <w:p w14:paraId="272957E0">
      <w:pPr>
        <w:ind w:firstLine="210" w:firstLineChars="100"/>
        <w:rPr>
          <w:rFonts w:ascii="宋体" w:hAnsi="宋体" w:cs="宋体"/>
          <w:b w:val="0"/>
          <w:bCs w:val="0"/>
          <w:color w:val="000000"/>
          <w:kern w:val="44"/>
          <w:sz w:val="21"/>
          <w:szCs w:val="21"/>
        </w:rPr>
      </w:pPr>
      <w:r>
        <w:rPr>
          <w:rFonts w:hint="eastAsia" w:ascii="宋体" w:hAnsi="宋体" w:cs="宋体"/>
          <w:b w:val="0"/>
          <w:bCs w:val="0"/>
          <w:color w:val="000000"/>
          <w:kern w:val="44"/>
          <w:sz w:val="21"/>
          <w:szCs w:val="21"/>
          <w:lang w:val="en-US" w:eastAsia="zh-CN"/>
        </w:rPr>
        <w:t>4</w:t>
      </w:r>
      <w:r>
        <w:rPr>
          <w:rFonts w:hint="eastAsia" w:ascii="宋体" w:hAnsi="宋体" w:cs="宋体"/>
          <w:b w:val="0"/>
          <w:bCs w:val="0"/>
          <w:color w:val="000000"/>
          <w:kern w:val="44"/>
          <w:sz w:val="21"/>
          <w:szCs w:val="21"/>
        </w:rPr>
        <w:t>.采购标的需满足的质量、安全、技术规格、物理特性等要求</w:t>
      </w:r>
    </w:p>
    <w:p w14:paraId="31ACA91C">
      <w:pPr>
        <w:spacing w:line="360" w:lineRule="auto"/>
        <w:ind w:firstLine="420" w:firstLineChars="200"/>
        <w:rPr>
          <w:rFonts w:hint="eastAsia" w:ascii="宋体" w:hAnsi="宋体" w:cs="宋体"/>
          <w:color w:val="000000"/>
          <w:sz w:val="21"/>
          <w:szCs w:val="21"/>
        </w:rPr>
      </w:pPr>
      <w:r>
        <w:rPr>
          <w:rFonts w:hint="eastAsia" w:ascii="宋体" w:hAnsi="宋体" w:cs="宋体"/>
          <w:b w:val="0"/>
          <w:bCs w:val="0"/>
          <w:color w:val="000000"/>
          <w:sz w:val="21"/>
          <w:szCs w:val="21"/>
        </w:rPr>
        <w:t>（1）</w:t>
      </w:r>
      <w:r>
        <w:rPr>
          <w:rFonts w:hint="eastAsia" w:ascii="宋体" w:hAnsi="宋体" w:cs="宋体"/>
          <w:color w:val="000000"/>
          <w:sz w:val="21"/>
          <w:szCs w:val="21"/>
        </w:rPr>
        <w:t>投标人所投产品要符合强制性的国家技术质量规范、国家有关安全、环保、卫生、消防安全之规定和合同规定的质量、规格、性能和技术规范等要求。</w:t>
      </w:r>
    </w:p>
    <w:p w14:paraId="20FD7A2E">
      <w:pPr>
        <w:spacing w:line="360" w:lineRule="auto"/>
        <w:ind w:firstLine="420" w:firstLineChars="200"/>
        <w:rPr>
          <w:rFonts w:ascii="宋体" w:hAnsi="宋体" w:cs="宋体"/>
          <w:b w:val="0"/>
          <w:bCs w:val="0"/>
          <w:color w:val="000000"/>
          <w:sz w:val="21"/>
          <w:szCs w:val="21"/>
        </w:rPr>
      </w:pPr>
      <w:r>
        <w:rPr>
          <w:rFonts w:hint="eastAsia" w:ascii="宋体" w:hAnsi="宋体" w:cs="宋体"/>
          <w:b w:val="0"/>
          <w:bCs w:val="0"/>
          <w:color w:val="000000"/>
          <w:sz w:val="21"/>
          <w:szCs w:val="21"/>
        </w:rPr>
        <w:t>（2）所用人造板采用ENF级，甲醛释放量≤0.025mg/㎥(成品甲醛、苯、甲苯、二甲苯、TVOC等释放量满足GB/T 35607-2017《绿色产品评价</w:t>
      </w:r>
      <w:r>
        <w:rPr>
          <w:rFonts w:hint="eastAsia" w:ascii="宋体" w:hAnsi="宋体" w:cs="宋体"/>
          <w:b w:val="0"/>
          <w:bCs w:val="0"/>
          <w:color w:val="000000"/>
          <w:sz w:val="21"/>
          <w:szCs w:val="21"/>
          <w:lang w:val="en-US" w:eastAsia="zh-CN"/>
        </w:rPr>
        <w:t xml:space="preserve"> </w:t>
      </w:r>
      <w:r>
        <w:rPr>
          <w:rFonts w:hint="eastAsia" w:ascii="宋体" w:hAnsi="宋体" w:cs="宋体"/>
          <w:b w:val="0"/>
          <w:bCs w:val="0"/>
          <w:color w:val="000000"/>
          <w:sz w:val="21"/>
          <w:szCs w:val="21"/>
        </w:rPr>
        <w:t>家具》、GB/T39600—2021《人造板及其制品甲醛释放量分级》和GB/T39598—2021《基于极限甲醛量的人造板室内承载限量指南》要求。</w:t>
      </w:r>
    </w:p>
    <w:p w14:paraId="7C80A670">
      <w:pPr>
        <w:pStyle w:val="2"/>
        <w:ind w:firstLine="480"/>
        <w:rPr>
          <w:rFonts w:hAnsi="宋体" w:cs="宋体"/>
          <w:sz w:val="21"/>
          <w:szCs w:val="21"/>
        </w:rPr>
      </w:pPr>
      <w:r>
        <w:rPr>
          <w:rFonts w:hint="eastAsia" w:hAnsi="宋体" w:cs="宋体"/>
          <w:sz w:val="21"/>
          <w:szCs w:val="21"/>
        </w:rPr>
        <w:t>（3）投标人必须在投标文件中书面承诺：中标后生产前，投标人应按采购单位要求进行各个单品的深化设计及确定所供货物的相关事项，经使用单位书面确认是否同意后方可投入生产。否则，由此产生的一切后果由中标供应商负责。</w:t>
      </w:r>
    </w:p>
    <w:p w14:paraId="44B16AAD">
      <w:pPr>
        <w:pStyle w:val="2"/>
        <w:ind w:firstLine="480"/>
        <w:rPr>
          <w:rFonts w:hAnsi="宋体" w:cs="宋体"/>
          <w:color w:val="000000"/>
          <w:sz w:val="21"/>
          <w:szCs w:val="21"/>
        </w:rPr>
      </w:pPr>
      <w:r>
        <w:rPr>
          <w:rFonts w:hint="eastAsia" w:hAnsi="宋体" w:cs="宋体"/>
          <w:sz w:val="21"/>
          <w:szCs w:val="21"/>
        </w:rPr>
        <w:t>（4）</w:t>
      </w:r>
      <w:r>
        <w:rPr>
          <w:rFonts w:hint="eastAsia" w:hAnsi="宋体" w:cs="宋体"/>
          <w:color w:val="000000"/>
          <w:sz w:val="21"/>
          <w:szCs w:val="21"/>
        </w:rPr>
        <w:t>投标人在保证所提供的货物在正确安装、正常运转和保养的条件下，具有符合质量要求的产品说明书。</w:t>
      </w:r>
    </w:p>
    <w:p w14:paraId="732241AF">
      <w:pPr>
        <w:pStyle w:val="2"/>
        <w:ind w:firstLine="480"/>
        <w:rPr>
          <w:rFonts w:hint="eastAsia" w:hAnsi="宋体" w:cs="宋体"/>
          <w:sz w:val="21"/>
          <w:szCs w:val="21"/>
        </w:rPr>
      </w:pPr>
      <w:r>
        <w:rPr>
          <w:rFonts w:hint="eastAsia" w:hAnsi="宋体" w:cs="宋体"/>
          <w:sz w:val="21"/>
          <w:szCs w:val="21"/>
        </w:rPr>
        <w:t>（5）投标人必须在投标文件中书面承诺：一旦中标，在保证按招标文件中要求提供的产品数量进行供货外，采购人有权组织相关机构对所提供成品在封闭式的环境中进行开放性的检测，相关费用由投标人负责；如经检测家具环保等指标达不到国家以及招标文件中的要求，投标人应按该产品中标价的2倍金额赔偿给采购单位。</w:t>
      </w:r>
    </w:p>
    <w:p w14:paraId="10E339E3">
      <w:pPr>
        <w:pStyle w:val="2"/>
        <w:ind w:firstLine="420" w:firstLineChars="200"/>
        <w:rPr>
          <w:rFonts w:hint="eastAsia" w:hAnsi="宋体" w:eastAsia="宋体" w:cs="宋体"/>
          <w:sz w:val="21"/>
          <w:szCs w:val="21"/>
          <w:lang w:eastAsia="zh-CN"/>
        </w:rPr>
      </w:pPr>
      <w:r>
        <w:rPr>
          <w:rFonts w:hint="eastAsia" w:hAnsi="宋体" w:cs="宋体"/>
          <w:sz w:val="21"/>
          <w:szCs w:val="21"/>
          <w:lang w:eastAsia="zh-CN"/>
        </w:rPr>
        <w:t>（</w:t>
      </w:r>
      <w:r>
        <w:rPr>
          <w:rFonts w:hint="eastAsia" w:hAnsi="宋体" w:cs="宋体"/>
          <w:sz w:val="21"/>
          <w:szCs w:val="21"/>
          <w:lang w:val="en-US" w:eastAsia="zh-CN"/>
        </w:rPr>
        <w:t>6</w:t>
      </w:r>
      <w:r>
        <w:rPr>
          <w:rFonts w:hint="eastAsia" w:hAnsi="宋体" w:cs="宋体"/>
          <w:sz w:val="21"/>
          <w:szCs w:val="21"/>
          <w:lang w:eastAsia="zh-CN"/>
        </w:rPr>
        <w:t>）需求清单：</w:t>
      </w:r>
    </w:p>
    <w:tbl>
      <w:tblPr>
        <w:tblStyle w:val="4"/>
        <w:tblW w:w="85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4"/>
        <w:gridCol w:w="934"/>
        <w:gridCol w:w="1129"/>
        <w:gridCol w:w="786"/>
        <w:gridCol w:w="986"/>
        <w:gridCol w:w="4059"/>
      </w:tblGrid>
      <w:tr w14:paraId="7703C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ADB7">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934" w:type="dxa"/>
            <w:tcBorders>
              <w:top w:val="single" w:color="000000" w:sz="4" w:space="0"/>
              <w:left w:val="single" w:color="000000" w:sz="4" w:space="0"/>
              <w:bottom w:val="nil"/>
              <w:right w:val="nil"/>
            </w:tcBorders>
            <w:shd w:val="clear" w:color="auto" w:fill="auto"/>
            <w:vAlign w:val="center"/>
          </w:tcPr>
          <w:p w14:paraId="3941FB8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货物或服务名称</w:t>
            </w:r>
          </w:p>
        </w:tc>
        <w:tc>
          <w:tcPr>
            <w:tcW w:w="1129" w:type="dxa"/>
            <w:tcBorders>
              <w:top w:val="single" w:color="000000" w:sz="4" w:space="0"/>
              <w:left w:val="single" w:color="000000" w:sz="4" w:space="0"/>
              <w:bottom w:val="nil"/>
              <w:right w:val="nil"/>
            </w:tcBorders>
            <w:shd w:val="clear" w:color="auto" w:fill="auto"/>
            <w:vAlign w:val="center"/>
          </w:tcPr>
          <w:p w14:paraId="05F42FAE">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w:t>
            </w:r>
          </w:p>
        </w:tc>
        <w:tc>
          <w:tcPr>
            <w:tcW w:w="786" w:type="dxa"/>
            <w:tcBorders>
              <w:top w:val="single" w:color="000000" w:sz="4" w:space="0"/>
              <w:left w:val="single" w:color="000000" w:sz="4" w:space="0"/>
              <w:bottom w:val="nil"/>
              <w:right w:val="nil"/>
            </w:tcBorders>
            <w:shd w:val="clear" w:color="auto" w:fill="auto"/>
            <w:vAlign w:val="center"/>
          </w:tcPr>
          <w:p w14:paraId="6260514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86" w:type="dxa"/>
            <w:tcBorders>
              <w:top w:val="single" w:color="000000" w:sz="4" w:space="0"/>
              <w:left w:val="single" w:color="000000" w:sz="4" w:space="0"/>
              <w:bottom w:val="nil"/>
              <w:right w:val="nil"/>
            </w:tcBorders>
            <w:shd w:val="clear" w:color="auto" w:fill="auto"/>
            <w:vAlign w:val="center"/>
          </w:tcPr>
          <w:p w14:paraId="3776579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4059" w:type="dxa"/>
            <w:tcBorders>
              <w:top w:val="single" w:color="000000" w:sz="4" w:space="0"/>
              <w:left w:val="single" w:color="000000" w:sz="4" w:space="0"/>
              <w:bottom w:val="nil"/>
              <w:right w:val="nil"/>
            </w:tcBorders>
            <w:shd w:val="clear" w:color="auto" w:fill="auto"/>
            <w:vAlign w:val="center"/>
          </w:tcPr>
          <w:p w14:paraId="1A0D961F">
            <w:pPr>
              <w:keepNext w:val="0"/>
              <w:keepLines w:val="0"/>
              <w:widowControl/>
              <w:suppressLineNumbers w:val="0"/>
              <w:jc w:val="center"/>
              <w:textAlignment w:val="center"/>
              <w:rPr>
                <w:rFonts w:hint="eastAsia" w:ascii="仿宋" w:hAnsi="仿宋" w:eastAsia="仿宋" w:cs="仿宋"/>
                <w:b/>
                <w:bCs/>
                <w:i w:val="0"/>
                <w:iCs w:val="0"/>
                <w:color w:val="000000"/>
                <w:sz w:val="16"/>
                <w:szCs w:val="16"/>
                <w:u w:val="none"/>
              </w:rPr>
            </w:pPr>
            <w:r>
              <w:rPr>
                <w:rFonts w:hint="eastAsia" w:ascii="仿宋" w:hAnsi="仿宋" w:eastAsia="仿宋" w:cs="仿宋"/>
                <w:b/>
                <w:bCs/>
                <w:i w:val="0"/>
                <w:iCs w:val="0"/>
                <w:color w:val="000000"/>
                <w:kern w:val="0"/>
                <w:sz w:val="16"/>
                <w:szCs w:val="16"/>
                <w:u w:val="none"/>
                <w:lang w:val="en-US" w:eastAsia="zh-CN" w:bidi="ar"/>
              </w:rPr>
              <w:t>材质说明</w:t>
            </w:r>
          </w:p>
        </w:tc>
      </w:tr>
      <w:tr w14:paraId="4344E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525FD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402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班椅</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745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常规</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3EA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E454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DDE6">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1.靠背、坐垫接触面均采用环保、透气背面头层牛皮包裹，面料厚度1.0毫米，三年耐水解，阻燃、撕裂和拉伸性能均符合国家标准。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2.靠背骨架采用9层12毫米高强度层压胶合板，填充物为弹性聚酯棉加海绵组合，面料为环保透气背面植皮PU皮（真皮绒），靠背强度符合BIFMA和QB2280标准，阻燃性能符合国家标准。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3.扶手主体采用铝合金一体成型，表面铝合金抛光，扶手面真皮包裹，扶手通过钢板与靠背和坐垫连接，垂直测试115公斤，水平测试68公斤，强度符合BIFMA和QB2280标准。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4.坐垫骨架采用9层13毫米高强度层压胶合板，填充物高密度海绵组合，面料为环保透气皮料，座垫强度符合BIFMA和QB2280标准，阻燃性能符合国家标准。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5.4档锁定青蛙底盘，回力安全保护功能，螺母可调节弹簧松紧，3.0MM加厚钢板，倾仰角度13度，承载109公斤倾仰耐久测试30万次，机构运动无干涉，无噪音，强度符合BIFMA和QB2280标准。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6.气杆棒芯采用2.5MM的优质无缝钢管，3级气杆标准，德国TUV认证制作，通过施加载荷循环测试 10 万次旋转、升降测试，符合BIFMA和QB2280标准。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7.采用铝合金材料，压铸一体成型，椅脚直径350mm；静压测试1136kg 、冲击测试136公斤，符合BIFMA和QB2280标准。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8.采用PA+30%玻璃纤维材料，组装后经过高温热处理，轮片直径60mm。经10万次行走循环测试和136公斤冲击测试，符合BIFMA和QB2280标准，通过负16度低温测试。</w:t>
            </w:r>
          </w:p>
        </w:tc>
      </w:tr>
      <w:tr w14:paraId="71183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0819BB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E8C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办公椅</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06C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常规</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0F9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78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01B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85BD">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1、背架采用PA+30纤材料一次注塑成型，抗UV测试符合GB/T164422.1标准，整椅测试符合GB/T2280/1035标准。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2、座框架采用PA加纤注塑一次成型，结构简单，承重力强。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3、座垫海绵：采用高回弹聚氨酯高压发泡技术，座垫海绵密度应≥55㎏/m3；，该海绵不会因频繁使用而变形、起皱；坐感舒适。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4、座板采用优质夹板经模具压弯成型，厚度应≥12mm。</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5、座椅回弹阻尼慢回位、回位轻盈无声，持久耐用，无噪音，座垫具备吸音及排气功能，保证良好排气效果。</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6、椅背宽大，支撑强，可躺设计，并具有可调节高低的腰靠，适合午间休息，工艺更符合人体工程力学原理，办公人员坐在椅子上腰部紧贴腰靠，支撑力度舒适。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7、椅背的后仰符合人体工学原理，最大后仰可达165°。</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8、头枕采用3D技术，三关节调节。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9、底盘采用线控锁功能，优质钢线调控椅座的高度，也可调节椅背的仰度。</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10、扶手随着椅背的后仰活动，扶手架采用一次PP加纤的材料，扶手面软硬件适中，手感舒服。</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11、面料：座面料采用弹性椅座面料，背面料选用办公椅专用强弹力纺织面料，软硬适中、手感舒适、粘接牢固，使用长时间无皱褶，无断裂、不起球、不褪色、耐磨、吸声、抗污。</w:t>
            </w:r>
          </w:p>
        </w:tc>
      </w:tr>
      <w:tr w14:paraId="29DAF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57F303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60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会议椅</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9EF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常规</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991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E2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003E">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中背、带扶手。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纳帕牛皮，颜色多选，厚度≥1.80mm，透气性好，耐磨，承受腰背不同受力程度，符合人体工程设计；游离甲醛≤1.5mg/kg，TVOC≤10mg/kg；纹路细致、色泽均匀；撕裂度≥50N，手工精心缝制，透气性好、柔软且富于韧性；厚薄基本均匀，无油腻感平整、柔软、丰满有弹性不裂面，无管皱，无松面。</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2.采用优质环保、高回弹一次成形泡棉，座面密度≥40kg/m³；回弹性≥50%；背密度≥25kg/m³；压缩永久变形≤4%，环保无异味，弹性强而不坚硬，座感舒适，不易变形；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3.座、背衬板采用优质弯曲胶合板，含水率7-13%，由多层实木单板经过高频热压一次弯曲成型，依据人体工程学设计，甲醛释放量≤0.025mg/m³，TVOC为≤0.050mg/㎡.h，胶合强度≥1.0MPa。</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4.扶手带与座面同色PU革盖板。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5.弓形钢制椅架，壁厚≥1.8mm，表面电镀处理,带尼龙垫脚。</w:t>
            </w:r>
          </w:p>
        </w:tc>
      </w:tr>
      <w:tr w14:paraId="54800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45C46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058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办公椅</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779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常规</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9D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7CD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A3DCB">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1.背网采用环保优质高弹性网布，背支架碳纤维皮纹装饰；</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2.升降调节腰靠，满足不同身高、体型人群使用需求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3.固定T型扶手，采⽤优质PP材质，对手臂有力支撑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4.坐垫骨架采用高强度层压胶合板，填充物采用高回弹海绵，有效缓解臀部的压力，提供舒适支撑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5.弓形脚，宽幅稳重，经久耐用</w:t>
            </w:r>
          </w:p>
        </w:tc>
      </w:tr>
      <w:tr w14:paraId="3996F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206922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9B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会议椅</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EBF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常规</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06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110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F0D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4AAC7">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1.椅背采用PP+玻纤，高弹力透气网布；椅座采用加厚定型海绵，弹力透气坐布。</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2.扶手盖板采用同色皮质盖板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3.金属椅架，配尼龙垫脚</w:t>
            </w:r>
          </w:p>
        </w:tc>
      </w:tr>
      <w:tr w14:paraId="76B48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2BD9A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B27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班台</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CADD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主台1800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*900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*760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副台1200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*450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*670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2F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06F7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92EF7">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1.采用ENF级中密度纤维板,静曲强度≥35.0MPa,甲醛释放量≤0.025mg/m³；板材密度0.65-0.80g/cm³；内结合强度≥0.60Mpa；符合GB/T11718-2021中密度纤维板；GB18580-2017室内装饰装修材料人造板及其制品中甲醛释放限量。</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2.天然山纹胡桃木皮饰面，木皮厚度≥0.6mm，双面实木皮工艺；木皮颜色一致，纹理清晰自然，颜色均匀平整，无结疤，无瑕疵。</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3.使用与木皮材质一致的实木封边，桌面边缘带起线造型，实木封边厚度≥8mm，木材含水率8%-12%，隐藏部位全做封闭处理，所有人造板件全部双饰面、封四边，实木封边采用含实木于内的整体贴面先进工艺。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4.使用环保水基型胶黏剂，符合GB18583-2008室内装饰装修材料胶黏剂中有害物质限量；游离甲醛≤0.05g/kg；苯≤0.02g/kg；甲苯+二甲苯≤0.02g/kg；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5.五底三面工艺，两面均衡油饰，硬度≥2H；水性底漆，水性面漆，耐划伤、耐碱性、耐干热性1级，甲醛释放量≤5mg/kg，TVOC含量≤2g/L,苯系物总和含量≤50mg/kg，乙二醇醚及醚酯总和含量≤50mg/kg；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配主桌、副桌、三抽屉活动小推柜、主机车；桌面四角倒圆弧设计，副台具有收纳空间，便于放置文件；主、副桌桌面厚度≥25mm,其余部位厚度≥18mm，副台设键盘托；主副桌均有走线功能，桌面开走线孔，线孔内缘和隐蔽部位全部封闭处理，配金属线圈；配尼龙脚垫</w:t>
            </w:r>
          </w:p>
        </w:tc>
      </w:tr>
      <w:tr w14:paraId="287A9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4F30F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1C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电脑桌</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4C26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1200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*450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660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11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455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499B">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1.采用ENF级中密度纤维板,静曲强度≥35.0MPa,甲醛释放量≤0.025mg/m³；板材密度0.65-0.80g/cm³；内结合强度≥0.60Mpa；符合GB/T11718-2021中密度纤维板；GB18580-2017室内装饰装修材料人造板及其制品中甲醛释放限量。</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2.天然山纹胡桃木皮饰面，木皮厚度≥0.6mm，双面实木皮工艺；木皮颜色一致，纹理清晰自然，颜色均匀平整，无结疤，无瑕疵。</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3.使用与木皮材质一致的实木封边，桌面边缘带起线造型，实木封边厚度≥8mm，木材含水率8%-12%，隐藏部位全做封闭处理，所有人造板件全部双饰面、封四边，实木封边采用含实木于内的整体贴面先进工艺。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4.使用环保水基型胶黏剂，符合GB18583-2008室内装饰装修材料胶黏剂中有害物质限量；游离甲醛≤0.05g/kg；苯≤0.02g/kg；甲苯+二甲苯≤0.02g/kg；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5.五底三面工艺，两面均衡油饰，硬度≥2H；水性底漆，水性面漆，耐划伤、耐碱性、耐干热性1级，甲醛释放量≤5mg/kg，TVOC含量≤2g/L,苯系物总和含量≤50mg/kg，乙二醇醚及醚酯总和含量≤50mg/kg；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7.桌面四角倒圆弧设计，带收纳空间需含主机位，便于置放文件；桌面厚度≥25mm,其余部位厚度≥18mm，设键盘托；具有走线功能，桌面开走线孔，线孔内缘和隐蔽部位全部封闭处理，配金属线圈；配尼龙脚垫</w:t>
            </w:r>
          </w:p>
        </w:tc>
      </w:tr>
      <w:tr w14:paraId="31C1D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3D36F8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F0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办公桌</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6A77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主台1600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*800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*760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副台1200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*450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*670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56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52D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A8C60">
            <w:pPr>
              <w:keepNext w:val="0"/>
              <w:keepLines w:val="0"/>
              <w:widowControl/>
              <w:numPr>
                <w:ilvl w:val="0"/>
                <w:numId w:val="3"/>
              </w:numPr>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选用ENF级三聚氰胺饰面刨花板，甲醛释放量≤0.025mg/m³；成品甲醛、苯、甲苯、二甲苯、TVOC等释放量满足GB/T 35607-2017绿色产品评价家具要求。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所有板件双贴面，封四边（隐藏部位均封闭处理）所有外部封边采用与板件颜色、纹理配套的同色优质激光（ABS）封边条，厚度≥1mm，封边无胶水外溢现象，封边严密平整，线条均匀，转角过渡自然，不易变形及开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3.环保水基型胶黏剂，符合GB18583-2008室内装饰装修材料胶粘剂中有害物质限量；游离甲醛≤0.05g/kg；苯≤0.02g/kg；甲苯+二甲苯≤0.02g/kg；</w:t>
            </w:r>
          </w:p>
          <w:p w14:paraId="421A90CE">
            <w:pPr>
              <w:keepNext w:val="0"/>
              <w:keepLines w:val="0"/>
              <w:widowControl/>
              <w:numPr>
                <w:ilvl w:val="-1"/>
                <w:numId w:val="0"/>
              </w:numPr>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4</w:t>
            </w:r>
            <w:r>
              <w:rPr>
                <w:rFonts w:hint="eastAsia" w:ascii="宋体" w:hAnsi="宋体" w:eastAsia="宋体" w:cs="宋体"/>
                <w:i w:val="0"/>
                <w:iCs w:val="0"/>
                <w:color w:val="000000"/>
                <w:kern w:val="0"/>
                <w:sz w:val="16"/>
                <w:szCs w:val="16"/>
                <w:u w:val="none"/>
                <w:lang w:val="en-US" w:eastAsia="zh-CN" w:bidi="ar"/>
              </w:rPr>
              <w:t>.采用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cs="宋体"/>
                <w:i w:val="0"/>
                <w:iCs w:val="0"/>
                <w:color w:val="000000"/>
                <w:kern w:val="0"/>
                <w:sz w:val="16"/>
                <w:szCs w:val="16"/>
                <w:u w:val="none"/>
                <w:lang w:val="en-US" w:eastAsia="zh-CN" w:bidi="ar"/>
              </w:rPr>
              <w:t>5</w:t>
            </w:r>
            <w:r>
              <w:rPr>
                <w:rFonts w:hint="eastAsia" w:ascii="宋体" w:hAnsi="宋体" w:eastAsia="宋体" w:cs="宋体"/>
                <w:i w:val="0"/>
                <w:iCs w:val="0"/>
                <w:color w:val="000000"/>
                <w:kern w:val="0"/>
                <w:sz w:val="16"/>
                <w:szCs w:val="16"/>
                <w:u w:val="none"/>
                <w:lang w:val="en-US" w:eastAsia="zh-CN" w:bidi="ar"/>
              </w:rPr>
              <w:t>.配主桌、副桌、三抽屉活动小推柜，金属主机车；副台收纳空间需含主机位，便于置放文件；主、副桌桌面厚度≥25mm,其余部位厚度≥18mm，副台设键盘托；主副桌均有走线功能，桌面开走线孔，线孔内缘和隐蔽部位全部封闭处理，配金属线圈；配尼龙脚垫。</w:t>
            </w:r>
          </w:p>
        </w:tc>
      </w:tr>
      <w:tr w14:paraId="06CB8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374EC5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3E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办公桌</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5921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*800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*760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2F47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D9B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3471B">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1.选用ENF级三聚氰胺饰面刨花板，甲醛释放量≤0.025mg/m³；成品甲醛、苯、甲苯、二甲苯、TVOC等释放量满足GB/T 35607-2017绿色产品评价家具要求。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所有板件双贴面，封四边（隐藏部位均封闭处理）所有外部封边采用与板件颜色、纹理配套的同色优质激光（ABS）封边条，厚度≥1mm，封边无胶水外溢现象，封边严密平整，线条均匀，转角过渡自然，不易变形及开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5.设固定柜，上部为抽屉柜，下部为单开门柜，设键盘托；带走线功能，桌面开走线孔，线孔内缘和隐蔽部位全部封闭处理，配金属线圈；配尼龙脚垫。</w:t>
            </w:r>
          </w:p>
        </w:tc>
      </w:tr>
      <w:tr w14:paraId="35E07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5CD308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250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直桌屏风工位</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11DE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1500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*600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*1200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F3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ADA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17671">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1.一字直桌面，桌面选用ENF级三聚氰胺饰面刨花板，厚度≥25mm,甲醛释放量≤0.025mg/m³；成品甲醛、苯、甲苯、二甲苯、TVOC等释放量满足GB/T 35607-2017绿色产品评价家具要求。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所有板件双贴面，封四边（隐藏部位均封闭处理）所有外部封边采用与板件颜色、纹理配套的同色优质激光（ABS）封边条，厚度≥1mm，封边无胶水外溢现象，封边严密平整，线条均匀，转角过渡自然，不易变形及开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屏风厚度≥40mm，钢制内框架，厚度≥1.5mm，内部不允许使用人造板。屏风上部为0.8mm厚冷轧钢板，中部为0.8mm厚喷涂冷轧钢板，屏风下部配0.8mm厚冷轧钢板，金属表面喷塑处理，配金属调节脚；屏风带走线功能及预留线孔；可按实际摆放情况，任意方向，独立摆放。</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6.配钢制薄边三屉推柜（带联锁），钢制主机车，钢板壁厚≥0.8mm，表面喷塑处理。</w:t>
            </w:r>
          </w:p>
        </w:tc>
      </w:tr>
      <w:tr w14:paraId="18548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5C5469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8A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转角屏风工位</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3A8B1">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*1600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*1200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AE9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9DB4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1CFE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1.L型桌面，桌面选用ENF级三聚氰胺饰面刨花板，厚度≥25mm,甲醛释放量≤0.025mg/m³；成品甲醛、苯、甲苯、二甲苯、TVOC等释放量满足GB/T 35607-2017绿色产品评价家具要求。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所有板件双贴面，封四边（隐藏部位均封闭处理）所有外部封边采用与板件颜色、纹理配套的同色优质激光（ABS）封边条，厚度≥1mm，封边无胶水外溢现象，封边严密平整，线条均匀，转角过渡自然，不易变形及开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屏风厚度≥40mm，钢制内框架，厚度≥1.5mm，内部不允许使用人造板。屏风上部为0.8mm厚冷轧钢板，中部为0.8mm厚喷涂冷轧钢板，屏风下部配0.8mm厚冷轧钢板，金属表面喷塑处理，配金属调节脚；屏风带走线功能及预留线孔；可按实际摆放情况，任意方向，独立摆放。</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6.配钢制薄边三屉推柜（带联锁），钢制主机车，钢制固定衣柜，带金属挂衣杆，钢板壁厚≥0.8mm，表面喷塑处理。</w:t>
            </w:r>
          </w:p>
        </w:tc>
      </w:tr>
      <w:tr w14:paraId="44E65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6"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109501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9CBE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洽谈桌</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8D7E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*1300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*760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043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B43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011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1、选用ENF级三聚氰胺饰面刨花板，甲醛释放量≤0.025mg/m³；成品甲醛、苯、甲苯、二甲苯、TVOC等释放量满足GB/T 35607-2017绿色产品评价家具要求。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所有板件双贴面，封四边（隐藏部位均封闭处理）所有外部封边采用与板件颜色、纹理配套的同色优质激光（ABS）封边条，厚度≥1mm，封边无胶水外溢现象，封边严密平整，线条均匀，转角过渡自然，不易变形及开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4.钢制桌腿，壁厚≥1.8mm,表面喷塑处理，配尼龙套脚。</w:t>
            </w:r>
          </w:p>
        </w:tc>
      </w:tr>
      <w:tr w14:paraId="307DC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8"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1850C9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63A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洽谈桌</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E340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*800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*760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A77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A62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A5B97">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1、选用ENF级三聚氰胺饰面刨花板，甲醛释放量≤0.025mg/m³；成品甲醛、苯、甲苯、二甲苯、TVOC等释放量满足GB/T 35607-2017绿色产品评价家具要求。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所有板件双贴面，封四边（隐藏部位均封闭处理）所有外部封边采用与板件颜色、纹理配套的同色优质激光（ABS）封边条，厚度≥1mm，封边无胶水外溢现象，封边严密平整，线条均匀，转角过渡自然，不易变形及开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4.钢制桌腿，壁厚≥1.8mm,表面喷塑处理，配尼龙套脚。</w:t>
            </w:r>
          </w:p>
        </w:tc>
      </w:tr>
      <w:tr w14:paraId="10304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1"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5115E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71E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会议桌</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456B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1300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*700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*760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34B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2A2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CBAA6">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1、选用ENF级三聚氰胺饰面刨花板，甲醛释放量≤0.025mg/m³；成品甲醛、苯、甲苯、二甲苯、TVOC等释放量满足GB/T 35607-2017绿色产品评价家具要求。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所有板件双贴面，封四边（隐藏部位均封闭处理）所有外部封边采用与板件颜色、纹理配套的同色优质激光（ABS）封边条，厚度≥1mm，封边无胶水外溢现象，封边严密平整，线条均匀，转角过渡自然，不易变形及开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4.桌面四周倒圆弧；钢制桌腿，壁厚≥1.8mm,表面喷塑处理，配尼龙套脚。</w:t>
            </w:r>
          </w:p>
        </w:tc>
      </w:tr>
      <w:tr w14:paraId="7B687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7"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64D0F3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D16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圆茶几</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73CE5">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φ600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*760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90F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5F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A2E27">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1.选用ENF级三聚氰胺饰面刨花板，甲醛释放量≤0.025mg/m³；成品甲醛、苯、甲苯、二甲苯、TVOC等释放量满足GB/T 35607-2017绿色产品评价家具要求。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所有板件双贴面，封四边（隐藏部位均封闭处理）所有外部封边采用与板件颜色、纹理配套的同色优质激光（ABS）封边条，厚度≥1mm，封边无胶水外溢现象，封边严密平整，线条均匀，转角过渡自然，不易变形及开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4.钢制脚架，表面喷塑处理，配尼龙脚垫。</w:t>
            </w:r>
          </w:p>
        </w:tc>
      </w:tr>
      <w:tr w14:paraId="00F8F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3BEF60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65D8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长茶几</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653B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1200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*600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*450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8F77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409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712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1.采用ENF级中密度纤维板,静曲强度≥35.0MPa,甲醛释放量≤0.025mg/m³；板材密度0.65-0.80g/cm³；内结合强度≥0.60Mpa；符合GB/T11718-2021中密度纤维板；GB18580-2017室内装饰装修材料人造板及其制品中甲醛释放限量。</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2.天然山纹胡桃木皮饰面，木皮厚度≥0.6mm，双面实木皮工艺；纹理清晰自然，木皮颜色一致，纹理清晰自然，颜色均匀平整，无结疤，无瑕疵。</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3.使用与木皮材质一致的实木封边，实木封边厚度≥8mm，木材含水率8%-12%，隐藏部位全做封闭处理，所有人造板件全部双饰面、封四边，实木封边采用含实木于内的整体贴面先进工艺。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5.五底三面工艺，两面均衡油饰，硬度≥2H；水性底漆，水性面漆，耐划伤、耐碱性、耐干热性1级，甲醛释放量≤5mg/kg，TVOC含量≤2g/L,苯系物总和含量≤50mg/kg，乙二醇醚及醚酯总和含量≤50mg/kg；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6.胡桃木实木几架，木材含水率8%-12%，榫卯结构。</w:t>
            </w:r>
          </w:p>
        </w:tc>
      </w:tr>
      <w:tr w14:paraId="7AE3E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23626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7AC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长茶几</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7164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1200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*600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*450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3F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350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47FB">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1.采用ENF级中密度纤维板,静曲强度≥35.0MPa,甲醛释放量≤0.025mg/m³；板材密度0.65-0.80g/cm³；内结合强度≥0.60Mpa；符合GB/T11718-2021中密度纤维板；GB18580-2017室内装饰装修材料人造板及其制品中甲醛释放限量。</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2.天然山纹胡桃木皮饰面，木皮厚度≥0.6mm，双面实木皮工艺；纹理清晰自然，木皮颜色一致，纹理清晰自然，颜色均匀平整，无结疤，无瑕疵。</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3.使用与木皮材质一致的实木封边，实木封边厚度≥8mm，木材含水率8%-12%，隐藏部位全做封闭处理，所有人造板件全部双饰面、封四边，实木封边采用含实木于内的整体贴面先进工艺。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5.五底三面工艺，两面均衡油饰，硬度≥2H；水性底漆，水性面漆，耐划伤、耐碱性、耐干热性1级，甲醛释放量≤5mg/kg，TVOC含量≤2g/L,苯系物总和含量≤50mg/kg，乙二醇醚及醚酯总和含量≤50mg/kg；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6.胡桃木实木几架，木材含水率8%-12%，榫卯结构；带两个抽屉、一个空格。</w:t>
            </w:r>
          </w:p>
        </w:tc>
      </w:tr>
      <w:tr w14:paraId="58FC7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5"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3E96FF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290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长茶几</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792F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1200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*600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*450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BD7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6E4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7CE9">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1.采用大理石台面，整体一体裁切成型，无拼接缝；耐磨抗刮，不易渗色。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2.表面经高精度抛光打磨处理，板面平整顺滑，色泽自然均匀，纹理通透连贯；板面做防渗污防护封闭处理，具备防咖啡、茶水、污渍渗透性能，日常易清洁。</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3.耐高温、耐酸碱腐蚀，冷热温差不易开裂。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4.几架采用优质冷轧方形钢管一体折弯焊接成型，管材壁厚≥1.2mm，承重强度高、不易变形弯折，配尼龙脚垫。</w:t>
            </w:r>
          </w:p>
        </w:tc>
      </w:tr>
      <w:tr w14:paraId="77E25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24B2E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934" w:type="dxa"/>
            <w:tcBorders>
              <w:top w:val="single" w:color="000000" w:sz="4" w:space="0"/>
              <w:left w:val="single" w:color="000000" w:sz="4" w:space="0"/>
              <w:bottom w:val="nil"/>
              <w:right w:val="single" w:color="000000" w:sz="4" w:space="0"/>
            </w:tcBorders>
            <w:shd w:val="clear" w:color="auto" w:fill="FFFFFF"/>
            <w:vAlign w:val="center"/>
          </w:tcPr>
          <w:p w14:paraId="510804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休闲沙发</w:t>
            </w:r>
          </w:p>
        </w:tc>
        <w:tc>
          <w:tcPr>
            <w:tcW w:w="1129" w:type="dxa"/>
            <w:tcBorders>
              <w:top w:val="single" w:color="000000" w:sz="4" w:space="0"/>
              <w:left w:val="single" w:color="000000" w:sz="4" w:space="0"/>
              <w:bottom w:val="nil"/>
              <w:right w:val="single" w:color="000000" w:sz="4" w:space="0"/>
            </w:tcBorders>
            <w:shd w:val="clear" w:color="auto" w:fill="FFFFFF"/>
            <w:vAlign w:val="center"/>
          </w:tcPr>
          <w:p w14:paraId="5942DB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常规</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F97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24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1E8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ADB57">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纳帕牛皮，颜色多选，厚度≥1.80mm，透气性好，耐磨，承受腰背不同受力程度，符合人体工程设计；游离甲醛≤1.5mg/kg，TVOC≤10mg/kg；纹路细致、色泽均匀；撕裂度≥50N，手工精心缝制，透气性好、柔软且富于韧性；厚薄基本均匀，无油腻感平整、柔软、丰满有弹性不裂面，无管皱，无松面。</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2.采用优质环保、高回弹一次成形泡棉，座面密度≥40kg/m³；回弹性≥50%；背密度≥25kg/m³；压缩永久变形≤4%，环保无异味，弹性强而不坚硬，座感舒适，不易变形；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3.座、背衬板采用优质弯曲胶合板，含水率7-13%，由多层实木单板经过高频热压一次弯曲成型，依据人体工程学设计，甲醛释放量≤0.025mg/m³，TVOC为≤0.050mg/㎡.h，胶合强度≥1.0MPa。</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4.框架采用实木框架，木制构件全部经过烘干处理，木构件四面刨光，木材含水率8-16%，木材无腐朽和虫蛀；</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6.实木内框架，榫卯结构，木材含水率8-16%；弹簧或绷带材料与泡棉之间有高强度织物隔垫。</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7.钢制脚架，表面喷塑处理，配尼龙脚垫。</w:t>
            </w:r>
          </w:p>
        </w:tc>
      </w:tr>
      <w:tr w14:paraId="3E75D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1EE16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1C12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1F36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φ600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*600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0A1F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4E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010A9">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1.选用ENF级三聚氰胺饰面刨花板，甲醛释放量≤0.025mg/m³；成品甲醛、苯、甲苯、二甲苯、TVOC等释放量满足GB/T 35607-2017绿色产品评价家具要求。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所有板件双贴面，封四边（隐藏部位均封闭处理）所有外部封边采用与板件颜色、纹理配套的同色优质激光（ABS）封边条，厚度≥1mm，封边无胶水外溢现象，封边严密平整，线条均匀，转角过渡自然，不易变形及开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4.钢制脚架，表面喷塑处理，配尼龙脚垫。</w:t>
            </w:r>
          </w:p>
        </w:tc>
      </w:tr>
      <w:tr w14:paraId="10ACB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3359C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61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组合柜</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CF76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*500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*2000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7D5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37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CFB0">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1.采用一级冷轧钢板，钢板厚度≥0.8㎜。钢板符合GB/T3325-2017金属家具通用技术条件。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2.钢板内外表面光滑、经防锈处理；达到国家环保检测标准；环保塑粉（无毒、无味、防烫）；硬度≥3H。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铰链、连接件、三节导轨等。铰链符合QB/T2189-2013家具五金杯状暗铰链，下沉量≤1mm，耐腐蚀等级≥10级；铰链提供缓冲功能，最大程度减小柜门关闭时与柜体碰撞发出的噪音。</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4.钢板三折弯工艺，焊接处应无夹渣、虚焊、焊穿、错位错陷，喷涂层应无漏喷、锈蚀和脱色、掉色现象。涂层应光滑均匀、色泽一致、无流挂、皱皮、飞漆等缺陷。</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5.喷塑处理；钢制木纹转印工艺，内外面纹理（天然胡桃木山纹）及颜色同班台配套。</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衣柜+文件柜+衣柜；文件柜上下对开门，上柜为钢板内嵌玻璃门（3c标志钢化玻璃），内含可调节层板，下柜为钢质板门，内含可调节层板；左侧及右侧衣柜为单门钢质门板，衣柜内含金属挂衣杆和可调节层板；冰箱合页，锌合金一体扣手锁。</w:t>
            </w:r>
          </w:p>
        </w:tc>
      </w:tr>
      <w:tr w14:paraId="70B91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6A6C9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AA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更衣柜</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0EEA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*500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*2000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951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43A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564B6">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1.采用一级冷轧钢板，钢板厚度≥0.8㎜。钢板符合GB/T3325-2017金属家具通用技术条件。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2.钢板内外表面光滑、经防锈处理；达到国家环保检测标准；环保塑粉（无毒、无味、防烫）；硬度≥3H。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铰链、连接件、三节导轨等。铰链符合QB/T2189-2013家具五金杯状暗铰链，下沉量≤1mm，耐腐蚀等级≥10级；铰链提供缓冲功能，最大程度减小柜门关闭时与柜体碰撞发出的噪音。</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4.钢板三折弯工艺，焊接处应无夹渣、虚焊、焊穿、错位错陷，喷涂层应无漏喷、锈蚀和脱色、掉色现象。涂层应光滑均匀、色泽一致、无流挂、皱皮、飞漆等缺陷。</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5.喷塑处理；钢制木纹转印工艺，内外面纹理（天然胡桃木山纹）及颜色同班台配套。</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6.衣柜为单门钢质门板，衣柜内含金属挂衣杆和可调节层板；冰箱合页，锌合金一体扣手锁。</w:t>
            </w:r>
          </w:p>
        </w:tc>
      </w:tr>
      <w:tr w14:paraId="0ABCE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0F717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F30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玻璃文件柜</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BD4D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*400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*1850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85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9B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0D9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1.采用一级冷轧钢板，钢板厚度≥0.8㎜。钢板符合GB/T3325-2017金属家具通用技术条件。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2.钢板表面进行喷塑处理。钢板内外表面光滑、经防锈处理；达到国家环保检测标准；环保塑粉（无毒、无味、防烫）；硬度≥2H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4.钢板三折弯工艺，焊接处应无夹渣、虚焊、焊穿、错位错陷，喷涂层应无漏喷、锈蚀和脱色、掉色现象；涂层光滑均匀、色泽一致、无流挂、皱皮、飞漆等缺陷。</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5.上部为对开3C玻璃门，下部为对开钢制板门；冰箱合页，锌合金一体式扣手锁，柜内配置活动层板，带锁。</w:t>
            </w:r>
          </w:p>
        </w:tc>
      </w:tr>
      <w:tr w14:paraId="19ACA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0BD554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A1D2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文件柜</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4C9C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*500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*2000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C68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A2E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90DAB">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1.采用一级冷轧钢板，钢板厚度≥0.8㎜。钢板符合GB/T3325-2017金属家具通用技术条件。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2.钢板表面进行喷塑处理。钢板内外表面光滑、经防锈处理；达到国家环保检测标准；环保塑粉（无毒、无味、防烫）；硬度≥2H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4.钢板三折弯工艺，焊接处应无夹渣、虚焊、焊穿、错位错陷，喷涂层应无漏喷、锈蚀和脱色、掉色现象；涂层光滑均匀、色泽一致、无流挂、皱皮、飞漆等缺陷。</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5.四门柜，上下均为顺开板门，带透气孔，冰箱合页，锌合金一体式扣手锁，柜内配置活动层板。</w:t>
            </w:r>
          </w:p>
        </w:tc>
      </w:tr>
      <w:tr w14:paraId="1EC67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auto" w:sz="4" w:space="0"/>
              <w:right w:val="nil"/>
            </w:tcBorders>
            <w:shd w:val="clear" w:color="auto" w:fill="FFFFFF"/>
            <w:noWrap/>
            <w:vAlign w:val="center"/>
          </w:tcPr>
          <w:p w14:paraId="77D180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34"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6F9DA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四门文件柜</w:t>
            </w:r>
          </w:p>
        </w:tc>
        <w:tc>
          <w:tcPr>
            <w:tcW w:w="1129"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9822D2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*400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*1850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ED0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6E0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24A1">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1.采用一级冷轧钢板，钢板厚度≥0.8㎜。钢板符合GB/T3325-2017金属家具通用技术条件。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2.钢板表面进行喷塑处理。钢板内外表面光滑、经防锈处理；达到国家环保检测标准；环保塑粉（无毒、无味、防烫）；硬度≥2H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4.钢板三折弯工艺，焊接处应无夹渣、虚焊、焊穿、错位错陷，喷涂层应无漏喷、锈蚀和脱色、掉色现象；涂层光滑均匀、色泽一致、无流挂、皱皮、飞漆等缺陷。</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5.对开门；冰箱合页，锌合金一体式扣手锁，柜内配置活动层板。</w:t>
            </w:r>
          </w:p>
        </w:tc>
      </w:tr>
      <w:tr w14:paraId="4114D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37C17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34CE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双门文件柜</w:t>
            </w:r>
          </w:p>
        </w:tc>
        <w:tc>
          <w:tcPr>
            <w:tcW w:w="1129" w:type="dxa"/>
            <w:tcBorders>
              <w:top w:val="single" w:color="auto" w:sz="4" w:space="0"/>
              <w:left w:val="single" w:color="auto" w:sz="4" w:space="0"/>
              <w:bottom w:val="single" w:color="auto" w:sz="4" w:space="0"/>
              <w:right w:val="single" w:color="auto" w:sz="4" w:space="0"/>
            </w:tcBorders>
            <w:shd w:val="clear" w:color="auto" w:fill="FFFFFF"/>
            <w:vAlign w:val="center"/>
          </w:tcPr>
          <w:p w14:paraId="0E06CFE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*500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*2000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auto" w:sz="4" w:space="0"/>
              <w:bottom w:val="single" w:color="000000" w:sz="4" w:space="0"/>
              <w:right w:val="single" w:color="000000" w:sz="4" w:space="0"/>
            </w:tcBorders>
            <w:shd w:val="clear" w:color="auto" w:fill="FFFFFF"/>
            <w:vAlign w:val="center"/>
          </w:tcPr>
          <w:p w14:paraId="2B06C6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F6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82865">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1.采用一级冷轧钢板，钢板厚度≥0.8㎜。钢板符合GB/T3325-2017金属家具通用技术条件。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2.钢板表面进行喷塑处理。钢板内外表面光滑、经防锈处理；达到国家环保检测标准；环保塑粉（无毒、无味、防烫）；硬度≥2H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4.钢板三折弯工艺，焊接处应无夹渣、虚焊、焊穿、错位错陷，喷涂层应无漏喷、锈蚀和脱色、掉色现象；涂层光滑均匀、色泽一致、无流挂、皱皮、飞漆等缺陷。</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5.顺开门；冰箱合页，锌合金一体式扣手锁，柜内配置活动层板。</w:t>
            </w:r>
          </w:p>
        </w:tc>
      </w:tr>
      <w:tr w14:paraId="4F89D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auto" w:sz="4" w:space="0"/>
              <w:left w:val="single" w:color="000000" w:sz="4" w:space="0"/>
              <w:bottom w:val="single" w:color="000000" w:sz="4" w:space="0"/>
              <w:right w:val="nil"/>
            </w:tcBorders>
            <w:shd w:val="clear" w:color="auto" w:fill="FFFFFF"/>
            <w:noWrap/>
            <w:vAlign w:val="center"/>
          </w:tcPr>
          <w:p w14:paraId="6431E8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934" w:type="dxa"/>
            <w:tcBorders>
              <w:top w:val="single" w:color="auto" w:sz="4" w:space="0"/>
              <w:left w:val="single" w:color="000000" w:sz="4" w:space="0"/>
              <w:bottom w:val="single" w:color="000000" w:sz="4" w:space="0"/>
              <w:right w:val="single" w:color="000000" w:sz="4" w:space="0"/>
            </w:tcBorders>
            <w:shd w:val="clear" w:color="auto" w:fill="FFFFFF"/>
            <w:vAlign w:val="center"/>
          </w:tcPr>
          <w:p w14:paraId="60748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储物联柜</w:t>
            </w:r>
          </w:p>
        </w:tc>
        <w:tc>
          <w:tcPr>
            <w:tcW w:w="1129" w:type="dxa"/>
            <w:tcBorders>
              <w:top w:val="single" w:color="auto" w:sz="4" w:space="0"/>
              <w:left w:val="single" w:color="000000" w:sz="4" w:space="0"/>
              <w:bottom w:val="single" w:color="000000" w:sz="4" w:space="0"/>
              <w:right w:val="single" w:color="000000" w:sz="4" w:space="0"/>
            </w:tcBorders>
            <w:shd w:val="clear" w:color="auto" w:fill="FFFFFF"/>
            <w:vAlign w:val="center"/>
          </w:tcPr>
          <w:p w14:paraId="72CA99B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3400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*600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*1200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D4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335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5923">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1.选用ENF级三聚氰胺饰面刨花板，甲醛释放量≤0.025mg/m³；成品甲醛、苯、甲苯、二甲苯、TVOC等释放量满足GB/T 35607-2017绿色产品评价家具要求。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所有板件双贴面，封四边（隐藏部位均封闭处理）所有外部封边采用与板件颜色、纹理配套的同色优质激光（ABS）封边条，厚度≥1mm，封边无胶水外溢现象，封边严密平整，线条均匀，转角过渡自然，不易变形及开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5.柜体结构满足展示及储物要求。</w:t>
            </w:r>
          </w:p>
        </w:tc>
      </w:tr>
      <w:tr w14:paraId="71401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33BB4A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0EF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更衣柜</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C8527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*500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*2000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1A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E9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7C682">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1.采用一级冷轧钢板，钢板厚度≥0.8㎜。钢板符合GB/T3325-2017金属家具通用技术条件。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2.钢板内外表面光滑、经防锈处理；达到国家环保检测标准；环保塑粉（无毒、无味、防烫）；硬度≥3H。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铰链、连接件、三节导轨等。铰链符合QB/T2189-2013家具五金杯状暗铰链，下沉量≤1mm，耐腐蚀等级≥10级；铰链提供缓冲功能，最大程度减小柜门关闭时与柜体碰撞发出的噪音。</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4.钢板三折弯工艺，焊接处应无夹渣、虚焊、焊穿、错位错陷，喷涂层应无漏喷、锈蚀和脱色、掉色现象。涂层应光滑均匀、色泽一致、无流挂、皱皮、飞漆等缺陷。</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5.喷塑处理；钢制木纹转印工艺，内外面纹理（天然胡桃木山纹）及颜色同班台配套。</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6.对开门衣柜，带金属挂衣杆。</w:t>
            </w:r>
          </w:p>
        </w:tc>
      </w:tr>
      <w:tr w14:paraId="50408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46E2C4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F1E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手机屏蔽柜</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9FBD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*400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*1600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5EE3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5B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EF5A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1.采用一级冷轧钢板，钢板厚度≥0.8㎜。钢板符合GB/T3325-2017金属家具通用技术条件。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2.钢板表面进行喷塑处理。钢板内外表面光滑、经防锈处理；达到国家环保检测标准；环保塑粉（无毒、无味、防烫）；硬度≥2H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4.钢板三折弯工艺，焊接处应无夹渣、虚焊、焊穿、错位错陷，喷涂层应无漏喷、锈蚀和脱色、掉色现象；涂层光滑均匀、色泽一致、无流挂、皱皮、飞漆等缺陷。</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独立分体式屏蔽小仓，单仓尺寸适配常规智能手机（含大屏、折叠手机），仓体六面全封闭电磁屏蔽结构，仓门内置高弹性导电屏蔽胶条，关门后腔体无电磁泄漏缝隙；仓体内部独立分隔，每格配备独立机械钥匙锁，一机一仓、一锁一钥，钥匙唯一不通用，实现单人手机单独管控。</w:t>
            </w:r>
          </w:p>
        </w:tc>
      </w:tr>
      <w:tr w14:paraId="36A1D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672D04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3A2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茶水柜</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0DCC4">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*400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*900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BAC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CDE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791D6">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1.采用ENF级中密度纤维板,静曲强度≥35.0MPa,甲醛释放量≤0.025mg/m³；板材密度0.65-0.80g/cm³；内结合强度≥0.60Mpa；符合GB/T11718-2021中密度纤维板；GB18580-2017室内装饰装修材料人造板及其制品中甲醛释放限量。</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2.天然山纹胡桃木皮饰面，木皮厚度≥0.6mm；纹理清晰自然，木皮颜色一致，纹理清晰自然，颜色均匀平整，无结疤，无瑕疵。</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封边：使用与木皮材质一致的实木封边，实木封边厚度≥8mm，木材含水率8%-12%，隐藏部位全做封闭处理，所有人造板件全部双饰面、封四边，实木封边采用含实木于内的整体贴面先进工艺。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4.五底三面工艺，两面均衡油饰，硬度≥2H；水性底漆，水性面漆，耐划伤、耐碱性、耐干热性1级，甲醛释放量≤5mg/kg，TVOC含量≤2g/L,苯系物总和含量≤50mg/kg，乙二醇醚及醚酯总和含量≤50mg/kg；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6.二屉二门结构，柜面上设三面挡水沿，铣型扣手；门内设活动搁板一块；柜台面板≥25mm，背板≥18mm；配尼龙脚垫。</w:t>
            </w:r>
          </w:p>
        </w:tc>
      </w:tr>
      <w:tr w14:paraId="5E1CE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40AF26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31A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鞋柜</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4133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*300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*1200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981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B7E0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5A695">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1.采用一级冷轧钢板，钢板厚度≥0.8㎜。钢板符合GB/T3325-2017金属家具通用技术条件。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2.钢板表面进行喷塑处理。钢板内外表面光滑、经防锈处理；达到国家环保检测标准；环保塑粉（无毒、无味、防烫）；硬度≥2H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4.钢板三折弯工艺，焊接处应无夹渣、虚焊、焊穿、错位错陷，喷涂层应无漏喷、锈蚀和脱色、掉色现象；涂层光滑均匀、色泽一致、无流挂、皱皮、飞漆等缺陷。</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5.双开门柜，带透气孔，柜内配置活动层板。</w:t>
            </w:r>
          </w:p>
        </w:tc>
      </w:tr>
      <w:tr w14:paraId="0E06E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17265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E3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双人沙发</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64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常规</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DE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916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F067">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头层牛皮，厚度≥1.80mm，透气性好，耐磨，承受腰背不同受力程度，符合人体工程设计；游离甲醛≤1.5mg/kg，TVOC≤10mg/kg；纹路细致、色泽均匀；撕裂度≥50N，手工精心缝制，透气性好、柔软且富于韧性；厚薄基本均匀，无油腻感平整、柔软、丰满有弹性不裂面，无管皱，无松面。</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2.采用优质环保、高回弹一次成形泡棉，座面密度≥40kg/m³；回弹性≥50%；背密度≥25kg/m³；压缩永久变形≤4%，环保无异味，弹性强而不坚硬，座感舒适，不易变形；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3.座、背衬板采用优质弯曲胶合板，含水率7-13%，由多层实木单板经过高频热压一次弯曲成型，依据人体工程学设计，甲醛释放量≤0.025mg/m³，TVOC为≤0.050mg/㎡.h，胶合强度≥1.0MPa。</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5.实木内框架，榫卯结构，木材含水率8-16%；弹簧或绷带材料与泡棉之间有高强度织物隔垫。</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6.靠背可放倒，便于午休；实木垫脚，软包扶手，配防滑脚垫。</w:t>
            </w:r>
          </w:p>
        </w:tc>
      </w:tr>
      <w:tr w14:paraId="6E75E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1FF864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78C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双层钢制床</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B2B9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*900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*1750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88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B9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2842">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1.采用优质冷轧碳素钢管，管材规格≥75mm×75mm×1.2mm 厚方管；钢管表面无毛刺、无裂纹、无变形，一体裁切折弯成型，焊接处满焊加固，焊点打磨平整无焊渣。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2.床上下横梁、床底承重横撑主梁及辅助支撑横管采用加厚冷轧矩形钢管，全床多道横向加强支撑。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3.防护护栏（上床前护栏、床头尾防护栏）护栏立杆采用 Φ22mm 圆管，护栏横杆采用 Φ19mm 圆管，管材均为冷轧钢管，上床正面防护栏高度≥300mm，防护栏间隙≤75mm。</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 爬梯组件一体式直爬梯，踏步几两侧扶手为 25mm×50mm 矩形冷轧钢管，防滑踏板；踏步间距均匀，满焊固定于床架侧面，承重牢固无晃动。</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5.蚊帐杆：≥16mm 圆管*1.0mm 厚度，高度≥800mm。</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铁床连接方式为卡扣式，须有三个连接卡口，单边尺寸≥30mm，材料厚度为≥2.0mm,床7、立柱顶盖和脚套：采用ABS工程塑料(一次性注塑成型)。壁厚≥2.5mm，高度≥28mm，加强筋为竖向半圆形，脚套与床脚应紧密结合，牢固，不易脱落。</w:t>
            </w:r>
          </w:p>
        </w:tc>
      </w:tr>
      <w:tr w14:paraId="64486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187A82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A4D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单人床</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AEAE5">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*900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*800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4C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808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AF09">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1.采用优质冷轧碳素钢管，管材规格≥75mm×75mm×1.2mm 厚方管；钢管表面无毛刺、无裂纹、无变形，一体裁切折弯成型，焊接处满焊加固，焊点打磨平整无焊渣。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2.床上下横梁、床底承重横撑主梁及辅助支撑横管采用加厚冷轧矩形钢管，全床多道横向加强支撑。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3.防护护栏（上床前护栏、床头尾防护栏）护栏立杆采用 Φ22mm 圆管，护栏横杆采用 Φ19mm 圆管，管材均为冷轧钢管，上床正面防护栏高度≥300mm，防护栏间隙≤75mm。</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5.床面铺板采用环保多层实木板，板材厚度≥18mm；板面平整无开裂、无虫蛀，含水率达标，表面哑光耐磨饰面，防水耐刮擦，边缘封边严密，无溢胶、脱边。</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4.床下置物层架采用加厚冷轧钢板冲压成型，分层镂空条状结构，钢板厚度≥1.0mm，整体焊接后统一静电喷塑，承重稳定，不易弯折变形；置物架两侧位两个双开门储物柜。</w:t>
            </w:r>
          </w:p>
        </w:tc>
      </w:tr>
      <w:tr w14:paraId="0EE09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5"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108122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24A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排衣架</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4984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1100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*450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*1800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EBD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603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927F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1.采用实木架体，耐磨性，耐湿热，耐干热1级。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3.五底三面工艺，两面均衡油饰，硬度≥2H；水性底漆，水性面漆，耐划伤、耐碱性、耐干热性1级，甲醛释放量≤5mg/kg，TVOC含量≤2g/L,苯系物总和含量≤50mg/kg，乙二醇醚及醚酯总和含量≤50mg/kg；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五金件。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5.榫卯结构，木材含水率8%～16%，配双排银色金属挂衣钩；配尼龙脚垫。</w:t>
            </w:r>
          </w:p>
        </w:tc>
      </w:tr>
      <w:tr w14:paraId="20320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0C7B35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98C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演播台</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FC7A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3000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*800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*760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665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46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7DC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台身整体采用ENF级优质高密度中密度纤维板，静曲强度≥35.0MPa,甲醛释放量≤0.025mg/m³；板材密度0.65-0.80g/cm³；内结合强度≥0.60Mpa；符合GB/T11718-2021中密度纤维板；GB18580-2017室内装饰装修材料人造板及其制品中甲醛释放限量。</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2.使用与木皮材质一致的实木封边，桌面边缘带起线造型，实木封边厚度≥8mm，木材含水率8%-12%，隐藏部位全做封闭处理，所有人造板件全部双饰面、封四边，实木封边采用含实木于内的整体贴面先进工艺。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3.使用环保水基型胶黏剂，符合GB18583-2008室内装饰装修材料胶黏剂中有害物质限量；游离甲醛≤0.05g/kg；苯≤0.02g/kg；甲苯+二甲苯≤0.02g/kg；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4.柔光环保水性烤漆，耐擦洗、耐黄变、耐消毒液擦拭，抗指纹、不易刮花，无刺鼻异味。</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5.台面内侧上部带抽屉柜中空预留容腿区域；台底配置可调节垫脚。</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6.直播台正面带磁吸单位全称，区域板材内部预埋冷轧镀锌钢板磁吸基板，钢板厚度≥1.2mm，表面平整无凸起，磁力均匀稳定。</w:t>
            </w:r>
          </w:p>
        </w:tc>
      </w:tr>
      <w:tr w14:paraId="7097E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40FA9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D778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展览柜</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532574">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*800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*1000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949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23F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6F2A7">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1.展览柜底座部分采用优质冷轧钢板；钢板厚度≥0.8㎜。钢板符合GB/T3325-2017金属家具通用技术条件；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2.钢板内外表面光滑、经防锈处理；达到国家环保检测标准；环保塑粉（无毒、无味、防烫）；硬度≥3H。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铰链、连接件、三节导轨等。铰链符合QB/T2189-2013家具五金杯状暗铰链，下沉量≤1mm，耐腐蚀等级≥10级；铰链提供缓冲功能，最大程度减小柜门关闭时与柜体碰撞发出的噪音。</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4.钢板三折弯工艺，焊接处应无夹渣、虚焊、焊穿、错位错陷，喷涂层应无漏喷、锈蚀和脱色、掉色现象。涂层应光滑均匀、色泽一致、无流挂、皱皮、飞漆等缺陷。</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5.喷塑处理；钢制木纹转印工艺，内外面纹理（天然胡桃木山纹）及颜色同现有展览柜相同。</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6.展览柜上部玻璃罩选用3C钢化玻璃，透光率≥91%，无绿色畸变，高清还原展品原貌；钢化处理具备抗冲击、防爆裂性能，破碎后呈颗粒状无尖锐碎片。</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7.展柜配嵌入式 LED 灯带，无频闪、低眩光；灯带外壳 PVC 阻燃绝缘材质，防水防潮，适配封闭展柜内部环境。</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8.展柜所在位置无预设电源点位，配置隐藏式轻触式按键开关，内嵌于柜体侧面隐蔽位置；一键通断控制灯带，仅展示时段开启照明。配置电池仓，可更换电池。</w:t>
            </w:r>
          </w:p>
        </w:tc>
      </w:tr>
      <w:tr w14:paraId="70C0A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0E31E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AF7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直桌屏风工位</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FA143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1500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*600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*1200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BA0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102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24B8">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1.一字直桌面，桌面选用ENF级三聚氰胺饰面刨花板，厚度≥25mm,甲醛释放量≤0.025mg/m³；成品甲醛、苯、甲苯、二甲苯、TVOC等释放量满足GB/T 35607-2017绿色产品评价家具要求。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所有板件双贴面，封四边（隐藏部位均封闭处理）所有外部封边采用与板件颜色、纹理配套的同色优质激光（ABS）封边条，厚度≥1mm，封边无胶水外溢现象，封边严密平整，线条均匀，转角过渡自然，不易变形及开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屏风厚度≥40mm，钢制内框架，厚度≥1.5mm，内部不允许使用人造板。屏风上部为0.8mm厚冷轧钢板，中部为0.8mm厚喷涂冷轧钢板，屏风下部配0.8mm厚冷轧钢板，金属表面喷塑处理，配金属调节脚；屏风带走线功能及预留线孔；可按实际摆放情况，任意方向，独立摆放。</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6.配钢制薄边三屉推柜（带联锁），钢制主机车，钢板壁厚≥0.8mm，表面喷塑处理。</w:t>
            </w:r>
          </w:p>
        </w:tc>
      </w:tr>
      <w:tr w14:paraId="2701A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6D8FE1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9B4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办公椅</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29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常规</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4CD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3A1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8180">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1、背架采用PA+30纤材料一次注塑成型，抗UV测试符合GB/T164422.1标准，整椅测试符合GB/T2280/1035标准。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2、座框架采用PA加纤注塑一次成型，结构简单，承重力强。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3、座垫海绵：采用高回弹聚氨酯高压发泡技术，座垫海绵密度应≥55㎏/m3；，该海绵不会因频繁使用而变形、起皱；坐感舒适。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4、座板采用优质夹板经模具压弯成型，厚度应≥12mm。</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5、座椅回弹阻尼慢回位、回位轻盈无声，持久耐用，无噪音，座垫具备吸音及排气功能，保证良好排气效果。</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6、椅背宽大，支撑强，可躺设计，并具有可调节高低的腰靠，适合午间休息，工艺更符合人体工程力学原理，办公人员坐在椅子上腰部紧贴腰靠，支撑力度舒适。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7、椅背的后仰符合人体工学原理，最大后仰可达165°。</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8、头枕采用3D技术，三关节调节。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9、底盘采用线控锁功能，优质钢线调控椅座的高度，也可调节椅背的仰度。</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10、扶手随着椅背的后仰活动，扶手架采用一次PP加纤的材料，扶手面软硬件适中，手感舒服。</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11、面料：座面料采用弹性椅座面料，背面料选用办公椅专用强弹力纺织面料，软硬适中、手感舒适、粘接牢固，使用长时间无皱褶，无断裂、不起球、不褪色、耐磨、吸声、抗污。</w:t>
            </w:r>
          </w:p>
        </w:tc>
      </w:tr>
      <w:tr w14:paraId="72EE7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2456D3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A709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文件柜</w:t>
            </w:r>
          </w:p>
        </w:tc>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523B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*500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*2000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CF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D4E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19645">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1.采用一级冷轧钢板，钢板厚度≥0.8㎜。钢板符合GB/T3325-2017金属家具通用技术条件。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2.钢板表面进行喷塑处理。钢板内外表面光滑、经防锈处理；达到国家环保检测标准；环保塑粉（无毒、无味、防烫）；硬度≥2H</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4.钢板三折弯工艺，焊接处应无夹渣、虚焊、焊穿、错位错陷，喷涂层应无漏喷、锈蚀和脱色、掉色现象；涂层光滑均匀、色泽一致、无流挂、皱皮、飞漆等缺陷。</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5.顺开门；冰箱合页，锌合金一体式扣手锁，柜内配置活动层板。</w:t>
            </w:r>
          </w:p>
        </w:tc>
      </w:tr>
      <w:tr w14:paraId="24044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0" w:hRule="atLeast"/>
        </w:trPr>
        <w:tc>
          <w:tcPr>
            <w:tcW w:w="624" w:type="dxa"/>
            <w:tcBorders>
              <w:top w:val="single" w:color="000000" w:sz="4" w:space="0"/>
              <w:left w:val="single" w:color="000000" w:sz="4" w:space="0"/>
              <w:bottom w:val="single" w:color="auto" w:sz="4" w:space="0"/>
              <w:right w:val="nil"/>
            </w:tcBorders>
            <w:shd w:val="clear" w:color="auto" w:fill="FFFFFF"/>
            <w:noWrap/>
            <w:vAlign w:val="center"/>
          </w:tcPr>
          <w:p w14:paraId="5BA3AF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934"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6A545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组合沙发</w:t>
            </w:r>
          </w:p>
        </w:tc>
        <w:tc>
          <w:tcPr>
            <w:tcW w:w="1129"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B9C91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定制W1990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沙发+茶几</w:t>
            </w:r>
          </w:p>
        </w:tc>
        <w:tc>
          <w:tcPr>
            <w:tcW w:w="78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055B86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98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45DDDD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E1850">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沙发：1.人体接触面采用高档布料覆面，满包结构； 防蛀、防霉变、易清洁， 皮面柔软细腻，透气性好，韧性强，涂层牢固，光泽明亮；透气性强、弹性好、健康环保、经久耐用。</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2.使用优质环保型高回弹海绵，无苯胶黏剂； 优质丝绵做填充；环保型高密度、高回弹不含氟氨化合物， 高回弹泡棉回弹力≥40%，符合GB/T  10802-2006，拉伸强度≥230kPa,伸长率≥170%;海绵软硬适中，不变形， 不存在有害物质，不含氟氨化合物， 圆润厚实，弹性好，表面涂有防止老化变形的保护膜， 防氧化、抗疲劳、耐冲击、回弹力强、不变形。</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3.采用优质实木框架，木材含水率控制在8%—12%之间。木材经四面抛光处理， 结合部位牢固无松动，无虫蚀、腐朽材， 不易变形，承托力达150kg。弹力带选用进口橡筋包根弹力带，底胎用直径≥5mm蛇形簧与弹力带结合工艺，结构固定。</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4、沙发脚采用不锈钢金属脚；</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茶几： 1.采用ENF级中密度纤维板,静曲强度≥35.0MPa,甲醛释放量≤0.025mg/m³ ；板材密度</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0.65-0.80g/cm³； 内结合强度≥0.60Mpa；符合GB/T11718-2021中密度纤维板； GB18580-2017室内装饰装修材料人造板及其制品中甲醛释放限量。</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2.天然山纹胡桃木皮饰面，木皮厚度≥0.6mm，双面实木皮工艺； 纹理清晰自然，木皮颜色一致，纹理清晰自然，颜色均匀平整，无结疤， 无瑕疵。</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3.使用与木皮材质一致的实木封边，实木封边厚度≥8mm，木材含水率8%-16%， 隐藏部位全做封闭处理，所有人造板件全部双饰面、封四边， 实木封边采用含实木于内的整体贴面先进工艺。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4.环保水基型胶黏剂，符合GB18583-2008室内装饰装修材料胶黏剂中有害物质限量； 游离甲醛≤ 0.05g/kg； 苯≤0.02g/kg； 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5.五底三面工艺，两面均衡油饰，硬度≥2H； 水性底漆，水性面漆，耐划伤、耐碱性、耐干热性1级， 甲醛释放量≤5mg/kg，TVOC含量≤2g/L,苯系物总和含量≤50mg/kg， 乙二醇醚及醚酯总和含量≤50mg/kg；</w:t>
            </w:r>
          </w:p>
        </w:tc>
      </w:tr>
      <w:tr w14:paraId="2326D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624" w:type="dxa"/>
            <w:tcBorders>
              <w:top w:val="single" w:color="auto" w:sz="4" w:space="0"/>
              <w:left w:val="single" w:color="auto" w:sz="4" w:space="0"/>
              <w:bottom w:val="single" w:color="auto" w:sz="4" w:space="0"/>
              <w:right w:val="nil"/>
            </w:tcBorders>
            <w:shd w:val="clear" w:color="auto" w:fill="FFFFFF"/>
            <w:noWrap/>
            <w:vAlign w:val="center"/>
          </w:tcPr>
          <w:p w14:paraId="184618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934" w:type="dxa"/>
            <w:tcBorders>
              <w:top w:val="single" w:color="auto" w:sz="4" w:space="0"/>
              <w:left w:val="single" w:color="000000" w:sz="4" w:space="0"/>
              <w:bottom w:val="single" w:color="auto" w:sz="4" w:space="0"/>
              <w:right w:val="single" w:color="000000" w:sz="4" w:space="0"/>
            </w:tcBorders>
            <w:shd w:val="clear" w:color="auto" w:fill="FFFFFF"/>
            <w:vAlign w:val="center"/>
          </w:tcPr>
          <w:p w14:paraId="1C9C79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组合沙发</w:t>
            </w:r>
          </w:p>
        </w:tc>
        <w:tc>
          <w:tcPr>
            <w:tcW w:w="1129" w:type="dxa"/>
            <w:tcBorders>
              <w:top w:val="single" w:color="auto" w:sz="4" w:space="0"/>
              <w:left w:val="single" w:color="000000" w:sz="4" w:space="0"/>
              <w:bottom w:val="single" w:color="auto" w:sz="4" w:space="0"/>
              <w:right w:val="single" w:color="000000" w:sz="4" w:space="0"/>
            </w:tcBorders>
            <w:shd w:val="clear" w:color="auto" w:fill="FFFFFF"/>
            <w:vAlign w:val="center"/>
          </w:tcPr>
          <w:p w14:paraId="04A7E45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定制W2050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auto" w:sz="4" w:space="0"/>
              <w:left w:val="single" w:color="000000" w:sz="4" w:space="0"/>
              <w:bottom w:val="single" w:color="auto" w:sz="4" w:space="0"/>
              <w:right w:val="single" w:color="000000" w:sz="4" w:space="0"/>
            </w:tcBorders>
            <w:shd w:val="clear" w:color="auto" w:fill="FFFFFF"/>
            <w:vAlign w:val="center"/>
          </w:tcPr>
          <w:p w14:paraId="7ABD5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986" w:type="dxa"/>
            <w:tcBorders>
              <w:top w:val="single" w:color="auto" w:sz="4" w:space="0"/>
              <w:left w:val="single" w:color="000000" w:sz="4" w:space="0"/>
              <w:bottom w:val="single" w:color="auto" w:sz="4" w:space="0"/>
              <w:right w:val="single" w:color="auto" w:sz="4" w:space="0"/>
            </w:tcBorders>
            <w:shd w:val="clear" w:color="auto" w:fill="FFFFFF"/>
            <w:vAlign w:val="center"/>
          </w:tcPr>
          <w:p w14:paraId="4C7CC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auto" w:sz="4" w:space="0"/>
              <w:bottom w:val="single" w:color="000000" w:sz="4" w:space="0"/>
              <w:right w:val="single" w:color="000000" w:sz="4" w:space="0"/>
            </w:tcBorders>
            <w:shd w:val="clear" w:color="auto" w:fill="auto"/>
            <w:vAlign w:val="center"/>
          </w:tcPr>
          <w:p w14:paraId="19708F0D">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沙发：1.人体接触面采用高档布料覆面，满包结构； 防蛀、防霉变、易清洁， 皮面柔软细腻，透气性好，韧性强，涂层牢固，光泽明亮；透气性强、弹性好、健康环保、经久耐用。</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2.使用优质环保型高回弹海绵，无苯胶黏剂； 优质丝绵做填充； 环保型高密度、高回弹不含氟氨化合物， 高回弹泡棉回弹力≥40%，符合GB/T  10802-2006，拉伸强度≥230kPa,伸长率≥170%;海绵软硬适中，不变形， 不存在有害物质，不含氟氨化合物， 圆润厚实，弹性好，表面涂有防止老化变形的保护膜， 防氧化、抗疲劳、耐冲击、回弹力强、不变形。</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3.采用优质实木框架，木材含水率控制在8%—12%之间。木材经四面抛光处理， 结合部位牢固无松动，无虫蚀、腐朽材， 不易变形，承托力达150kg。弹力带选用进口橡筋包根弹力带，底胎用直径≥5mm蛇形簧与弹力带结合工艺，结构固定。</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4、沙发脚采用不锈钢金属脚；</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茶几： 1.采用ENF级中密度纤维板,静曲强度≥35.0MPa,甲醛释放量≤0.025mg/m³ ；板材密度</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0.65-0.80g/cm³； 内结合强度≥0.60Mpa；符合GB/T11718-2021中密度纤维板； GB18580-2017室内装饰装修材料人造板及其制品中甲醛释放限量。</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2.天然山纹胡桃木皮饰面，木皮厚度≥0.6mm，双面实木皮工艺； 纹理清晰自然，木皮颜色一致，纹理清晰自然，颜色均匀平整，无结疤， 无瑕疵。</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3.使用与木皮材质一致的实木封边，实木封边厚度≥8mm，木材含水率8%-16%， 隐藏部位全做封闭处理，所有人造板件全部双饰面、封四边， 实木封边采用含实木于内的整体贴面先进工艺。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4.环保水基型胶黏剂，符合GB18583-2008室内装饰装修材料胶黏剂中有害物质限量； 游离甲醛≤ 0.05g/kg； 苯≤0.02g/kg； 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5.五底三面工艺，两面均衡油饰，硬度≥2H； 水性底漆，水性面漆，耐划伤、耐碱性、耐干热性1级， 甲醛释放量≤5mg/kg，TVOC含量≤2g/L,苯系物总和含量≤50mg/kg， 乙二醇醚及醚酯总和含量≤50mg/kg；</w:t>
            </w:r>
          </w:p>
        </w:tc>
      </w:tr>
      <w:tr w14:paraId="7E6E1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auto" w:sz="4" w:space="0"/>
              <w:left w:val="single" w:color="000000" w:sz="4" w:space="0"/>
              <w:bottom w:val="single" w:color="auto" w:sz="4" w:space="0"/>
              <w:right w:val="nil"/>
            </w:tcBorders>
            <w:shd w:val="clear" w:color="auto" w:fill="FFFFFF"/>
            <w:noWrap/>
            <w:vAlign w:val="center"/>
          </w:tcPr>
          <w:p w14:paraId="73EC8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934" w:type="dxa"/>
            <w:tcBorders>
              <w:top w:val="single" w:color="auto" w:sz="4" w:space="0"/>
              <w:left w:val="single" w:color="000000" w:sz="4" w:space="0"/>
              <w:bottom w:val="single" w:color="auto" w:sz="4" w:space="0"/>
              <w:right w:val="single" w:color="000000" w:sz="4" w:space="0"/>
            </w:tcBorders>
            <w:shd w:val="clear" w:color="auto" w:fill="FFFFFF"/>
            <w:vAlign w:val="center"/>
          </w:tcPr>
          <w:p w14:paraId="40D5A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组合沙发</w:t>
            </w:r>
          </w:p>
        </w:tc>
        <w:tc>
          <w:tcPr>
            <w:tcW w:w="1129" w:type="dxa"/>
            <w:tcBorders>
              <w:top w:val="single" w:color="auto" w:sz="4" w:space="0"/>
              <w:left w:val="single" w:color="000000" w:sz="4" w:space="0"/>
              <w:bottom w:val="single" w:color="auto" w:sz="4" w:space="0"/>
              <w:right w:val="single" w:color="000000" w:sz="4" w:space="0"/>
            </w:tcBorders>
            <w:shd w:val="clear" w:color="auto" w:fill="FFFFFF"/>
            <w:vAlign w:val="center"/>
          </w:tcPr>
          <w:p w14:paraId="2C60DC9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定制W2300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auto" w:sz="4" w:space="0"/>
              <w:left w:val="single" w:color="000000" w:sz="4" w:space="0"/>
              <w:bottom w:val="single" w:color="auto" w:sz="4" w:space="0"/>
              <w:right w:val="single" w:color="000000" w:sz="4" w:space="0"/>
            </w:tcBorders>
            <w:shd w:val="clear" w:color="auto" w:fill="FFFFFF"/>
            <w:vAlign w:val="center"/>
          </w:tcPr>
          <w:p w14:paraId="5516BB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986" w:type="dxa"/>
            <w:tcBorders>
              <w:top w:val="single" w:color="auto" w:sz="4" w:space="0"/>
              <w:left w:val="single" w:color="000000" w:sz="4" w:space="0"/>
              <w:bottom w:val="single" w:color="auto" w:sz="4" w:space="0"/>
              <w:right w:val="single" w:color="000000" w:sz="4" w:space="0"/>
            </w:tcBorders>
            <w:shd w:val="clear" w:color="auto" w:fill="FFFFFF"/>
            <w:vAlign w:val="center"/>
          </w:tcPr>
          <w:p w14:paraId="140BC5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36B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沙发：1.人体接触面采用高档布料覆面，满包结构； 防蛀、防霉变、易清洁， 皮面柔软细腻，透气性好，韧性强，涂层牢固，光泽明亮；透气性强、弹性好、健康环保、经久耐用。</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2.使用优质环保型高回弹海绵，无苯胶黏剂； 优质丝绵做填充； 环保型高密度、高回弹不含氟氨化合物， 高回弹泡棉回弹力≥40%，符合GB/T  10802-2006，拉伸强度≥230kPa,伸长率≥170%;海绵软硬适中，不变形， 不存在有害物质，不含氟氨化合物， 圆润厚实，弹性好，表面涂有防止老化变形的保护膜， 防氧化、抗疲劳、耐冲击、回弹力强、不变形。</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3.采用优质实木框架，木材含水率控制在8%—12%之间。木材经四面抛光处理， 结合部位牢固无松动，无虫蚀、腐朽材， 不易变形，承托力达150kg。弹力带选用进口橡筋包根弹力带，底胎用直径≥5mm蛇形簧与弹力带结合工艺，结构固定。</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4、沙发脚采用不锈钢金属脚；</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茶几： 1.采用ENF级中密度纤维板,静曲强度≥35.0MPa,甲醛释放量≤0.025mg/m³ ；板材密度</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0.65-0.80g/cm³； 内结合强度≥0.60Mpa；符合GB/T11718-2021中密度纤维板； GB18580-2017室内装饰装修材料人造板及其制品中甲醛释放限量。</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2.天然山纹胡桃木皮饰面，木皮厚度≥0.6mm，双面实木皮工艺； 纹理清晰自然，木皮颜色一致，纹理清晰自然，颜色均匀平整，无结疤， 无瑕疵。</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3.使用与木皮材质一致的实木封边，实木封边厚度≥8mm，木材含水率8%-16%， 隐藏部位全做封闭处理，所有人造板件全部双饰面、封四边， 实木封边采用含实木于内的整体贴面先进工艺。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4.环保水基型胶黏剂，符合GB18583-2008室内装饰装修材料胶黏剂中有害物质限量； 游离甲醛≤ 0.05g/kg； 苯≤0.02g/kg； 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5.五底三面工艺，两面均衡油饰，硬度≥2H； 水性底漆，水性面漆，耐划伤、耐碱性、耐干热性1级， 甲醛释放量≤5mg/kg，TVOC含量≤2g/L,苯系物总和含量≤50mg/kg， 乙二醇醚及醚酯总和含量≤50mg/kg；</w:t>
            </w:r>
          </w:p>
        </w:tc>
      </w:tr>
      <w:tr w14:paraId="2227E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3" w:hRule="atLeast"/>
        </w:trPr>
        <w:tc>
          <w:tcPr>
            <w:tcW w:w="624" w:type="dxa"/>
            <w:tcBorders>
              <w:top w:val="single" w:color="auto" w:sz="4" w:space="0"/>
              <w:left w:val="single" w:color="auto" w:sz="4" w:space="0"/>
              <w:bottom w:val="single" w:color="auto" w:sz="4" w:space="0"/>
              <w:right w:val="nil"/>
            </w:tcBorders>
            <w:shd w:val="clear" w:color="auto" w:fill="FFFFFF"/>
            <w:noWrap/>
            <w:vAlign w:val="center"/>
          </w:tcPr>
          <w:p w14:paraId="69B60A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934" w:type="dxa"/>
            <w:tcBorders>
              <w:top w:val="single" w:color="auto" w:sz="4" w:space="0"/>
              <w:left w:val="single" w:color="000000" w:sz="4" w:space="0"/>
              <w:bottom w:val="single" w:color="auto" w:sz="4" w:space="0"/>
              <w:right w:val="single" w:color="000000" w:sz="4" w:space="0"/>
            </w:tcBorders>
            <w:shd w:val="clear" w:color="auto" w:fill="FFFFFF"/>
            <w:vAlign w:val="center"/>
          </w:tcPr>
          <w:p w14:paraId="389E07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双人休闲沙发</w:t>
            </w:r>
          </w:p>
        </w:tc>
        <w:tc>
          <w:tcPr>
            <w:tcW w:w="1129" w:type="dxa"/>
            <w:tcBorders>
              <w:top w:val="single" w:color="auto" w:sz="4" w:space="0"/>
              <w:left w:val="single" w:color="000000" w:sz="4" w:space="0"/>
              <w:bottom w:val="single" w:color="auto" w:sz="4" w:space="0"/>
              <w:right w:val="single" w:color="000000" w:sz="4" w:space="0"/>
            </w:tcBorders>
            <w:shd w:val="clear" w:color="auto" w:fill="FFFFFF"/>
            <w:vAlign w:val="center"/>
          </w:tcPr>
          <w:p w14:paraId="4DD9A1D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W1800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*D970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*H812</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auto" w:sz="4" w:space="0"/>
              <w:left w:val="single" w:color="000000" w:sz="4" w:space="0"/>
              <w:bottom w:val="single" w:color="auto" w:sz="4" w:space="0"/>
              <w:right w:val="single" w:color="000000" w:sz="4" w:space="0"/>
            </w:tcBorders>
            <w:shd w:val="clear" w:color="auto" w:fill="FFFFFF"/>
            <w:vAlign w:val="center"/>
          </w:tcPr>
          <w:p w14:paraId="427EA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986" w:type="dxa"/>
            <w:tcBorders>
              <w:top w:val="single" w:color="auto" w:sz="4" w:space="0"/>
              <w:left w:val="single" w:color="000000" w:sz="4" w:space="0"/>
              <w:bottom w:val="single" w:color="auto" w:sz="4" w:space="0"/>
              <w:right w:val="single" w:color="auto" w:sz="4" w:space="0"/>
            </w:tcBorders>
            <w:shd w:val="clear" w:color="auto" w:fill="FFFFFF"/>
            <w:vAlign w:val="center"/>
          </w:tcPr>
          <w:p w14:paraId="660E2D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auto" w:sz="4" w:space="0"/>
              <w:bottom w:val="single" w:color="000000" w:sz="4" w:space="0"/>
              <w:right w:val="single" w:color="000000" w:sz="4" w:space="0"/>
            </w:tcBorders>
            <w:shd w:val="clear" w:color="auto" w:fill="auto"/>
            <w:vAlign w:val="center"/>
          </w:tcPr>
          <w:p w14:paraId="7CC3C5B3">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沙发：1.人体接触面采用高档布料覆面，满包结构； 防蛀、防霉变、易清洁， 皮面柔软细腻，透气性好，韧性强，涂层牢固，光泽明亮；透气性强、弹性好、健康环保、经久耐用。</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2.使用优质环保型高回弹海绵，无苯胶黏剂； 优质丝绵做填充； 环保型高密度、高回弹不含氟氨化合物， 高回弹泡棉回弹力≥40%，符合GB/T  10802-2006，拉伸强度≥230kPa,伸长率≥170%;海绵软硬适中，不变形， 不存在有害物质，不含氟氨化合物， 圆润厚实，弹性好，表面涂有防止老化变形的保护膜， 防氧化、抗疲劳、耐冲击、回弹力强、不变形。</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3.采用优质实木框架，木材含水率控制在8%—12%之间。木材经四面抛光处理， 结合部位牢固无松动，无虫蚀、腐朽材， 不易变形，承托力达150kg。弹力带选用进口橡筋包根弹力带，底胎用直径≥5mm蛇形簧与弹力带结合工艺，结构固定。</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4、沙发脚采用不锈钢金属脚；</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茶几：1.采用ENF级中密度纤维板,静曲强度≥35.0MPa,甲醛释放量≤0.025mg/m³ ；板材密度</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0.65-0.80g/cm³； 内结合强度≥0.60Mpa；符合GB/T11718-2021中密度纤维板； GB18580-2017室内装饰装修材料人造板及其制品中甲醛释放限量。</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2.天然山纹胡桃木皮饰面，木皮厚度≥0.6mm，双面实木皮工艺； 纹理清晰自然，木皮颜色一致，纹理清晰自然，颜色均匀平整，无结疤， 无瑕疵。</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3.使用与木皮材质一致的实木封边，实木封边厚度≥8mm，木材含水率8%-16%， 隐藏部位全做封闭处理，所有人造板件全部双饰面、封四边， 实木封边采用含实木于内的整体贴面先进工艺。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4.环保水基型胶黏剂，符合GB18583-2008室内装饰装修材料胶黏剂中有害物质限量； 游离甲醛≤ 0.05g/kg； 苯≤0.02g/kg； 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5.五底三面工艺，两面均衡油饰，硬度≥2H； 水性底漆，水性面漆，耐划伤、耐碱性、耐干热性1级， 甲醛释放量≤5mg/kg，TVOC含量≤2g/L,苯系物总和含量≤50mg/kg， 乙二醇醚及醚酯总和含量≤50mg/kg；</w:t>
            </w:r>
          </w:p>
        </w:tc>
      </w:tr>
      <w:tr w14:paraId="0BD03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5" w:hRule="atLeast"/>
        </w:trPr>
        <w:tc>
          <w:tcPr>
            <w:tcW w:w="624" w:type="dxa"/>
            <w:tcBorders>
              <w:top w:val="single" w:color="auto" w:sz="4" w:space="0"/>
              <w:left w:val="single" w:color="auto" w:sz="4" w:space="0"/>
              <w:bottom w:val="single" w:color="auto" w:sz="4" w:space="0"/>
              <w:right w:val="nil"/>
            </w:tcBorders>
            <w:shd w:val="clear" w:color="auto" w:fill="FFFFFF"/>
            <w:noWrap/>
            <w:vAlign w:val="center"/>
          </w:tcPr>
          <w:p w14:paraId="5C3B3E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34" w:type="dxa"/>
            <w:tcBorders>
              <w:top w:val="single" w:color="auto" w:sz="4" w:space="0"/>
              <w:left w:val="single" w:color="000000" w:sz="4" w:space="0"/>
              <w:bottom w:val="single" w:color="auto" w:sz="4" w:space="0"/>
              <w:right w:val="single" w:color="000000" w:sz="4" w:space="0"/>
            </w:tcBorders>
            <w:shd w:val="clear" w:color="auto" w:fill="FFFFFF"/>
            <w:vAlign w:val="center"/>
          </w:tcPr>
          <w:p w14:paraId="561E8F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单人休闲沙发</w:t>
            </w:r>
          </w:p>
        </w:tc>
        <w:tc>
          <w:tcPr>
            <w:tcW w:w="1129" w:type="dxa"/>
            <w:tcBorders>
              <w:top w:val="single" w:color="auto" w:sz="4" w:space="0"/>
              <w:left w:val="single" w:color="000000" w:sz="4" w:space="0"/>
              <w:bottom w:val="single" w:color="auto" w:sz="4" w:space="0"/>
              <w:right w:val="single" w:color="000000" w:sz="4" w:space="0"/>
            </w:tcBorders>
            <w:shd w:val="clear" w:color="auto" w:fill="FFFFFF"/>
            <w:vAlign w:val="center"/>
          </w:tcPr>
          <w:p w14:paraId="6F238DD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W1090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*D970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*H812</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auto" w:sz="4" w:space="0"/>
              <w:left w:val="single" w:color="000000" w:sz="4" w:space="0"/>
              <w:bottom w:val="single" w:color="auto" w:sz="4" w:space="0"/>
              <w:right w:val="single" w:color="000000" w:sz="4" w:space="0"/>
            </w:tcBorders>
            <w:shd w:val="clear" w:color="auto" w:fill="FFFFFF"/>
            <w:vAlign w:val="center"/>
          </w:tcPr>
          <w:p w14:paraId="099A38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986" w:type="dxa"/>
            <w:tcBorders>
              <w:top w:val="single" w:color="auto" w:sz="4" w:space="0"/>
              <w:left w:val="single" w:color="000000" w:sz="4" w:space="0"/>
              <w:bottom w:val="single" w:color="auto" w:sz="4" w:space="0"/>
              <w:right w:val="single" w:color="auto" w:sz="4" w:space="0"/>
            </w:tcBorders>
            <w:shd w:val="clear" w:color="auto" w:fill="FFFFFF"/>
            <w:vAlign w:val="center"/>
          </w:tcPr>
          <w:p w14:paraId="4112D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auto" w:sz="4" w:space="0"/>
              <w:bottom w:val="single" w:color="000000" w:sz="4" w:space="0"/>
              <w:right w:val="single" w:color="000000" w:sz="4" w:space="0"/>
            </w:tcBorders>
            <w:shd w:val="clear" w:color="auto" w:fill="auto"/>
            <w:vAlign w:val="center"/>
          </w:tcPr>
          <w:p w14:paraId="73703D5C">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沙发：1.人体接触面采用高档布料覆面，满包结构； 防蛀、防霉变、易清洁， 皮面柔软细腻，透气性好，韧性强，涂层牢固，光泽明亮；透气性强、弹性好、健康环保、经久耐用。</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2.使用优质环保型高回弹海绵，无苯胶黏剂； 优质丝绵做填充； 环保型高密度、高回弹不含氟氨化合物， 高回弹泡棉回弹力≥40%，符合GB/T  10802-2006，拉伸强度≥230kPa,伸长率≥170%;海绵软硬适中，不变形， 不存在有害物质，不含氟氨化合物， 圆润厚实，弹性好，表面涂有防止老化变形的保护膜， 防氧化、抗疲劳、耐冲击、回弹力强、不变形。</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3.采用优质实木框架，木材含水率控制在8%—12%之间。木材经四面抛光处理， 结合部位牢固无松动，无虫蚀、腐朽材， 不易变形，承托力达150kg。弹力带选用进口橡筋包根弹力带，底胎用直径≥5mm蛇形簧与弹力带结合工艺，结构固定。</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4、沙发脚采用不锈钢金属脚；</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茶几：1.采用ENF级中密度纤维板,静曲强度≥35.0MPa,甲醛释放量≤0.025mg/m³ ；板材密度</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0.65-0.80g/cm³； 内结合强度≥0.60Mpa；符合GB/T11718-2021中密度纤维板； GB18580-2017室内装饰装修材料人造板及其制品中甲醛释放限量。</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2.天然山纹胡桃木皮饰面，木皮厚度≥0.6mm，双面实木皮工艺； 纹理清晰自然，木皮颜色一致，纹理清晰自然，颜色均匀平整，无结疤， 无瑕疵。</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3.使用与木皮材质一致的实木封边，实木封边厚度≥8mm，木材含水率8%-16%， 隐藏部位全做封闭处理，所有人造板件全部双饰面、封四边， 实木封边采用含实木于内的整体贴面先进工艺。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4.环保水基型胶黏剂，符合GB18583-2008室内装饰装修材料胶黏剂中有害物质限量；游离甲醛≤ 0.05g/kg； 苯≤0.02g/kg； 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5.五底三面工艺，两面均衡油饰，硬度≥2H； 水性底漆，水性面漆，耐划伤、耐碱性、耐干热性1级， 甲醛释放量≤5mg/kg，TVOC含量≤2g/L,苯系物总和含量≤50mg/kg， 乙二醇醚及醚酯总和含量≤50mg/kg；</w:t>
            </w:r>
          </w:p>
        </w:tc>
      </w:tr>
      <w:tr w14:paraId="37976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5" w:hRule="atLeast"/>
        </w:trPr>
        <w:tc>
          <w:tcPr>
            <w:tcW w:w="624" w:type="dxa"/>
            <w:tcBorders>
              <w:top w:val="single" w:color="auto" w:sz="4" w:space="0"/>
              <w:left w:val="single" w:color="000000" w:sz="4" w:space="0"/>
              <w:bottom w:val="single" w:color="auto" w:sz="4" w:space="0"/>
              <w:right w:val="nil"/>
            </w:tcBorders>
            <w:shd w:val="clear" w:color="auto" w:fill="FFFFFF"/>
            <w:noWrap/>
            <w:vAlign w:val="center"/>
          </w:tcPr>
          <w:p w14:paraId="4BA95C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934" w:type="dxa"/>
            <w:tcBorders>
              <w:top w:val="single" w:color="auto" w:sz="4" w:space="0"/>
              <w:left w:val="single" w:color="000000" w:sz="4" w:space="0"/>
              <w:bottom w:val="single" w:color="auto" w:sz="4" w:space="0"/>
              <w:right w:val="single" w:color="000000" w:sz="4" w:space="0"/>
            </w:tcBorders>
            <w:shd w:val="clear" w:color="auto" w:fill="FFFFFF"/>
            <w:vAlign w:val="center"/>
          </w:tcPr>
          <w:p w14:paraId="732FB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29" w:type="dxa"/>
            <w:tcBorders>
              <w:top w:val="single" w:color="auto" w:sz="4" w:space="0"/>
              <w:left w:val="single" w:color="000000" w:sz="4" w:space="0"/>
              <w:bottom w:val="single" w:color="auto" w:sz="4" w:space="0"/>
              <w:right w:val="single" w:color="000000" w:sz="4" w:space="0"/>
            </w:tcBorders>
            <w:shd w:val="clear" w:color="auto" w:fill="FFFFFF"/>
            <w:vAlign w:val="center"/>
          </w:tcPr>
          <w:p w14:paraId="7CCD47C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直径1200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*350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auto" w:sz="4" w:space="0"/>
              <w:left w:val="single" w:color="000000" w:sz="4" w:space="0"/>
              <w:bottom w:val="single" w:color="auto" w:sz="4" w:space="0"/>
              <w:right w:val="single" w:color="000000" w:sz="4" w:space="0"/>
            </w:tcBorders>
            <w:shd w:val="clear" w:color="auto" w:fill="FFFFFF"/>
            <w:vAlign w:val="center"/>
          </w:tcPr>
          <w:p w14:paraId="5F72CC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986" w:type="dxa"/>
            <w:tcBorders>
              <w:top w:val="single" w:color="auto" w:sz="4" w:space="0"/>
              <w:left w:val="single" w:color="000000" w:sz="4" w:space="0"/>
              <w:bottom w:val="single" w:color="auto" w:sz="4" w:space="0"/>
              <w:right w:val="single" w:color="000000" w:sz="4" w:space="0"/>
            </w:tcBorders>
            <w:shd w:val="clear" w:color="auto" w:fill="FFFFFF"/>
            <w:vAlign w:val="center"/>
          </w:tcPr>
          <w:p w14:paraId="11A00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auto" w:sz="4" w:space="0"/>
              <w:right w:val="single" w:color="000000" w:sz="4" w:space="0"/>
            </w:tcBorders>
            <w:shd w:val="clear" w:color="auto" w:fill="auto"/>
            <w:vAlign w:val="center"/>
          </w:tcPr>
          <w:p w14:paraId="7B9312BB">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 台面采用高档大理石材质，花色清晰， 纹理不乱；</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2、不锈钢金属脚， 外表人工造型打磨，表面喷涂金属漆。</w:t>
            </w:r>
          </w:p>
        </w:tc>
      </w:tr>
      <w:tr w14:paraId="30E81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0" w:hRule="atLeast"/>
        </w:trPr>
        <w:tc>
          <w:tcPr>
            <w:tcW w:w="624" w:type="dxa"/>
            <w:tcBorders>
              <w:top w:val="single" w:color="auto" w:sz="4" w:space="0"/>
              <w:left w:val="single" w:color="auto" w:sz="4" w:space="0"/>
              <w:bottom w:val="single" w:color="auto" w:sz="4" w:space="0"/>
              <w:right w:val="nil"/>
            </w:tcBorders>
            <w:shd w:val="clear" w:color="auto" w:fill="FFFFFF"/>
            <w:noWrap/>
            <w:vAlign w:val="center"/>
          </w:tcPr>
          <w:p w14:paraId="785B7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934" w:type="dxa"/>
            <w:tcBorders>
              <w:top w:val="single" w:color="auto" w:sz="4" w:space="0"/>
              <w:left w:val="single" w:color="000000" w:sz="4" w:space="0"/>
              <w:bottom w:val="single" w:color="auto" w:sz="4" w:space="0"/>
              <w:right w:val="single" w:color="000000" w:sz="4" w:space="0"/>
            </w:tcBorders>
            <w:shd w:val="clear" w:color="auto" w:fill="FFFFFF"/>
            <w:vAlign w:val="center"/>
          </w:tcPr>
          <w:p w14:paraId="19827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29" w:type="dxa"/>
            <w:tcBorders>
              <w:top w:val="single" w:color="auto" w:sz="4" w:space="0"/>
              <w:left w:val="single" w:color="000000" w:sz="4" w:space="0"/>
              <w:bottom w:val="single" w:color="auto" w:sz="4" w:space="0"/>
              <w:right w:val="single" w:color="000000" w:sz="4" w:space="0"/>
            </w:tcBorders>
            <w:shd w:val="clear" w:color="auto" w:fill="FFFFFF"/>
            <w:vAlign w:val="center"/>
          </w:tcPr>
          <w:p w14:paraId="39C6434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直径1000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*400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auto" w:sz="4" w:space="0"/>
              <w:left w:val="single" w:color="000000" w:sz="4" w:space="0"/>
              <w:bottom w:val="single" w:color="auto" w:sz="4" w:space="0"/>
              <w:right w:val="single" w:color="000000" w:sz="4" w:space="0"/>
            </w:tcBorders>
            <w:shd w:val="clear" w:color="auto" w:fill="FFFFFF"/>
            <w:vAlign w:val="center"/>
          </w:tcPr>
          <w:p w14:paraId="0E29F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986" w:type="dxa"/>
            <w:tcBorders>
              <w:top w:val="single" w:color="auto" w:sz="4" w:space="0"/>
              <w:left w:val="single" w:color="000000" w:sz="4" w:space="0"/>
              <w:bottom w:val="single" w:color="auto" w:sz="4" w:space="0"/>
              <w:right w:val="single" w:color="000000" w:sz="4" w:space="0"/>
            </w:tcBorders>
            <w:shd w:val="clear" w:color="auto" w:fill="FFFFFF"/>
            <w:vAlign w:val="center"/>
          </w:tcPr>
          <w:p w14:paraId="66B9F2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auto" w:sz="4" w:space="0"/>
              <w:left w:val="single" w:color="000000" w:sz="4" w:space="0"/>
              <w:bottom w:val="single" w:color="auto" w:sz="4" w:space="0"/>
              <w:right w:val="single" w:color="auto" w:sz="4" w:space="0"/>
            </w:tcBorders>
            <w:shd w:val="clear" w:color="auto" w:fill="auto"/>
            <w:vAlign w:val="center"/>
          </w:tcPr>
          <w:p w14:paraId="2CA3F733">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 台面采用高档大理石材质，花色清晰， 纹理不乱；</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2、不锈钢金属脚， 外表人工造型打磨，表面喷涂金属漆。</w:t>
            </w:r>
          </w:p>
        </w:tc>
      </w:tr>
      <w:tr w14:paraId="4E1D6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624" w:type="dxa"/>
            <w:tcBorders>
              <w:top w:val="single" w:color="auto" w:sz="4" w:space="0"/>
              <w:left w:val="single" w:color="000000" w:sz="4" w:space="0"/>
              <w:bottom w:val="single" w:color="000000" w:sz="4" w:space="0"/>
              <w:right w:val="nil"/>
            </w:tcBorders>
            <w:shd w:val="clear" w:color="auto" w:fill="FFFFFF"/>
            <w:noWrap/>
            <w:vAlign w:val="center"/>
          </w:tcPr>
          <w:p w14:paraId="3DFFAF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934" w:type="dxa"/>
            <w:tcBorders>
              <w:top w:val="single" w:color="auto" w:sz="4" w:space="0"/>
              <w:left w:val="single" w:color="000000" w:sz="4" w:space="0"/>
              <w:bottom w:val="nil"/>
              <w:right w:val="single" w:color="000000" w:sz="4" w:space="0"/>
            </w:tcBorders>
            <w:shd w:val="clear" w:color="auto" w:fill="FFFFFF"/>
            <w:vAlign w:val="center"/>
          </w:tcPr>
          <w:p w14:paraId="131D5B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29" w:type="dxa"/>
            <w:tcBorders>
              <w:top w:val="single" w:color="auto" w:sz="4" w:space="0"/>
              <w:left w:val="single" w:color="000000" w:sz="4" w:space="0"/>
              <w:bottom w:val="nil"/>
              <w:right w:val="single" w:color="000000" w:sz="4" w:space="0"/>
            </w:tcBorders>
            <w:shd w:val="clear" w:color="auto" w:fill="FFFFFF"/>
            <w:vAlign w:val="center"/>
          </w:tcPr>
          <w:p w14:paraId="37EC08C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直径500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*450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auto" w:sz="4" w:space="0"/>
              <w:left w:val="single" w:color="000000" w:sz="4" w:space="0"/>
              <w:bottom w:val="nil"/>
              <w:right w:val="single" w:color="000000" w:sz="4" w:space="0"/>
            </w:tcBorders>
            <w:shd w:val="clear" w:color="auto" w:fill="FFFFFF"/>
            <w:vAlign w:val="center"/>
          </w:tcPr>
          <w:p w14:paraId="63D47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98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33F723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auto" w:sz="4" w:space="0"/>
              <w:left w:val="single" w:color="000000" w:sz="4" w:space="0"/>
              <w:bottom w:val="single" w:color="000000" w:sz="4" w:space="0"/>
              <w:right w:val="single" w:color="000000" w:sz="4" w:space="0"/>
            </w:tcBorders>
            <w:shd w:val="clear" w:color="auto" w:fill="auto"/>
            <w:vAlign w:val="center"/>
          </w:tcPr>
          <w:p w14:paraId="05D11780">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 台面采用高档大理石材质，花色清晰， 纹理不乱；</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2、不锈钢金属脚， 外表人工造型打磨，表面喷涂金属漆。</w:t>
            </w:r>
          </w:p>
        </w:tc>
      </w:tr>
      <w:tr w14:paraId="02B53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578B9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934" w:type="dxa"/>
            <w:tcBorders>
              <w:top w:val="single" w:color="000000" w:sz="4" w:space="0"/>
              <w:left w:val="single" w:color="000000" w:sz="4" w:space="0"/>
              <w:bottom w:val="nil"/>
              <w:right w:val="single" w:color="000000" w:sz="4" w:space="0"/>
            </w:tcBorders>
            <w:shd w:val="clear" w:color="auto" w:fill="FFFFFF"/>
            <w:vAlign w:val="center"/>
          </w:tcPr>
          <w:p w14:paraId="4F424F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接待桌</w:t>
            </w:r>
          </w:p>
        </w:tc>
        <w:tc>
          <w:tcPr>
            <w:tcW w:w="1129" w:type="dxa"/>
            <w:tcBorders>
              <w:top w:val="single" w:color="000000" w:sz="4" w:space="0"/>
              <w:left w:val="single" w:color="000000" w:sz="4" w:space="0"/>
              <w:bottom w:val="nil"/>
              <w:right w:val="single" w:color="000000" w:sz="4" w:space="0"/>
            </w:tcBorders>
            <w:shd w:val="clear" w:color="auto" w:fill="FFFFFF"/>
            <w:vAlign w:val="center"/>
          </w:tcPr>
          <w:p w14:paraId="5D0DE2E0">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W3585</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*D1600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*H750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nil"/>
              <w:right w:val="single" w:color="000000" w:sz="4" w:space="0"/>
            </w:tcBorders>
            <w:shd w:val="clear" w:color="auto" w:fill="FFFFFF"/>
            <w:vAlign w:val="center"/>
          </w:tcPr>
          <w:p w14:paraId="5BE30B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53A7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F6C65">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两单元组合一体会议桌， 岩板+实木贴面油漆+不锈钢配饰；</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1.定制台面采用高档岩板材质，整体拼纹路， 四周精磨处理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2.岩板下底部基座板及桌架，基座四周采购不锈钢配饰架，镜面处理工艺； 木质基座采用大环保中密度纤维板； 经过防潮、防虫、防腐化学处理,静曲强度≥35.0MPa,甲醛释放量≤0.025mg/m³； 板材密度0.65-0.80g/cm³； 内结合强度≥0.60Mpa； 符合GB/T11718-2021中密度纤维板；GB18580-2017室内装饰装修材料人造板及其制品中甲醛释放限量</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3.天然山纹胡桃木皮饰面，木皮厚度≥0.6mm，双面实木皮工艺； 纹理清晰自然，木皮颜色一致，纹理清晰自然，颜色均匀平整，无结疤， 无瑕疵。</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4.使用与木皮材质一致的实木封边，实木封边厚度≥8mm，木材含水率8%-16%， 隐藏部位全做封闭处理，所有人造板件全部双饰面、封四边， 实木封边采用含实木于内的整体贴面先进工艺。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5.环保水基型胶黏剂，符合GB18583-2008室内装饰装修材料胶黏剂中有害物质限量； 游离甲醛≤ 0.05g/kg； 苯≤0.02g/kg； 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6.五底三面工艺，两面均衡油饰，硬度≥2H； 水性底漆，水性面漆，耐划伤、耐碱性、耐干热性1级， 甲醛释放量≤5mg/kg，TVOC含量≤2g/L,苯系物总和含量≤50mg/kg， 乙二醇醚及醚酯总和含量≤50mg/kg；会议桌脚带隐藏式走线系统，会议桌两侧台面基座上各有两个集成插座。</w:t>
            </w:r>
          </w:p>
        </w:tc>
      </w:tr>
      <w:tr w14:paraId="11571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9"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4F8963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34" w:type="dxa"/>
            <w:tcBorders>
              <w:top w:val="single" w:color="000000" w:sz="4" w:space="0"/>
              <w:left w:val="single" w:color="000000" w:sz="4" w:space="0"/>
              <w:bottom w:val="nil"/>
              <w:right w:val="single" w:color="000000" w:sz="4" w:space="0"/>
            </w:tcBorders>
            <w:shd w:val="clear" w:color="auto" w:fill="FFFFFF"/>
            <w:vAlign w:val="center"/>
          </w:tcPr>
          <w:p w14:paraId="6EFAAA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接待椅</w:t>
            </w:r>
          </w:p>
        </w:tc>
        <w:tc>
          <w:tcPr>
            <w:tcW w:w="1129" w:type="dxa"/>
            <w:tcBorders>
              <w:top w:val="single" w:color="000000" w:sz="4" w:space="0"/>
              <w:left w:val="single" w:color="000000" w:sz="4" w:space="0"/>
              <w:bottom w:val="nil"/>
              <w:right w:val="single" w:color="000000" w:sz="4" w:space="0"/>
            </w:tcBorders>
            <w:shd w:val="clear" w:color="auto" w:fill="FFFFFF"/>
            <w:vAlign w:val="center"/>
          </w:tcPr>
          <w:p w14:paraId="559013B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670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*665</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*1000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nil"/>
              <w:right w:val="single" w:color="000000" w:sz="4" w:space="0"/>
            </w:tcBorders>
            <w:shd w:val="clear" w:color="auto" w:fill="FFFFFF"/>
            <w:vAlign w:val="center"/>
          </w:tcPr>
          <w:p w14:paraId="7567C3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617E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90AF">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1.采用超纤皮质覆面。柔软细腻，透气性强、弹性好、肌理清晰、健康环保 、经久耐用。</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 采用优质高回弹PU成型泡绵，座密度≥60% kg/m3，背密度≥25%  kg/m3，表面加丝棉； 使用无苯胶黏剂。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3.环保工艺无异味， 圆润厚实， 软硬适中，表面经防腐、耐老化处理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 采用多层薄木皮纵横交错热压成型，厚度≥12mm；</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3.钢制四脚固定，采用一级冷轧钢板， 均经过镀锌（SECC）处理,再经过全自动隧道式防锈处理涂装工序， 最后进行全封闭式静电喷粉涂装，均采用粉末涂装；</w:t>
            </w:r>
          </w:p>
        </w:tc>
      </w:tr>
      <w:tr w14:paraId="74B79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41084F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934" w:type="dxa"/>
            <w:tcBorders>
              <w:top w:val="single" w:color="000000" w:sz="4" w:space="0"/>
              <w:left w:val="single" w:color="000000" w:sz="4" w:space="0"/>
              <w:bottom w:val="nil"/>
              <w:right w:val="single" w:color="000000" w:sz="4" w:space="0"/>
            </w:tcBorders>
            <w:shd w:val="clear" w:color="auto" w:fill="FFFFFF"/>
            <w:vAlign w:val="center"/>
          </w:tcPr>
          <w:p w14:paraId="2855E5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休闲沙发</w:t>
            </w:r>
          </w:p>
        </w:tc>
        <w:tc>
          <w:tcPr>
            <w:tcW w:w="1129" w:type="dxa"/>
            <w:tcBorders>
              <w:top w:val="single" w:color="000000" w:sz="4" w:space="0"/>
              <w:left w:val="single" w:color="000000" w:sz="4" w:space="0"/>
              <w:bottom w:val="nil"/>
              <w:right w:val="single" w:color="000000" w:sz="4" w:space="0"/>
            </w:tcBorders>
            <w:shd w:val="clear" w:color="auto" w:fill="FFFFFF"/>
            <w:vAlign w:val="center"/>
          </w:tcPr>
          <w:p w14:paraId="0EC884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常规</w:t>
            </w:r>
          </w:p>
        </w:tc>
        <w:tc>
          <w:tcPr>
            <w:tcW w:w="786" w:type="dxa"/>
            <w:tcBorders>
              <w:top w:val="single" w:color="000000" w:sz="4" w:space="0"/>
              <w:left w:val="single" w:color="000000" w:sz="4" w:space="0"/>
              <w:bottom w:val="nil"/>
              <w:right w:val="single" w:color="000000" w:sz="4" w:space="0"/>
            </w:tcBorders>
            <w:shd w:val="clear" w:color="auto" w:fill="FFFFFF"/>
            <w:vAlign w:val="center"/>
          </w:tcPr>
          <w:p w14:paraId="28094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9E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23410">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1.采用超纤皮覆面。柔软细腻，透气性强、弹性好、肌理清晰、健康环保 、经久耐用。</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 采用优质高回弹PU成型泡绵，座密度≥60% kg/m3，背密度≥25%  kg/m3，表面加丝棉； 使用无苯胶黏剂。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3.环保工艺无异味， 圆润厚实， 软硬适中，表面经防腐、耐老化处理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 采用多层薄木皮纵横交错热压成型，厚度≥12mm；</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3.钢制四脚固定，采用一级冷轧钢板， 均经过镀锌（SECC）处理,再经过全自动隧道式防锈处理涂装工序， 最后进行全封闭式静电喷粉涂装，均采用粉末涂装；</w:t>
            </w:r>
          </w:p>
        </w:tc>
      </w:tr>
      <w:tr w14:paraId="2E626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41A535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934" w:type="dxa"/>
            <w:tcBorders>
              <w:top w:val="single" w:color="000000" w:sz="4" w:space="0"/>
              <w:left w:val="single" w:color="000000" w:sz="4" w:space="0"/>
              <w:bottom w:val="nil"/>
              <w:right w:val="single" w:color="000000" w:sz="4" w:space="0"/>
            </w:tcBorders>
            <w:shd w:val="clear" w:color="auto" w:fill="FFFFFF"/>
            <w:vAlign w:val="center"/>
          </w:tcPr>
          <w:p w14:paraId="34D118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休闲沙发</w:t>
            </w:r>
          </w:p>
        </w:tc>
        <w:tc>
          <w:tcPr>
            <w:tcW w:w="1129" w:type="dxa"/>
            <w:tcBorders>
              <w:top w:val="single" w:color="000000" w:sz="4" w:space="0"/>
              <w:left w:val="single" w:color="000000" w:sz="4" w:space="0"/>
              <w:bottom w:val="nil"/>
              <w:right w:val="single" w:color="000000" w:sz="4" w:space="0"/>
            </w:tcBorders>
            <w:shd w:val="clear" w:color="auto" w:fill="FFFFFF"/>
            <w:vAlign w:val="center"/>
          </w:tcPr>
          <w:p w14:paraId="4E1D49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常规</w:t>
            </w:r>
          </w:p>
        </w:tc>
        <w:tc>
          <w:tcPr>
            <w:tcW w:w="786" w:type="dxa"/>
            <w:tcBorders>
              <w:top w:val="single" w:color="000000" w:sz="4" w:space="0"/>
              <w:left w:val="single" w:color="000000" w:sz="4" w:space="0"/>
              <w:bottom w:val="nil"/>
              <w:right w:val="single" w:color="000000" w:sz="4" w:space="0"/>
            </w:tcBorders>
            <w:shd w:val="clear" w:color="auto" w:fill="FFFFFF"/>
            <w:vAlign w:val="center"/>
          </w:tcPr>
          <w:p w14:paraId="402176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2EB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13857">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实木椅架+布料软包+辅助绳编结构；</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1.采用环保布艺覆面。柔软细腻，透气性强、弹性好、肌理清晰、健康环保、经久耐用。</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2.椅架采用优质环保实木打造,木纹理流畅、木质坚硬细密经过防潮、防虫、防腐化学处理,整体比例根据人体工学设计,保证长时间就座充满舒适感；</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3.采用优质高回弹PU成型泡绵，座密度≥60% kg/m3，背密度≥25%  kg/m3，表面加丝棉； 使用无苯胶黏剂。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4.高强度配置绷带， 久坐不易塌陷，绷扎均应牢固。</w:t>
            </w:r>
          </w:p>
        </w:tc>
      </w:tr>
      <w:tr w14:paraId="5C01F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5"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6087B3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934" w:type="dxa"/>
            <w:tcBorders>
              <w:top w:val="single" w:color="000000" w:sz="4" w:space="0"/>
              <w:left w:val="single" w:color="000000" w:sz="4" w:space="0"/>
              <w:bottom w:val="single" w:color="auto" w:sz="4" w:space="0"/>
              <w:right w:val="single" w:color="000000" w:sz="4" w:space="0"/>
            </w:tcBorders>
            <w:shd w:val="clear" w:color="auto" w:fill="FFFFFF"/>
            <w:vAlign w:val="center"/>
          </w:tcPr>
          <w:p w14:paraId="44C1DE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洽谈桌</w:t>
            </w:r>
          </w:p>
        </w:tc>
        <w:tc>
          <w:tcPr>
            <w:tcW w:w="1129"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DF2791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φ800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*650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EFA8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98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475B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auto" w:sz="4" w:space="0"/>
              <w:right w:val="single" w:color="000000" w:sz="4" w:space="0"/>
            </w:tcBorders>
            <w:shd w:val="clear" w:color="auto" w:fill="auto"/>
            <w:vAlign w:val="center"/>
          </w:tcPr>
          <w:p w14:paraId="04EECAF3">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1.采用优质环保ENF级中密度纤维板， 甲醛释放量≤0.025mg/m³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2.实木木皮贴面，木皮封边， 防虫、防潮性能， 耐磨性好， 纹理清晰自然，色泽一致。达到GB/T3324-2017木家具通用技术条件标准；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3.采用环保水性底漆+水性面漆涂装，  符合《GB18581-2020木器涂料中有害物质限量》中要求；漆面光洁平整, 木纹纹理清晰，色泽均匀；</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4.金属底盘，采用一级冷轧钢板，均经过镀锌（SECC）处理;稳固扎实，耐磨、耐锈； 隧道式静电喷涂工艺。</w:t>
            </w:r>
          </w:p>
        </w:tc>
      </w:tr>
      <w:tr w14:paraId="75228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2" w:hRule="atLeast"/>
        </w:trPr>
        <w:tc>
          <w:tcPr>
            <w:tcW w:w="624"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321DE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934" w:type="dxa"/>
            <w:tcBorders>
              <w:top w:val="single" w:color="auto" w:sz="4" w:space="0"/>
              <w:left w:val="single" w:color="auto" w:sz="4" w:space="0"/>
              <w:bottom w:val="single" w:color="auto" w:sz="4" w:space="0"/>
              <w:right w:val="single" w:color="000000" w:sz="4" w:space="0"/>
            </w:tcBorders>
            <w:shd w:val="clear" w:color="auto" w:fill="FFFFFF"/>
            <w:vAlign w:val="center"/>
          </w:tcPr>
          <w:p w14:paraId="628918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29" w:type="dxa"/>
            <w:tcBorders>
              <w:top w:val="single" w:color="auto" w:sz="4" w:space="0"/>
              <w:left w:val="single" w:color="000000" w:sz="4" w:space="0"/>
              <w:bottom w:val="single" w:color="auto" w:sz="4" w:space="0"/>
              <w:right w:val="single" w:color="000000" w:sz="4" w:space="0"/>
            </w:tcBorders>
            <w:shd w:val="clear" w:color="auto" w:fill="FFFFFF"/>
            <w:vAlign w:val="center"/>
          </w:tcPr>
          <w:p w14:paraId="1FCB90E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φ800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*450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auto" w:sz="4" w:space="0"/>
              <w:left w:val="single" w:color="000000" w:sz="4" w:space="0"/>
              <w:bottom w:val="single" w:color="auto" w:sz="4" w:space="0"/>
              <w:right w:val="single" w:color="000000" w:sz="4" w:space="0"/>
            </w:tcBorders>
            <w:shd w:val="clear" w:color="auto" w:fill="FFFFFF"/>
            <w:vAlign w:val="center"/>
          </w:tcPr>
          <w:p w14:paraId="470CAD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 </w:t>
            </w:r>
          </w:p>
        </w:tc>
        <w:tc>
          <w:tcPr>
            <w:tcW w:w="986" w:type="dxa"/>
            <w:tcBorders>
              <w:top w:val="single" w:color="auto" w:sz="4" w:space="0"/>
              <w:left w:val="single" w:color="000000" w:sz="4" w:space="0"/>
              <w:bottom w:val="single" w:color="auto" w:sz="4" w:space="0"/>
              <w:right w:val="single" w:color="000000" w:sz="4" w:space="0"/>
            </w:tcBorders>
            <w:shd w:val="clear" w:color="auto" w:fill="FFFFFF"/>
            <w:vAlign w:val="center"/>
          </w:tcPr>
          <w:p w14:paraId="11C2C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auto" w:sz="4" w:space="0"/>
              <w:left w:val="single" w:color="000000" w:sz="4" w:space="0"/>
              <w:bottom w:val="single" w:color="auto" w:sz="4" w:space="0"/>
              <w:right w:val="single" w:color="auto" w:sz="4" w:space="0"/>
            </w:tcBorders>
            <w:shd w:val="clear" w:color="auto" w:fill="auto"/>
            <w:vAlign w:val="center"/>
          </w:tcPr>
          <w:p w14:paraId="551A2889">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1.采用优质环保ENF级中密度纤维板， 甲醛释放量≤0.025mg/m³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2.实木木皮贴面，木皮封边， 防虫、防潮性能， 耐磨性好， 纹理清晰自然，色泽一致。达到GB/T3324-2017木家具通用技术条件标准；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3.采用环保水性底漆+水性面漆涂装</w:t>
            </w:r>
            <w:r>
              <w:rPr>
                <w:rFonts w:hint="eastAsia" w:ascii="宋体" w:hAnsi="宋体" w:cs="宋体"/>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符合《GB18581-2020木器涂料中有害物质限量》中要求；漆面光洁平整, 木纹纹理清晰，色泽均匀；</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4.金属几架，稳固扎实，耐磨、耐锈； 隧道式静电喷涂工艺。</w:t>
            </w:r>
          </w:p>
        </w:tc>
      </w:tr>
      <w:tr w14:paraId="3F86B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1"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05621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934" w:type="dxa"/>
            <w:tcBorders>
              <w:top w:val="single" w:color="auto" w:sz="4" w:space="0"/>
              <w:left w:val="single" w:color="000000" w:sz="4" w:space="0"/>
              <w:bottom w:val="nil"/>
              <w:right w:val="single" w:color="000000" w:sz="4" w:space="0"/>
            </w:tcBorders>
            <w:shd w:val="clear" w:color="auto" w:fill="FFFFFF"/>
            <w:vAlign w:val="center"/>
          </w:tcPr>
          <w:p w14:paraId="3A68F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29" w:type="dxa"/>
            <w:tcBorders>
              <w:top w:val="single" w:color="auto" w:sz="4" w:space="0"/>
              <w:left w:val="single" w:color="000000" w:sz="4" w:space="0"/>
              <w:bottom w:val="nil"/>
              <w:right w:val="single" w:color="000000" w:sz="4" w:space="0"/>
            </w:tcBorders>
            <w:shd w:val="clear" w:color="auto" w:fill="FFFFFF"/>
            <w:vAlign w:val="center"/>
          </w:tcPr>
          <w:p w14:paraId="02B798D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φ500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*520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auto" w:sz="4" w:space="0"/>
              <w:left w:val="single" w:color="000000" w:sz="4" w:space="0"/>
              <w:bottom w:val="nil"/>
              <w:right w:val="single" w:color="000000" w:sz="4" w:space="0"/>
            </w:tcBorders>
            <w:shd w:val="clear" w:color="auto" w:fill="FFFFFF"/>
            <w:vAlign w:val="center"/>
          </w:tcPr>
          <w:p w14:paraId="74AB72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 </w:t>
            </w:r>
          </w:p>
        </w:tc>
        <w:tc>
          <w:tcPr>
            <w:tcW w:w="98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6AFDF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auto" w:sz="4" w:space="0"/>
              <w:left w:val="single" w:color="000000" w:sz="4" w:space="0"/>
              <w:bottom w:val="single" w:color="000000" w:sz="4" w:space="0"/>
              <w:right w:val="single" w:color="000000" w:sz="4" w:space="0"/>
            </w:tcBorders>
            <w:shd w:val="clear" w:color="auto" w:fill="auto"/>
            <w:vAlign w:val="center"/>
          </w:tcPr>
          <w:p w14:paraId="0DA4FDED">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1.采用优质环保ENF级中密度纤维板， 甲醛释放量≤0.025mg/m³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2.实木木皮贴面，木皮封边， 防虫、防潮性能， 耐磨性好， 纹理清晰自然，色泽一致。达到GB/T3324-2017木家具通用技术条件标准；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3.采用环保水性底漆+水性面漆涂装，符合《GB18581-2020木器涂料中有害物质限量》中要求；漆面光洁平整, 木纹纹理清晰，色泽均匀；</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4.金属几架，稳固扎实，耐磨、耐锈； 隧道式静电喷涂工艺。</w:t>
            </w:r>
          </w:p>
        </w:tc>
      </w:tr>
      <w:tr w14:paraId="68772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5"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7965CA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934"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54AD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定制沙发</w:t>
            </w:r>
          </w:p>
        </w:tc>
        <w:tc>
          <w:tcPr>
            <w:tcW w:w="1129" w:type="dxa"/>
            <w:tcBorders>
              <w:top w:val="single" w:color="000000" w:sz="4" w:space="0"/>
              <w:left w:val="single" w:color="000000" w:sz="4" w:space="0"/>
              <w:bottom w:val="single" w:color="auto" w:sz="4" w:space="0"/>
              <w:right w:val="single" w:color="000000" w:sz="4" w:space="0"/>
            </w:tcBorders>
            <w:shd w:val="clear" w:color="auto" w:fill="FFFFFF"/>
            <w:vAlign w:val="center"/>
          </w:tcPr>
          <w:p w14:paraId="3D3ED42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W3000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*D950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*H725</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088B80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98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33A7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auto" w:sz="4" w:space="0"/>
              <w:right w:val="single" w:color="000000" w:sz="4" w:space="0"/>
            </w:tcBorders>
            <w:shd w:val="clear" w:color="auto" w:fill="auto"/>
            <w:vAlign w:val="center"/>
          </w:tcPr>
          <w:p w14:paraId="2C4A5B85">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1.人体接触面采用优质布料覆面，满包结构； 防蛀、防霉变、易清洁， 皮面柔软细腻，透气性好，韧性强，涂层牢固，光泽明亮；透气性强、弹性好、健康环保、经久耐用。</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2.采用优质高回弹PU成型泡绵，座密度≥60% kg/m3，背密度≥25%  kg/m3，表面加丝棉； 使用无苯胶黏剂。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3.采用优质实木框架，木材含水率控制在8%—12%之间。木材经四面抛光处理， 结合部位牢固无松动，无虫蚀、腐朽材， 不易变形，承托力达150kg。弹力带选用进口橡筋包根弹力带，底胎用直径≥5mm蛇形簧与弹力带结合工艺，结构固定。</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4、沙发脚采用不锈钢金属脚；</w:t>
            </w:r>
          </w:p>
        </w:tc>
      </w:tr>
      <w:tr w14:paraId="02B8C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087209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934" w:type="dxa"/>
            <w:tcBorders>
              <w:top w:val="single" w:color="auto" w:sz="4" w:space="0"/>
              <w:left w:val="single" w:color="auto" w:sz="4" w:space="0"/>
              <w:bottom w:val="single" w:color="auto" w:sz="4" w:space="0"/>
              <w:right w:val="single" w:color="000000" w:sz="4" w:space="0"/>
            </w:tcBorders>
            <w:shd w:val="clear" w:color="auto" w:fill="FFFFFF"/>
            <w:vAlign w:val="center"/>
          </w:tcPr>
          <w:p w14:paraId="37A6D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休闲沙发</w:t>
            </w:r>
          </w:p>
        </w:tc>
        <w:tc>
          <w:tcPr>
            <w:tcW w:w="1129" w:type="dxa"/>
            <w:tcBorders>
              <w:top w:val="single" w:color="auto" w:sz="4" w:space="0"/>
              <w:left w:val="single" w:color="000000" w:sz="4" w:space="0"/>
              <w:bottom w:val="single" w:color="auto" w:sz="4" w:space="0"/>
              <w:right w:val="single" w:color="000000" w:sz="4" w:space="0"/>
            </w:tcBorders>
            <w:shd w:val="clear" w:color="auto" w:fill="FFFFFF"/>
            <w:vAlign w:val="center"/>
          </w:tcPr>
          <w:p w14:paraId="2EBE4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常规</w:t>
            </w:r>
          </w:p>
        </w:tc>
        <w:tc>
          <w:tcPr>
            <w:tcW w:w="786" w:type="dxa"/>
            <w:tcBorders>
              <w:top w:val="single" w:color="auto" w:sz="4" w:space="0"/>
              <w:left w:val="single" w:color="000000" w:sz="4" w:space="0"/>
              <w:bottom w:val="single" w:color="auto" w:sz="4" w:space="0"/>
              <w:right w:val="single" w:color="000000" w:sz="4" w:space="0"/>
            </w:tcBorders>
            <w:shd w:val="clear" w:color="auto" w:fill="FFFFFF"/>
            <w:vAlign w:val="center"/>
          </w:tcPr>
          <w:p w14:paraId="0A4D84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986" w:type="dxa"/>
            <w:tcBorders>
              <w:top w:val="single" w:color="auto" w:sz="4" w:space="0"/>
              <w:left w:val="single" w:color="000000" w:sz="4" w:space="0"/>
              <w:bottom w:val="single" w:color="auto" w:sz="4" w:space="0"/>
              <w:right w:val="single" w:color="000000" w:sz="4" w:space="0"/>
            </w:tcBorders>
            <w:shd w:val="clear" w:color="auto" w:fill="FFFFFF"/>
            <w:vAlign w:val="center"/>
          </w:tcPr>
          <w:p w14:paraId="7DE9E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auto" w:sz="4" w:space="0"/>
              <w:left w:val="single" w:color="000000" w:sz="4" w:space="0"/>
              <w:bottom w:val="single" w:color="auto" w:sz="4" w:space="0"/>
              <w:right w:val="single" w:color="auto" w:sz="4" w:space="0"/>
            </w:tcBorders>
            <w:shd w:val="clear" w:color="auto" w:fill="auto"/>
            <w:vAlign w:val="center"/>
          </w:tcPr>
          <w:p w14:paraId="39B7FDC1">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1.采用超纤皮覆面。柔软细腻，透气性强、弹性好、肌理清晰、健康环保 、经久耐用。</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 采用优质高回弹PU成型泡绵，座密度≥60% kg/m3，背密度≥25%  kg/m3，表面加丝棉； 使用无苯胶黏剂。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3.环保工艺无异味， 圆润厚实， 软硬适中，表面经防腐、耐老化处理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 采用多层薄木皮纵横交错热压成型，厚度≥12mm。</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3.钢制四脚固定，采</w:t>
            </w:r>
            <w:r>
              <w:rPr>
                <w:rFonts w:hint="eastAsia" w:ascii="宋体" w:hAnsi="宋体" w:eastAsia="宋体" w:cs="宋体"/>
                <w:i w:val="0"/>
                <w:iCs w:val="0"/>
                <w:color w:val="000000"/>
                <w:kern w:val="0"/>
                <w:sz w:val="16"/>
                <w:szCs w:val="16"/>
                <w:highlight w:val="yellow"/>
                <w:u w:val="none"/>
                <w:lang w:val="en-US" w:eastAsia="zh-CN" w:bidi="ar"/>
              </w:rPr>
              <w:t>用</w:t>
            </w:r>
            <w:r>
              <w:rPr>
                <w:rFonts w:hint="eastAsia" w:ascii="宋体" w:hAnsi="宋体" w:eastAsia="宋体" w:cs="宋体"/>
                <w:i w:val="0"/>
                <w:iCs w:val="0"/>
                <w:color w:val="000000"/>
                <w:kern w:val="0"/>
                <w:sz w:val="16"/>
                <w:szCs w:val="16"/>
                <w:u w:val="none"/>
                <w:lang w:val="en-US" w:eastAsia="zh-CN" w:bidi="ar"/>
              </w:rPr>
              <w:t>一级冷轧钢板， 均经过镀锌（SECC）处理,再经过全自动隧道式防锈处理涂装工序， 最后进行全封闭式静电喷粉涂装，均采用粉末涂装；</w:t>
            </w:r>
          </w:p>
        </w:tc>
      </w:tr>
      <w:tr w14:paraId="24C88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029BE6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934" w:type="dxa"/>
            <w:tcBorders>
              <w:top w:val="single" w:color="auto" w:sz="4" w:space="0"/>
              <w:left w:val="single" w:color="000000" w:sz="4" w:space="0"/>
              <w:bottom w:val="single" w:color="auto" w:sz="4" w:space="0"/>
              <w:right w:val="single" w:color="000000" w:sz="4" w:space="0"/>
            </w:tcBorders>
            <w:shd w:val="clear" w:color="auto" w:fill="FFFFFF"/>
            <w:vAlign w:val="center"/>
          </w:tcPr>
          <w:p w14:paraId="51F80D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29" w:type="dxa"/>
            <w:tcBorders>
              <w:top w:val="single" w:color="auto" w:sz="4" w:space="0"/>
              <w:left w:val="single" w:color="000000" w:sz="4" w:space="0"/>
              <w:bottom w:val="single" w:color="auto" w:sz="4" w:space="0"/>
              <w:right w:val="single" w:color="000000" w:sz="4" w:space="0"/>
            </w:tcBorders>
            <w:shd w:val="clear" w:color="auto" w:fill="FFFFFF"/>
            <w:vAlign w:val="center"/>
          </w:tcPr>
          <w:p w14:paraId="35075F7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定制直径1000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auto" w:sz="4" w:space="0"/>
              <w:left w:val="single" w:color="000000" w:sz="4" w:space="0"/>
              <w:bottom w:val="single" w:color="auto" w:sz="4" w:space="0"/>
              <w:right w:val="single" w:color="000000" w:sz="4" w:space="0"/>
            </w:tcBorders>
            <w:shd w:val="clear" w:color="auto" w:fill="FFFFFF"/>
            <w:vAlign w:val="center"/>
          </w:tcPr>
          <w:p w14:paraId="7247C1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986" w:type="dxa"/>
            <w:tcBorders>
              <w:top w:val="single" w:color="auto" w:sz="4" w:space="0"/>
              <w:left w:val="single" w:color="000000" w:sz="4" w:space="0"/>
              <w:bottom w:val="single" w:color="auto" w:sz="4" w:space="0"/>
              <w:right w:val="single" w:color="000000" w:sz="4" w:space="0"/>
            </w:tcBorders>
            <w:shd w:val="clear" w:color="auto" w:fill="FFFFFF"/>
            <w:vAlign w:val="center"/>
          </w:tcPr>
          <w:p w14:paraId="31F9E9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auto" w:sz="4" w:space="0"/>
              <w:left w:val="single" w:color="000000" w:sz="4" w:space="0"/>
              <w:bottom w:val="single" w:color="000000" w:sz="4" w:space="0"/>
              <w:right w:val="single" w:color="000000" w:sz="4" w:space="0"/>
            </w:tcBorders>
            <w:shd w:val="clear" w:color="auto" w:fill="auto"/>
            <w:vAlign w:val="center"/>
          </w:tcPr>
          <w:p w14:paraId="221E57B9">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1.采用ENF级中密度纤维板,静曲强度≥35.0MPa,甲醛释放量≤0.025mg/m³； 板材密度0.65-0.80g/cm³； 内结合强度≥0.60Mpa；符合GB/T11718-2021中密度纤维板； GB18580-2017室内装饰装修材料人造板及其制品中甲醛释放限量。</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2.天然山纹胡桃木皮饰面，木皮厚度≥0.6mm，双面实木皮工艺； 纹理清晰自然，木皮颜色一致，纹理清晰自然，颜色均匀平整，无结疤， 无瑕疵。</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3.使用与木皮材质一致的实木封边，实木封边厚度≥8mm，木材含水率8%-16%， 隐藏部位全做封闭处理，所有人造板件全部双饰面、封四边， 实木封边采用含实木于内的整体贴面先进工艺。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4.环保水基型胶黏剂，符合GB18583-2008室内装饰装修材料胶黏剂中有害物质限量； 游离甲醛≤ 0.05g/kg； 苯≤0.02g/kg； 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5.五底三面工艺，两面均衡油饰，硬度≥2H； 水性底漆，水性面漆，耐划伤、耐碱性、耐干热性1级， 甲醛释放量≤5mg/kg，TVOC含量≤2g/L,苯系物总和含量≤50mg/kg， 乙二醇醚及醚酯总和含量≤50mg/kg；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6.胡桃木实木几架，木材含水率8%-16%，榫卯结构。</w:t>
            </w:r>
          </w:p>
        </w:tc>
      </w:tr>
      <w:tr w14:paraId="3A286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570114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934" w:type="dxa"/>
            <w:tcBorders>
              <w:top w:val="single" w:color="auto" w:sz="4" w:space="0"/>
              <w:left w:val="single" w:color="auto" w:sz="4" w:space="0"/>
              <w:bottom w:val="single" w:color="auto" w:sz="4" w:space="0"/>
              <w:right w:val="single" w:color="auto" w:sz="4" w:space="0"/>
            </w:tcBorders>
            <w:shd w:val="clear" w:color="auto" w:fill="FFFFFF"/>
            <w:vAlign w:val="center"/>
          </w:tcPr>
          <w:p w14:paraId="2D4DB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29" w:type="dxa"/>
            <w:tcBorders>
              <w:top w:val="single" w:color="auto" w:sz="4" w:space="0"/>
              <w:left w:val="single" w:color="auto" w:sz="4" w:space="0"/>
              <w:bottom w:val="single" w:color="auto" w:sz="4" w:space="0"/>
              <w:right w:val="single" w:color="auto" w:sz="4" w:space="0"/>
            </w:tcBorders>
            <w:shd w:val="clear" w:color="auto" w:fill="FFFFFF"/>
            <w:vAlign w:val="center"/>
          </w:tcPr>
          <w:p w14:paraId="2D2A779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定制直径700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auto" w:sz="4" w:space="0"/>
              <w:left w:val="single" w:color="auto" w:sz="4" w:space="0"/>
              <w:bottom w:val="single" w:color="auto" w:sz="4" w:space="0"/>
              <w:right w:val="single" w:color="auto" w:sz="4" w:space="0"/>
            </w:tcBorders>
            <w:shd w:val="clear" w:color="auto" w:fill="FFFFFF"/>
            <w:vAlign w:val="center"/>
          </w:tcPr>
          <w:p w14:paraId="542AB0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986" w:type="dxa"/>
            <w:tcBorders>
              <w:top w:val="single" w:color="auto" w:sz="4" w:space="0"/>
              <w:left w:val="single" w:color="auto" w:sz="4" w:space="0"/>
              <w:bottom w:val="single" w:color="auto" w:sz="4" w:space="0"/>
              <w:right w:val="single" w:color="auto" w:sz="4" w:space="0"/>
            </w:tcBorders>
            <w:shd w:val="clear" w:color="auto" w:fill="FFFFFF"/>
            <w:vAlign w:val="center"/>
          </w:tcPr>
          <w:p w14:paraId="4B05E5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auto" w:sz="4" w:space="0"/>
              <w:bottom w:val="single" w:color="000000" w:sz="4" w:space="0"/>
              <w:right w:val="single" w:color="000000" w:sz="4" w:space="0"/>
            </w:tcBorders>
            <w:shd w:val="clear" w:color="auto" w:fill="auto"/>
            <w:vAlign w:val="center"/>
          </w:tcPr>
          <w:p w14:paraId="45A76FBE">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1.采用ENF级中密度纤维板,静曲强度≥35.0MPa,甲醛释放量≤0.025mg/m³； 板材密度0.65-</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0.80g/cm³； 内结合强度≥0.60Mpa；符合GB/T11718-2021中密度纤维板； GB18580-2017室内装饰装修材料人造板及其制品中甲醛释放限量。</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2.天然山纹胡桃木皮饰面，木皮厚度≥0.6mm，双面实木皮工艺； 纹理清晰自然，木皮颜色一致，纹理清晰自然，颜色均匀平整，无结疤， 无瑕疵。</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3.使用与木皮材质一致的实木封边，实木封边厚度≥8mm，木材含水率8%-16%， 隐藏部位全做封闭处理，所有人造板件全部双饰面、封四边， 实木封边采用含实木于内的整体贴面先进工艺。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4.环保水基型胶黏剂，符合GB18583-2008室内装饰装修材料胶黏剂中有害物质限量； 游离甲醛≤ 0.05g/kg； 苯≤0.02g/kg； 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5.五底三面工艺，两面均衡油饰，硬度≥2H； 水性底漆，水性面漆，耐划伤、耐碱性、耐干热性1级， 甲醛释放量≤5mg/kg，TVOC含量≤2g/L,苯系物总和含量≤50mg/kg， 乙二醇醚及醚酯总和含量≤50mg/kg；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6.胡桃木实木几架，木材含水率8%-16%，榫卯结构。</w:t>
            </w:r>
          </w:p>
        </w:tc>
      </w:tr>
      <w:tr w14:paraId="73912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7E26DB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34" w:type="dxa"/>
            <w:tcBorders>
              <w:top w:val="single" w:color="auto" w:sz="4" w:space="0"/>
              <w:left w:val="single" w:color="000000" w:sz="4" w:space="0"/>
              <w:bottom w:val="nil"/>
              <w:right w:val="single" w:color="000000" w:sz="4" w:space="0"/>
            </w:tcBorders>
            <w:shd w:val="clear" w:color="auto" w:fill="FFFFFF"/>
            <w:vAlign w:val="center"/>
          </w:tcPr>
          <w:p w14:paraId="57279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29" w:type="dxa"/>
            <w:tcBorders>
              <w:top w:val="single" w:color="auto" w:sz="4" w:space="0"/>
              <w:left w:val="single" w:color="000000" w:sz="4" w:space="0"/>
              <w:bottom w:val="nil"/>
              <w:right w:val="single" w:color="000000" w:sz="4" w:space="0"/>
            </w:tcBorders>
            <w:shd w:val="clear" w:color="auto" w:fill="FFFFFF"/>
            <w:vAlign w:val="center"/>
          </w:tcPr>
          <w:p w14:paraId="7A4E3B4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直径500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*450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auto" w:sz="4" w:space="0"/>
              <w:left w:val="single" w:color="000000" w:sz="4" w:space="0"/>
              <w:bottom w:val="nil"/>
              <w:right w:val="single" w:color="000000" w:sz="4" w:space="0"/>
            </w:tcBorders>
            <w:shd w:val="clear" w:color="auto" w:fill="FFFFFF"/>
            <w:vAlign w:val="center"/>
          </w:tcPr>
          <w:p w14:paraId="1722FC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98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730DB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6F8DB">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1.采用ENF级中密度纤维板,静曲强度≥35.0MPa,甲醛释放量≤0.025mg/m³； 板材密度0.65-</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0.80g/cm³； 内结合强度≥0.60Mpa；符合GB/T11718-2021中密度纤维板； GB18580-2017室内装饰装修材料人造板及其制品中甲醛释放限量。</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2.天然山纹胡桃木皮饰面，木皮厚度≥0.6mm，双面实木皮工艺； 纹理清晰自然，木皮颜色一致，纹理清晰自然，颜色均匀平整，无结疤， 无瑕疵。</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3.使用与木皮材质一致的实木封边，实木封边厚度≥8mm，木材含水率8%-16%， 隐藏部位全做封闭处理，所有人造板件全部双饰面、封四边， 实木封边采用含实木于内的整体贴面先进工艺。</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4.环保水基型胶黏剂，符合GB18583-2008室内装饰装修材料胶黏剂中有害物质限量； 游离甲醛≤ 0.05g/kg； 苯≤0.02g/kg； 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5.五底三面工艺，两面均衡油饰，硬度≥2H； 水性底漆，水性面漆，耐划伤、耐碱性、耐干热性1级， 甲醛释放量≤5mg/kg，TVOC含量≤2g/L,苯系物总和含量≤50mg/kg， 乙二醇醚及醚酯总和含量≤50mg/kg；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6.胡桃木实木几架，木材含水率8%-16%，榫卯结构。</w:t>
            </w:r>
          </w:p>
        </w:tc>
      </w:tr>
      <w:tr w14:paraId="5440A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18E095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934"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1EDA3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休闲沙发</w:t>
            </w:r>
          </w:p>
        </w:tc>
        <w:tc>
          <w:tcPr>
            <w:tcW w:w="1129"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05D164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W420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*D420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*H450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4EA1E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98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5D9B4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auto" w:sz="4" w:space="0"/>
              <w:right w:val="single" w:color="000000" w:sz="4" w:space="0"/>
            </w:tcBorders>
            <w:shd w:val="clear" w:color="auto" w:fill="auto"/>
            <w:vAlign w:val="center"/>
          </w:tcPr>
          <w:p w14:paraId="22626C47">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1.采用优质布料， 高密度阻燃泡棉， 泡棉密度≥50kg/m³,回弹力≥35%</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 内框架： 实木框架配多层夹板装钉而成；带尼龙垫脚。</w:t>
            </w:r>
          </w:p>
        </w:tc>
      </w:tr>
      <w:tr w14:paraId="47A29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68F91D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934" w:type="dxa"/>
            <w:tcBorders>
              <w:top w:val="single" w:color="auto" w:sz="4" w:space="0"/>
              <w:left w:val="single" w:color="auto" w:sz="4" w:space="0"/>
              <w:bottom w:val="single" w:color="auto" w:sz="4" w:space="0"/>
              <w:right w:val="single" w:color="000000" w:sz="4" w:space="0"/>
            </w:tcBorders>
            <w:shd w:val="clear" w:color="auto" w:fill="FFFFFF"/>
            <w:vAlign w:val="center"/>
          </w:tcPr>
          <w:p w14:paraId="1A507D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茶几</w:t>
            </w:r>
          </w:p>
        </w:tc>
        <w:tc>
          <w:tcPr>
            <w:tcW w:w="1129" w:type="dxa"/>
            <w:tcBorders>
              <w:top w:val="single" w:color="auto" w:sz="4" w:space="0"/>
              <w:left w:val="single" w:color="000000" w:sz="4" w:space="0"/>
              <w:bottom w:val="single" w:color="auto" w:sz="4" w:space="0"/>
              <w:right w:val="single" w:color="000000" w:sz="4" w:space="0"/>
            </w:tcBorders>
            <w:shd w:val="clear" w:color="auto" w:fill="FFFFFF"/>
            <w:vAlign w:val="center"/>
          </w:tcPr>
          <w:p w14:paraId="6E4BC7A5">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W600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*D600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*H650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auto" w:sz="4" w:space="0"/>
              <w:left w:val="single" w:color="000000" w:sz="4" w:space="0"/>
              <w:bottom w:val="single" w:color="auto" w:sz="4" w:space="0"/>
              <w:right w:val="single" w:color="000000" w:sz="4" w:space="0"/>
            </w:tcBorders>
            <w:shd w:val="clear" w:color="auto" w:fill="FFFFFF"/>
            <w:vAlign w:val="center"/>
          </w:tcPr>
          <w:p w14:paraId="3D231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 </w:t>
            </w:r>
          </w:p>
        </w:tc>
        <w:tc>
          <w:tcPr>
            <w:tcW w:w="986" w:type="dxa"/>
            <w:tcBorders>
              <w:top w:val="single" w:color="auto" w:sz="4" w:space="0"/>
              <w:left w:val="single" w:color="000000" w:sz="4" w:space="0"/>
              <w:bottom w:val="single" w:color="auto" w:sz="4" w:space="0"/>
              <w:right w:val="single" w:color="000000" w:sz="4" w:space="0"/>
            </w:tcBorders>
            <w:shd w:val="clear" w:color="auto" w:fill="FFFFFF"/>
            <w:vAlign w:val="center"/>
          </w:tcPr>
          <w:p w14:paraId="49BE7A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auto" w:sz="4" w:space="0"/>
              <w:left w:val="single" w:color="000000" w:sz="4" w:space="0"/>
              <w:bottom w:val="single" w:color="auto" w:sz="4" w:space="0"/>
              <w:right w:val="single" w:color="auto" w:sz="4" w:space="0"/>
            </w:tcBorders>
            <w:shd w:val="clear" w:color="auto" w:fill="auto"/>
            <w:vAlign w:val="center"/>
          </w:tcPr>
          <w:p w14:paraId="3DCE0A4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1.采用优质环保ENF级中密度纤维板， 甲醛释放量≤0.025mg/m³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2.实木木皮贴面，木皮封边， 防虫、防潮性能， 耐磨性好， 纹理清晰自然，色泽一致。达到GB/T3324-2017木家具通用技术条件标准；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3.采用环保水性底漆+水性面漆涂装，  符合《GB18581-2020木器涂料中有害物质限量》中要求；漆面光洁平整, 木纹纹理清晰，色泽均匀；</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4.金属底盘，采用一级冷轧钢板，均经过镀锌（SECC）处理;稳固扎实，耐磨、耐锈； 隧道式静电喷涂工艺。</w:t>
            </w:r>
          </w:p>
        </w:tc>
      </w:tr>
      <w:tr w14:paraId="1A626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5" w:hRule="atLeast"/>
        </w:trPr>
        <w:tc>
          <w:tcPr>
            <w:tcW w:w="624"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432922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934" w:type="dxa"/>
            <w:tcBorders>
              <w:top w:val="single" w:color="auto" w:sz="4" w:space="0"/>
              <w:left w:val="single" w:color="auto" w:sz="4" w:space="0"/>
              <w:bottom w:val="single" w:color="auto" w:sz="4" w:space="0"/>
              <w:right w:val="single" w:color="auto" w:sz="4" w:space="0"/>
            </w:tcBorders>
            <w:shd w:val="clear" w:color="auto" w:fill="FFFFFF"/>
            <w:vAlign w:val="center"/>
          </w:tcPr>
          <w:p w14:paraId="7EF626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坐墩</w:t>
            </w:r>
          </w:p>
        </w:tc>
        <w:tc>
          <w:tcPr>
            <w:tcW w:w="1129" w:type="dxa"/>
            <w:tcBorders>
              <w:top w:val="single" w:color="auto" w:sz="4" w:space="0"/>
              <w:left w:val="single" w:color="auto" w:sz="4" w:space="0"/>
              <w:bottom w:val="single" w:color="auto" w:sz="4" w:space="0"/>
              <w:right w:val="single" w:color="auto" w:sz="4" w:space="0"/>
            </w:tcBorders>
            <w:shd w:val="clear" w:color="auto" w:fill="FFFFFF"/>
            <w:vAlign w:val="center"/>
          </w:tcPr>
          <w:p w14:paraId="6F5FD8A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*400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*450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auto" w:sz="4" w:space="0"/>
              <w:left w:val="single" w:color="auto" w:sz="4" w:space="0"/>
              <w:bottom w:val="single" w:color="auto" w:sz="4" w:space="0"/>
              <w:right w:val="single" w:color="auto" w:sz="4" w:space="0"/>
            </w:tcBorders>
            <w:shd w:val="clear" w:color="auto" w:fill="FFFFFF"/>
            <w:vAlign w:val="center"/>
          </w:tcPr>
          <w:p w14:paraId="5C05CE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986" w:type="dxa"/>
            <w:tcBorders>
              <w:top w:val="single" w:color="auto" w:sz="4" w:space="0"/>
              <w:left w:val="single" w:color="auto" w:sz="4" w:space="0"/>
              <w:bottom w:val="single" w:color="auto" w:sz="4" w:space="0"/>
              <w:right w:val="single" w:color="auto" w:sz="4" w:space="0"/>
            </w:tcBorders>
            <w:shd w:val="clear" w:color="auto" w:fill="FFFFFF"/>
            <w:vAlign w:val="center"/>
          </w:tcPr>
          <w:p w14:paraId="6582FB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auto" w:sz="4" w:space="0"/>
              <w:left w:val="single" w:color="auto" w:sz="4" w:space="0"/>
              <w:bottom w:val="single" w:color="000000" w:sz="4" w:space="0"/>
              <w:right w:val="single" w:color="000000" w:sz="4" w:space="0"/>
            </w:tcBorders>
            <w:shd w:val="clear" w:color="auto" w:fill="auto"/>
            <w:vAlign w:val="center"/>
          </w:tcPr>
          <w:p w14:paraId="594CB6E2">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1.采用优质布料，高密度阻燃泡棉，泡棉密度≥50kg/m³,回弹力≥35%</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 内框架：实木框架配多层夹板装钉而成；带尼龙垫脚。</w:t>
            </w:r>
          </w:p>
        </w:tc>
      </w:tr>
      <w:tr w14:paraId="23FD8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1874A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34" w:type="dxa"/>
            <w:tcBorders>
              <w:top w:val="single" w:color="auto" w:sz="4" w:space="0"/>
              <w:left w:val="single" w:color="000000" w:sz="4" w:space="0"/>
              <w:bottom w:val="nil"/>
              <w:right w:val="single" w:color="000000" w:sz="4" w:space="0"/>
            </w:tcBorders>
            <w:shd w:val="clear" w:color="auto" w:fill="FFFFFF"/>
            <w:vAlign w:val="center"/>
          </w:tcPr>
          <w:p w14:paraId="1F6E5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定制手工桌</w:t>
            </w:r>
          </w:p>
        </w:tc>
        <w:tc>
          <w:tcPr>
            <w:tcW w:w="1129" w:type="dxa"/>
            <w:tcBorders>
              <w:top w:val="single" w:color="auto" w:sz="4" w:space="0"/>
              <w:left w:val="single" w:color="000000" w:sz="4" w:space="0"/>
              <w:bottom w:val="nil"/>
              <w:right w:val="single" w:color="000000" w:sz="4" w:space="0"/>
            </w:tcBorders>
            <w:shd w:val="clear" w:color="auto" w:fill="FFFFFF"/>
            <w:vAlign w:val="center"/>
          </w:tcPr>
          <w:p w14:paraId="2E278B6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1300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*1185</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*750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auto" w:sz="4" w:space="0"/>
              <w:left w:val="single" w:color="000000" w:sz="4" w:space="0"/>
              <w:bottom w:val="nil"/>
              <w:right w:val="single" w:color="000000" w:sz="4" w:space="0"/>
            </w:tcBorders>
            <w:shd w:val="clear" w:color="auto" w:fill="FFFFFF"/>
            <w:vAlign w:val="center"/>
          </w:tcPr>
          <w:p w14:paraId="0A93CD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98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67060A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8B12C">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1.桌面异形，基材选用ENF级三聚氰胺饰面刨花板，甲醛释放量≤0.025mg/m³；成品甲醛、苯、甲苯、二甲苯、TVOC等释放量满足GB/T 35607-2017绿色产品评价家具要求。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所有板件双贴面，封四边（隐藏部位均封闭处理）所有外部封边采用与板件颜色、纹理配套的同色优质激光（ABS）封边条，厚度≥1mm，封边无胶水外溢现象，封边严密平整，线条均匀，转角过渡自然，不易变形及开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4.钢制桌腿，表面喷塑处理，配尼龙脚垫。</w:t>
            </w:r>
          </w:p>
        </w:tc>
      </w:tr>
      <w:tr w14:paraId="2E6F2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44CDC9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934" w:type="dxa"/>
            <w:tcBorders>
              <w:top w:val="single" w:color="000000" w:sz="4" w:space="0"/>
              <w:left w:val="single" w:color="000000" w:sz="4" w:space="0"/>
              <w:bottom w:val="single" w:color="auto" w:sz="4" w:space="0"/>
              <w:right w:val="single" w:color="000000" w:sz="4" w:space="0"/>
            </w:tcBorders>
            <w:shd w:val="clear" w:color="auto" w:fill="FFFFFF"/>
            <w:vAlign w:val="center"/>
          </w:tcPr>
          <w:p w14:paraId="033F62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定制乐高手工桌</w:t>
            </w:r>
          </w:p>
        </w:tc>
        <w:tc>
          <w:tcPr>
            <w:tcW w:w="1129" w:type="dxa"/>
            <w:tcBorders>
              <w:top w:val="single" w:color="000000" w:sz="4" w:space="0"/>
              <w:left w:val="single" w:color="000000" w:sz="4" w:space="0"/>
              <w:bottom w:val="single" w:color="auto" w:sz="4" w:space="0"/>
              <w:right w:val="single" w:color="000000" w:sz="4" w:space="0"/>
            </w:tcBorders>
            <w:shd w:val="clear" w:color="auto" w:fill="FFFFFF"/>
            <w:vAlign w:val="center"/>
          </w:tcPr>
          <w:p w14:paraId="0A23D58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*800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*600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058488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98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0AB564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auto" w:sz="4" w:space="0"/>
              <w:right w:val="single" w:color="000000" w:sz="4" w:space="0"/>
            </w:tcBorders>
            <w:shd w:val="clear" w:color="auto" w:fill="auto"/>
            <w:vAlign w:val="center"/>
          </w:tcPr>
          <w:p w14:paraId="140505E0">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1.桌台面板、支撑立柱均采用优质实木板材，含水率为 8%～12%，无虫蛀、无结疤、无开裂、无腐朽、无空心缺陷，板材拼接平整牢固，结构稳定性强，承重性能满足儿童日常玩乐使用标准。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2.基材表面采用环保水性漆，漆膜均匀饱满，附着力达标，耐摩擦、耐磕碰、不易掉漆；无刺鼻异味，儿童接触安全无害。</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3.桌台四周边缘、立柱上下收口全部圆弧倒处理，无尖锐棱角，打磨光滑圆润，规避磕碰划伤风险。</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台面全覆盖乐高拼接底板，质地韧性强、不易脆裂、抗老化、耐高低温，长期使用不变形、不翘曲；底板表面均匀排布标准小颗粒凸点，颗粒尺寸、间距符合通用小颗粒乐高积木适配标准，凸点注塑成型完整无缺料、无毛刺，积木插拔松紧适中，拼搭稳固不易散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5.中间为储物收纳槽与实木桌台一体成型配套，槽体衬板为同批次实木板材，内壁喷涂环保水性漆，槽体深度、容积满足积木收纳存放需求；槽口边缘圆弧打磨，无毛刺划手。</w:t>
            </w:r>
          </w:p>
        </w:tc>
      </w:tr>
      <w:tr w14:paraId="2A07E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624"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7EAE4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934" w:type="dxa"/>
            <w:tcBorders>
              <w:top w:val="single" w:color="auto" w:sz="4" w:space="0"/>
              <w:left w:val="single" w:color="auto" w:sz="4" w:space="0"/>
              <w:bottom w:val="single" w:color="auto" w:sz="4" w:space="0"/>
              <w:right w:val="single" w:color="000000" w:sz="4" w:space="0"/>
            </w:tcBorders>
            <w:shd w:val="clear" w:color="auto" w:fill="FFFFFF"/>
            <w:vAlign w:val="center"/>
          </w:tcPr>
          <w:p w14:paraId="36DCE1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手工椅</w:t>
            </w:r>
          </w:p>
        </w:tc>
        <w:tc>
          <w:tcPr>
            <w:tcW w:w="1129" w:type="dxa"/>
            <w:tcBorders>
              <w:top w:val="single" w:color="auto" w:sz="4" w:space="0"/>
              <w:left w:val="single" w:color="000000" w:sz="4" w:space="0"/>
              <w:bottom w:val="single" w:color="auto" w:sz="4" w:space="0"/>
              <w:right w:val="single" w:color="000000" w:sz="4" w:space="0"/>
            </w:tcBorders>
            <w:shd w:val="clear" w:color="auto" w:fill="FFFFFF"/>
            <w:vAlign w:val="center"/>
          </w:tcPr>
          <w:p w14:paraId="53029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常规</w:t>
            </w:r>
          </w:p>
        </w:tc>
        <w:tc>
          <w:tcPr>
            <w:tcW w:w="786" w:type="dxa"/>
            <w:tcBorders>
              <w:top w:val="single" w:color="auto" w:sz="4" w:space="0"/>
              <w:left w:val="single" w:color="000000" w:sz="4" w:space="0"/>
              <w:bottom w:val="single" w:color="auto" w:sz="4" w:space="0"/>
              <w:right w:val="single" w:color="000000" w:sz="4" w:space="0"/>
            </w:tcBorders>
            <w:shd w:val="clear" w:color="auto" w:fill="FFFFFF"/>
            <w:vAlign w:val="center"/>
          </w:tcPr>
          <w:p w14:paraId="765AA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40 </w:t>
            </w:r>
          </w:p>
        </w:tc>
        <w:tc>
          <w:tcPr>
            <w:tcW w:w="986" w:type="dxa"/>
            <w:tcBorders>
              <w:top w:val="single" w:color="auto" w:sz="4" w:space="0"/>
              <w:left w:val="single" w:color="000000" w:sz="4" w:space="0"/>
              <w:bottom w:val="single" w:color="auto" w:sz="4" w:space="0"/>
              <w:right w:val="single" w:color="000000" w:sz="4" w:space="0"/>
            </w:tcBorders>
            <w:shd w:val="clear" w:color="auto" w:fill="FFFFFF"/>
            <w:vAlign w:val="center"/>
          </w:tcPr>
          <w:p w14:paraId="0A8D8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auto" w:sz="4" w:space="0"/>
              <w:left w:val="single" w:color="000000" w:sz="4" w:space="0"/>
              <w:bottom w:val="single" w:color="auto" w:sz="4" w:space="0"/>
              <w:right w:val="single" w:color="auto" w:sz="4" w:space="0"/>
            </w:tcBorders>
            <w:shd w:val="clear" w:color="auto" w:fill="auto"/>
            <w:vAlign w:val="center"/>
          </w:tcPr>
          <w:p w14:paraId="33D6B5A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1.坐壳采用全新进口PP+35%玻纤，无缺料、无毛刺，不划手。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2.座垫采用定型海绵，优质高弹力坐布，舒适透气。</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3.椅子可叠摞。</w:t>
            </w:r>
          </w:p>
        </w:tc>
      </w:tr>
      <w:tr w14:paraId="22A2E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63D0F4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934" w:type="dxa"/>
            <w:tcBorders>
              <w:top w:val="single" w:color="auto" w:sz="4" w:space="0"/>
              <w:left w:val="single" w:color="000000" w:sz="4" w:space="0"/>
              <w:bottom w:val="nil"/>
              <w:right w:val="single" w:color="000000" w:sz="4" w:space="0"/>
            </w:tcBorders>
            <w:shd w:val="clear" w:color="auto" w:fill="FFFFFF"/>
            <w:vAlign w:val="center"/>
          </w:tcPr>
          <w:p w14:paraId="13B30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阅览沙发</w:t>
            </w:r>
          </w:p>
        </w:tc>
        <w:tc>
          <w:tcPr>
            <w:tcW w:w="1129" w:type="dxa"/>
            <w:tcBorders>
              <w:top w:val="single" w:color="auto" w:sz="4" w:space="0"/>
              <w:left w:val="single" w:color="000000" w:sz="4" w:space="0"/>
              <w:bottom w:val="nil"/>
              <w:right w:val="single" w:color="000000" w:sz="4" w:space="0"/>
            </w:tcBorders>
            <w:shd w:val="clear" w:color="auto" w:fill="FFFFFF"/>
            <w:vAlign w:val="center"/>
          </w:tcPr>
          <w:p w14:paraId="312063D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540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*240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*670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auto" w:sz="4" w:space="0"/>
              <w:left w:val="single" w:color="000000" w:sz="4" w:space="0"/>
              <w:bottom w:val="nil"/>
              <w:right w:val="single" w:color="000000" w:sz="4" w:space="0"/>
            </w:tcBorders>
            <w:shd w:val="clear" w:color="auto" w:fill="FFFFFF"/>
            <w:vAlign w:val="center"/>
          </w:tcPr>
          <w:p w14:paraId="4B3E94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98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1F332D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auto" w:sz="4" w:space="0"/>
              <w:left w:val="single" w:color="000000" w:sz="4" w:space="0"/>
              <w:bottom w:val="single" w:color="000000" w:sz="4" w:space="0"/>
              <w:right w:val="single" w:color="000000" w:sz="4" w:space="0"/>
            </w:tcBorders>
            <w:shd w:val="clear" w:color="auto" w:fill="auto"/>
            <w:vAlign w:val="center"/>
          </w:tcPr>
          <w:p w14:paraId="498A146B">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1.优质麻绒面料覆面，柔软细腻，触感舒适；防污、防静电、阻燃特性；不起球、不褪色。</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2.内部填充采用高密度海绵，久坐不塌陷、不易变形；</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3.内框架采用实木多层板框架，抗弯强度高，防潮防开裂；整体一体裁切成型，预留储物镂空仓结构，框架边角倒圆角处理，杜绝尖锐棱角。</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4.配置一体小茶几，茶几支撑柱采用优质冷轧钢管，壁厚≥1.2mm；表面经脱脂、磷化、静电环氧粉末喷涂处理，涂层附着力 1 级，耐盐雾测试≥500h，防锈耐腐蚀；弯管一体成型无焊接毛刺，茶几固定于坐凳框架预留安装位，结构稳固无晃动。茶几面采用ENF级三聚氰胺板。坐凳底部加装黑色静音防滑橡胶脚垫，耐磨减震，防止挪动刮伤地面，同时增加整体放置稳定性。</w:t>
            </w:r>
          </w:p>
        </w:tc>
      </w:tr>
      <w:tr w14:paraId="4542D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0" w:hRule="atLeast"/>
        </w:trPr>
        <w:tc>
          <w:tcPr>
            <w:tcW w:w="624" w:type="dxa"/>
            <w:tcBorders>
              <w:top w:val="single" w:color="000000" w:sz="4" w:space="0"/>
              <w:left w:val="single" w:color="000000" w:sz="4" w:space="0"/>
              <w:bottom w:val="single" w:color="auto" w:sz="4" w:space="0"/>
              <w:right w:val="nil"/>
            </w:tcBorders>
            <w:shd w:val="clear" w:color="auto" w:fill="FFFFFF"/>
            <w:noWrap/>
            <w:vAlign w:val="center"/>
          </w:tcPr>
          <w:p w14:paraId="02B20C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934"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F365A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豆袋沙发</w:t>
            </w:r>
          </w:p>
        </w:tc>
        <w:tc>
          <w:tcPr>
            <w:tcW w:w="1129" w:type="dxa"/>
            <w:tcBorders>
              <w:top w:val="single" w:color="000000" w:sz="4" w:space="0"/>
              <w:left w:val="single" w:color="000000" w:sz="4" w:space="0"/>
              <w:bottom w:val="single" w:color="auto" w:sz="4" w:space="0"/>
              <w:right w:val="single" w:color="000000" w:sz="4" w:space="0"/>
            </w:tcBorders>
            <w:shd w:val="clear" w:color="auto" w:fill="FFFFFF"/>
            <w:vAlign w:val="center"/>
          </w:tcPr>
          <w:p w14:paraId="6FEDFE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常规（大）</w:t>
            </w:r>
          </w:p>
        </w:tc>
        <w:tc>
          <w:tcPr>
            <w:tcW w:w="78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79D6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98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0BB8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8368E">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1.优质麻绒面料覆面，柔软细腻，触感舒适。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2.配套独立无纺布内胆袋，100% 聚丙烯全新无纺布，克重≥80g/㎡，防尘、防漏颗粒，阻隔填充物外渗，缝线密实不跑珠。</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3.带布带拉手，可轻松拖拉换位置。</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4.尼龙隐形拉链，反复开合无卡顿、不易氧化生锈；同面料一体包边工艺，无硬质塑料硬条，久坐无硌感。</w:t>
            </w:r>
          </w:p>
        </w:tc>
      </w:tr>
      <w:tr w14:paraId="05E11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trPr>
        <w:tc>
          <w:tcPr>
            <w:tcW w:w="624" w:type="dxa"/>
            <w:tcBorders>
              <w:top w:val="single" w:color="auto" w:sz="4" w:space="0"/>
              <w:left w:val="single" w:color="auto" w:sz="4" w:space="0"/>
              <w:bottom w:val="single" w:color="auto" w:sz="4" w:space="0"/>
              <w:right w:val="nil"/>
            </w:tcBorders>
            <w:shd w:val="clear" w:color="auto" w:fill="FFFFFF"/>
            <w:noWrap/>
            <w:vAlign w:val="center"/>
          </w:tcPr>
          <w:p w14:paraId="42534F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34" w:type="dxa"/>
            <w:tcBorders>
              <w:top w:val="single" w:color="auto" w:sz="4" w:space="0"/>
              <w:left w:val="single" w:color="000000" w:sz="4" w:space="0"/>
              <w:bottom w:val="single" w:color="auto" w:sz="4" w:space="0"/>
              <w:right w:val="single" w:color="000000" w:sz="4" w:space="0"/>
            </w:tcBorders>
            <w:shd w:val="clear" w:color="auto" w:fill="FFFFFF"/>
            <w:vAlign w:val="center"/>
          </w:tcPr>
          <w:p w14:paraId="63FC8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定制书柜</w:t>
            </w:r>
          </w:p>
        </w:tc>
        <w:tc>
          <w:tcPr>
            <w:tcW w:w="1129" w:type="dxa"/>
            <w:tcBorders>
              <w:top w:val="single" w:color="auto" w:sz="4" w:space="0"/>
              <w:left w:val="single" w:color="000000" w:sz="4" w:space="0"/>
              <w:bottom w:val="single" w:color="auto" w:sz="4" w:space="0"/>
              <w:right w:val="single" w:color="000000" w:sz="4" w:space="0"/>
            </w:tcBorders>
            <w:shd w:val="clear" w:color="auto" w:fill="FFFFFF"/>
            <w:vAlign w:val="center"/>
          </w:tcPr>
          <w:p w14:paraId="734AC6D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1200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*400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*1200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auto" w:sz="4" w:space="0"/>
              <w:left w:val="single" w:color="000000" w:sz="4" w:space="0"/>
              <w:bottom w:val="single" w:color="auto" w:sz="4" w:space="0"/>
              <w:right w:val="single" w:color="000000" w:sz="4" w:space="0"/>
            </w:tcBorders>
            <w:shd w:val="clear" w:color="auto" w:fill="FFFFFF"/>
            <w:vAlign w:val="center"/>
          </w:tcPr>
          <w:p w14:paraId="4ECA6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 </w:t>
            </w:r>
          </w:p>
        </w:tc>
        <w:tc>
          <w:tcPr>
            <w:tcW w:w="986" w:type="dxa"/>
            <w:tcBorders>
              <w:top w:val="single" w:color="auto" w:sz="4" w:space="0"/>
              <w:left w:val="single" w:color="000000" w:sz="4" w:space="0"/>
              <w:bottom w:val="single" w:color="auto" w:sz="4" w:space="0"/>
              <w:right w:val="single" w:color="auto" w:sz="4" w:space="0"/>
            </w:tcBorders>
            <w:shd w:val="clear" w:color="auto" w:fill="FFFFFF"/>
            <w:vAlign w:val="center"/>
          </w:tcPr>
          <w:p w14:paraId="53D273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auto" w:sz="4" w:space="0"/>
              <w:bottom w:val="single" w:color="000000" w:sz="4" w:space="0"/>
              <w:right w:val="single" w:color="000000" w:sz="4" w:space="0"/>
            </w:tcBorders>
            <w:shd w:val="clear" w:color="auto" w:fill="auto"/>
            <w:vAlign w:val="center"/>
          </w:tcPr>
          <w:p w14:paraId="3051EA6E">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1.选用ENF级三聚氰胺饰面刨花板，甲醛释放量≤0.025mg/m³；成品甲醛、苯、甲苯、二甲苯、TVOC等释放量满足GB/T 35607-2017绿色产品评价家具要求。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所有板件双贴面，封四边（隐藏部位均封闭处理）所有外部封边采用与板件颜色、纹理配套的同色优质激光（ABS）封边条，厚度≥1mm，封边无胶水外溢现象，封边严密平整，线条均匀，转角过渡自然，不易变形及开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4.采用</w:t>
            </w:r>
            <w:r>
              <w:rPr>
                <w:rFonts w:hint="eastAsia" w:ascii="宋体" w:hAnsi="宋体" w:cs="宋体"/>
                <w:i w:val="0"/>
                <w:iCs w:val="0"/>
                <w:color w:val="000000"/>
                <w:kern w:val="0"/>
                <w:sz w:val="16"/>
                <w:szCs w:val="16"/>
                <w:u w:val="none"/>
                <w:lang w:val="en-US" w:eastAsia="zh-CN" w:bidi="ar"/>
              </w:rPr>
              <w:t>优质</w:t>
            </w:r>
            <w:r>
              <w:rPr>
                <w:rFonts w:hint="eastAsia" w:ascii="宋体" w:hAnsi="宋体" w:eastAsia="宋体" w:cs="宋体"/>
                <w:i w:val="0"/>
                <w:iCs w:val="0"/>
                <w:color w:val="000000"/>
                <w:kern w:val="0"/>
                <w:sz w:val="16"/>
                <w:szCs w:val="16"/>
                <w:u w:val="none"/>
                <w:lang w:val="en-US" w:eastAsia="zh-CN" w:bidi="ar"/>
              </w:rPr>
              <w:t>铰链、连接件、三节导轨等；铰链符合QB/T2189-2013家具五金杯状暗铰链，下沉量≤1mm，耐腐蚀等级≥10级。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5.柜体结构满足展示及储物要求，展示区域隔板内嵌灯带。</w:t>
            </w:r>
          </w:p>
        </w:tc>
      </w:tr>
      <w:tr w14:paraId="3CC7C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0" w:hRule="atLeast"/>
        </w:trPr>
        <w:tc>
          <w:tcPr>
            <w:tcW w:w="624" w:type="dxa"/>
            <w:tcBorders>
              <w:top w:val="single" w:color="auto" w:sz="4" w:space="0"/>
              <w:left w:val="single" w:color="000000" w:sz="4" w:space="0"/>
              <w:bottom w:val="single" w:color="000000" w:sz="4" w:space="0"/>
              <w:right w:val="nil"/>
            </w:tcBorders>
            <w:shd w:val="clear" w:color="auto" w:fill="FFFFFF"/>
            <w:noWrap/>
            <w:vAlign w:val="center"/>
          </w:tcPr>
          <w:p w14:paraId="673A79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934" w:type="dxa"/>
            <w:tcBorders>
              <w:top w:val="single" w:color="auto" w:sz="4" w:space="0"/>
              <w:left w:val="single" w:color="000000" w:sz="4" w:space="0"/>
              <w:bottom w:val="nil"/>
              <w:right w:val="single" w:color="000000" w:sz="4" w:space="0"/>
            </w:tcBorders>
            <w:shd w:val="clear" w:color="auto" w:fill="FFFFFF"/>
            <w:vAlign w:val="center"/>
          </w:tcPr>
          <w:p w14:paraId="637E95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定制等候桌</w:t>
            </w:r>
          </w:p>
        </w:tc>
        <w:tc>
          <w:tcPr>
            <w:tcW w:w="1129" w:type="dxa"/>
            <w:tcBorders>
              <w:top w:val="single" w:color="auto" w:sz="4" w:space="0"/>
              <w:left w:val="single" w:color="000000" w:sz="4" w:space="0"/>
              <w:bottom w:val="nil"/>
              <w:right w:val="single" w:color="000000" w:sz="4" w:space="0"/>
            </w:tcBorders>
            <w:shd w:val="clear" w:color="auto" w:fill="FFFFFF"/>
            <w:vAlign w:val="center"/>
          </w:tcPr>
          <w:p w14:paraId="5394BAC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*800</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*600</w:t>
            </w:r>
            <w:r>
              <w:rPr>
                <w:rFonts w:hint="eastAsia" w:ascii="宋体" w:hAnsi="宋体" w:cs="宋体"/>
                <w:i w:val="0"/>
                <w:iCs w:val="0"/>
                <w:color w:val="000000"/>
                <w:kern w:val="0"/>
                <w:sz w:val="22"/>
                <w:szCs w:val="22"/>
                <w:u w:val="none"/>
                <w:lang w:val="en-US" w:eastAsia="zh-CN" w:bidi="ar"/>
              </w:rPr>
              <w:t>mm</w:t>
            </w:r>
          </w:p>
        </w:tc>
        <w:tc>
          <w:tcPr>
            <w:tcW w:w="786" w:type="dxa"/>
            <w:tcBorders>
              <w:top w:val="single" w:color="auto" w:sz="4" w:space="0"/>
              <w:left w:val="single" w:color="000000" w:sz="4" w:space="0"/>
              <w:bottom w:val="nil"/>
              <w:right w:val="single" w:color="000000" w:sz="4" w:space="0"/>
            </w:tcBorders>
            <w:shd w:val="clear" w:color="auto" w:fill="FFFFFF"/>
            <w:vAlign w:val="center"/>
          </w:tcPr>
          <w:p w14:paraId="7FB7A8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98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0D97FA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5A4F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1.选用ENF级三聚氰胺饰面刨花板，甲醛释放量≤0.025mg/m³；成品甲醛、苯、甲苯、二甲苯、TVOC等释放量满足GB/T 35607-2017绿色产品评价家具要求。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所有板件双贴面，封四边（隐藏部位均封闭处理）所有外部封边采用与板件颜色、纹理配套的同色优质激光（ABS）封边条，厚度≥1mm，封边无胶水外溢现象，封边严密平整，线条均匀，转角过渡自然，不易变形及开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3.环保水基型胶黏剂，符合GB18583-2008室内装饰装修材料胶黏剂中有害物质限量；游离甲醛≤0.05g/kg；苯≤0.02g/kg；甲苯+二甲苯≤0.02g/kg；</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4.钢制桌架，表面喷塑处理，配尼龙脚垫。</w:t>
            </w:r>
          </w:p>
        </w:tc>
      </w:tr>
      <w:tr w14:paraId="35A9D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5" w:hRule="atLeast"/>
        </w:trPr>
        <w:tc>
          <w:tcPr>
            <w:tcW w:w="624" w:type="dxa"/>
            <w:tcBorders>
              <w:top w:val="single" w:color="000000" w:sz="4" w:space="0"/>
              <w:left w:val="single" w:color="000000" w:sz="4" w:space="0"/>
              <w:bottom w:val="single" w:color="000000" w:sz="4" w:space="0"/>
              <w:right w:val="nil"/>
            </w:tcBorders>
            <w:shd w:val="clear" w:color="auto" w:fill="FFFFFF"/>
            <w:noWrap/>
            <w:vAlign w:val="center"/>
          </w:tcPr>
          <w:p w14:paraId="4B1538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934" w:type="dxa"/>
            <w:tcBorders>
              <w:top w:val="single" w:color="000000" w:sz="4" w:space="0"/>
              <w:left w:val="single" w:color="000000" w:sz="4" w:space="0"/>
              <w:bottom w:val="nil"/>
              <w:right w:val="single" w:color="000000" w:sz="4" w:space="0"/>
            </w:tcBorders>
            <w:shd w:val="clear" w:color="auto" w:fill="FFFFFF"/>
            <w:vAlign w:val="center"/>
          </w:tcPr>
          <w:p w14:paraId="2D9C2F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等候沙发</w:t>
            </w:r>
          </w:p>
        </w:tc>
        <w:tc>
          <w:tcPr>
            <w:tcW w:w="1129" w:type="dxa"/>
            <w:tcBorders>
              <w:top w:val="single" w:color="000000" w:sz="4" w:space="0"/>
              <w:left w:val="single" w:color="000000" w:sz="4" w:space="0"/>
              <w:bottom w:val="nil"/>
              <w:right w:val="single" w:color="000000" w:sz="4" w:space="0"/>
            </w:tcBorders>
            <w:shd w:val="clear" w:color="auto" w:fill="FFFFFF"/>
            <w:vAlign w:val="center"/>
          </w:tcPr>
          <w:p w14:paraId="4E1163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常规单人位</w:t>
            </w:r>
          </w:p>
        </w:tc>
        <w:tc>
          <w:tcPr>
            <w:tcW w:w="786" w:type="dxa"/>
            <w:tcBorders>
              <w:top w:val="single" w:color="000000" w:sz="4" w:space="0"/>
              <w:left w:val="single" w:color="000000" w:sz="4" w:space="0"/>
              <w:bottom w:val="nil"/>
              <w:right w:val="single" w:color="000000" w:sz="4" w:space="0"/>
            </w:tcBorders>
            <w:shd w:val="clear" w:color="auto" w:fill="FFFFFF"/>
            <w:vAlign w:val="center"/>
          </w:tcPr>
          <w:p w14:paraId="568D40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B276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11035">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1.优质麻绒面料覆面，柔软细腻，触感舒适。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2.采用优质环保、高回弹阻燃泡棉，座面密度≥40kg/m³；回弹性≥50%；背密度≥25kg/m³；压缩永久变形≤4%，所有内部填充物清洁无异味，弹性强而不坚硬，座感舒适，不易变形。</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3.衬板采用优质弯曲胶合板。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4.金属椅架，壁厚≥1.8mm，金属表面除油，除锈后喷塑处理。</w:t>
            </w:r>
          </w:p>
        </w:tc>
      </w:tr>
      <w:tr w14:paraId="66EC2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24" w:type="dxa"/>
            <w:tcBorders>
              <w:top w:val="single" w:color="000000" w:sz="4" w:space="0"/>
              <w:left w:val="single" w:color="000000" w:sz="4" w:space="0"/>
              <w:bottom w:val="single" w:color="000000" w:sz="4" w:space="0"/>
              <w:right w:val="nil"/>
            </w:tcBorders>
            <w:shd w:val="clear" w:color="auto" w:fill="auto"/>
            <w:noWrap/>
            <w:vAlign w:val="center"/>
          </w:tcPr>
          <w:p w14:paraId="17848B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AA595">
            <w:pPr>
              <w:jc w:val="center"/>
              <w:rPr>
                <w:rFonts w:hint="eastAsia" w:ascii="宋体" w:hAnsi="宋体" w:eastAsia="宋体" w:cs="宋体"/>
                <w:i w:val="0"/>
                <w:iCs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8164">
            <w:pPr>
              <w:jc w:val="center"/>
              <w:rPr>
                <w:rFonts w:hint="eastAsia" w:ascii="宋体" w:hAnsi="宋体" w:eastAsia="宋体" w:cs="宋体"/>
                <w:i w:val="0"/>
                <w:iCs w:val="0"/>
                <w:color w:val="000000"/>
                <w:sz w:val="22"/>
                <w:szCs w:val="22"/>
                <w:u w:val="none"/>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63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597 </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3F8B8">
            <w:pPr>
              <w:jc w:val="center"/>
              <w:rPr>
                <w:rFonts w:hint="eastAsia" w:ascii="宋体" w:hAnsi="宋体" w:eastAsia="宋体" w:cs="宋体"/>
                <w:i w:val="0"/>
                <w:iCs w:val="0"/>
                <w:color w:val="000000"/>
                <w:sz w:val="22"/>
                <w:szCs w:val="22"/>
                <w:u w:val="none"/>
              </w:rPr>
            </w:pPr>
          </w:p>
        </w:tc>
        <w:tc>
          <w:tcPr>
            <w:tcW w:w="4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36258">
            <w:pPr>
              <w:jc w:val="center"/>
              <w:rPr>
                <w:rFonts w:hint="eastAsia" w:ascii="宋体" w:hAnsi="宋体" w:eastAsia="宋体" w:cs="宋体"/>
                <w:i w:val="0"/>
                <w:iCs w:val="0"/>
                <w:color w:val="000000"/>
                <w:sz w:val="16"/>
                <w:szCs w:val="16"/>
                <w:u w:val="none"/>
              </w:rPr>
            </w:pPr>
          </w:p>
        </w:tc>
      </w:tr>
    </w:tbl>
    <w:p w14:paraId="7AA3EA8B">
      <w:pPr>
        <w:pStyle w:val="2"/>
        <w:ind w:left="0" w:leftChars="0" w:firstLine="0" w:firstLineChars="0"/>
        <w:rPr>
          <w:rFonts w:hint="eastAsia" w:hAnsi="宋体" w:cs="宋体"/>
          <w:b/>
          <w:bCs/>
          <w:sz w:val="21"/>
          <w:szCs w:val="21"/>
          <w:lang w:val="en-US" w:eastAsia="zh-CN"/>
        </w:rPr>
      </w:pPr>
    </w:p>
    <w:p w14:paraId="309C3FC9">
      <w:pPr>
        <w:pStyle w:val="2"/>
        <w:ind w:left="375" w:firstLine="0"/>
        <w:rPr>
          <w:rFonts w:hAnsi="宋体" w:cs="宋体"/>
          <w:b w:val="0"/>
          <w:bCs w:val="0"/>
          <w:sz w:val="21"/>
          <w:szCs w:val="21"/>
        </w:rPr>
      </w:pPr>
      <w:r>
        <w:rPr>
          <w:rFonts w:hint="eastAsia" w:hAnsi="宋体" w:cs="宋体"/>
          <w:b w:val="0"/>
          <w:bCs w:val="0"/>
          <w:sz w:val="21"/>
          <w:szCs w:val="21"/>
          <w:lang w:val="en-US" w:eastAsia="zh-CN"/>
        </w:rPr>
        <w:t>5、</w:t>
      </w:r>
      <w:r>
        <w:rPr>
          <w:rFonts w:hint="eastAsia" w:hAnsi="宋体" w:cs="宋体"/>
          <w:b w:val="0"/>
          <w:bCs w:val="0"/>
          <w:sz w:val="21"/>
          <w:szCs w:val="21"/>
        </w:rPr>
        <w:t>项目交付时间和地点：</w:t>
      </w:r>
    </w:p>
    <w:p w14:paraId="50BE96E9">
      <w:pPr>
        <w:pStyle w:val="2"/>
        <w:numPr>
          <w:ilvl w:val="0"/>
          <w:numId w:val="4"/>
        </w:numPr>
        <w:ind w:firstLine="240"/>
        <w:rPr>
          <w:rFonts w:hAnsi="宋体" w:cs="宋体"/>
          <w:sz w:val="21"/>
          <w:szCs w:val="21"/>
          <w:highlight w:val="none"/>
        </w:rPr>
      </w:pPr>
      <w:r>
        <w:rPr>
          <w:rFonts w:hint="eastAsia" w:hAnsi="宋体" w:cs="宋体"/>
          <w:sz w:val="21"/>
          <w:szCs w:val="21"/>
          <w:highlight w:val="none"/>
        </w:rPr>
        <w:t>合同签订生效后</w:t>
      </w:r>
      <w:r>
        <w:rPr>
          <w:rFonts w:hint="eastAsia" w:hAnsi="宋体" w:cs="宋体"/>
          <w:sz w:val="21"/>
          <w:szCs w:val="21"/>
          <w:highlight w:val="none"/>
          <w:lang w:val="en-US" w:eastAsia="zh-CN"/>
        </w:rPr>
        <w:t>90</w:t>
      </w:r>
      <w:r>
        <w:rPr>
          <w:rFonts w:hint="eastAsia" w:hAnsi="宋体" w:cs="宋体"/>
          <w:sz w:val="21"/>
          <w:szCs w:val="21"/>
          <w:highlight w:val="none"/>
        </w:rPr>
        <w:t>个日历日，完成供货、安装、调试、验收等工作。</w:t>
      </w:r>
    </w:p>
    <w:p w14:paraId="59C0003D">
      <w:pPr>
        <w:pStyle w:val="2"/>
        <w:numPr>
          <w:ilvl w:val="0"/>
          <w:numId w:val="4"/>
        </w:numPr>
        <w:ind w:firstLine="240"/>
        <w:rPr>
          <w:rFonts w:hAnsi="宋体" w:cs="宋体"/>
          <w:color w:val="000000"/>
          <w:sz w:val="21"/>
          <w:szCs w:val="21"/>
        </w:rPr>
      </w:pPr>
      <w:r>
        <w:rPr>
          <w:rFonts w:hint="eastAsia" w:hAnsi="宋体" w:cs="宋体"/>
          <w:sz w:val="21"/>
          <w:szCs w:val="21"/>
        </w:rPr>
        <w:t>交货地点：采购人指定地点。</w:t>
      </w:r>
    </w:p>
    <w:p w14:paraId="533B74BE">
      <w:pPr>
        <w:pStyle w:val="2"/>
        <w:numPr>
          <w:ilvl w:val="0"/>
          <w:numId w:val="4"/>
        </w:numPr>
        <w:ind w:firstLine="240"/>
        <w:rPr>
          <w:rFonts w:hAnsi="宋体" w:cs="宋体"/>
          <w:color w:val="000000"/>
          <w:sz w:val="21"/>
          <w:szCs w:val="21"/>
        </w:rPr>
      </w:pPr>
      <w:r>
        <w:rPr>
          <w:rFonts w:hint="eastAsia" w:hAnsi="宋体" w:cs="宋体"/>
          <w:color w:val="000000"/>
          <w:sz w:val="21"/>
          <w:szCs w:val="21"/>
        </w:rPr>
        <w:t>投标人应承诺确保采购人限定的产品供货日期和安装日期。</w:t>
      </w:r>
    </w:p>
    <w:p w14:paraId="02BEADE1">
      <w:pPr>
        <w:pStyle w:val="2"/>
        <w:ind w:firstLine="422"/>
        <w:rPr>
          <w:rFonts w:hint="eastAsia" w:hAnsi="宋体" w:cs="宋体"/>
          <w:b w:val="0"/>
          <w:bCs w:val="0"/>
          <w:color w:val="000000"/>
          <w:kern w:val="44"/>
          <w:sz w:val="21"/>
          <w:szCs w:val="21"/>
          <w:lang w:val="en-US" w:eastAsia="zh-CN"/>
        </w:rPr>
      </w:pPr>
    </w:p>
    <w:p w14:paraId="6671177F">
      <w:pPr>
        <w:pStyle w:val="2"/>
        <w:ind w:firstLine="422"/>
        <w:rPr>
          <w:rFonts w:hAnsi="宋体" w:cs="宋体"/>
          <w:b w:val="0"/>
          <w:bCs w:val="0"/>
          <w:color w:val="000000"/>
          <w:kern w:val="44"/>
          <w:sz w:val="21"/>
          <w:szCs w:val="21"/>
        </w:rPr>
      </w:pPr>
      <w:r>
        <w:rPr>
          <w:rFonts w:hint="eastAsia" w:hAnsi="宋体" w:cs="宋体"/>
          <w:b w:val="0"/>
          <w:bCs w:val="0"/>
          <w:color w:val="000000"/>
          <w:kern w:val="44"/>
          <w:sz w:val="21"/>
          <w:szCs w:val="21"/>
          <w:lang w:val="en-US" w:eastAsia="zh-CN"/>
        </w:rPr>
        <w:t>6</w:t>
      </w:r>
      <w:r>
        <w:rPr>
          <w:rFonts w:hint="eastAsia" w:hAnsi="宋体" w:cs="宋体"/>
          <w:b w:val="0"/>
          <w:bCs w:val="0"/>
          <w:color w:val="000000"/>
          <w:kern w:val="44"/>
          <w:sz w:val="21"/>
          <w:szCs w:val="21"/>
        </w:rPr>
        <w:t>、采购标的的其他技术、服务等要求</w:t>
      </w:r>
    </w:p>
    <w:p w14:paraId="3BADC432">
      <w:pPr>
        <w:pStyle w:val="2"/>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cs="宋体"/>
          <w:sz w:val="21"/>
          <w:szCs w:val="21"/>
        </w:rPr>
      </w:pPr>
      <w:r>
        <w:rPr>
          <w:rFonts w:hint="eastAsia" w:ascii="宋体" w:hAnsi="宋体" w:cs="宋体"/>
          <w:sz w:val="21"/>
          <w:szCs w:val="21"/>
        </w:rPr>
        <w:t>投标文件中须提供牛皮、中密度纤维板、刨花板、胶合板、面料</w:t>
      </w:r>
      <w:r>
        <w:rPr>
          <w:rFonts w:hint="eastAsia" w:ascii="宋体" w:hAnsi="宋体" w:cs="宋体"/>
          <w:sz w:val="21"/>
          <w:szCs w:val="21"/>
          <w:lang w:eastAsia="zh-CN"/>
        </w:rPr>
        <w:t>（</w:t>
      </w:r>
      <w:r>
        <w:rPr>
          <w:rFonts w:hint="eastAsia" w:ascii="宋体" w:hAnsi="宋体" w:cs="宋体"/>
          <w:sz w:val="21"/>
          <w:szCs w:val="21"/>
        </w:rPr>
        <w:t>阻燃</w:t>
      </w:r>
      <w:r>
        <w:rPr>
          <w:rFonts w:hint="eastAsia" w:ascii="宋体" w:hAnsi="宋体" w:cs="宋体"/>
          <w:sz w:val="21"/>
          <w:szCs w:val="21"/>
          <w:lang w:eastAsia="zh-CN"/>
        </w:rPr>
        <w:t>）</w:t>
      </w:r>
      <w:r>
        <w:rPr>
          <w:rFonts w:hint="eastAsia" w:ascii="宋体" w:hAnsi="宋体" w:cs="宋体"/>
          <w:sz w:val="21"/>
          <w:szCs w:val="21"/>
        </w:rPr>
        <w:t>、水性底漆、水性面漆、</w:t>
      </w:r>
      <w:r>
        <w:rPr>
          <w:rFonts w:hint="eastAsia" w:ascii="宋体" w:hAnsi="宋体" w:cs="宋体"/>
          <w:color w:val="auto"/>
          <w:sz w:val="21"/>
          <w:szCs w:val="21"/>
          <w:lang w:val="en-US" w:eastAsia="zh-CN"/>
        </w:rPr>
        <w:t>水基型胶黏剂</w:t>
      </w:r>
      <w:r>
        <w:rPr>
          <w:rFonts w:hint="eastAsia" w:ascii="宋体" w:hAnsi="宋体" w:cs="宋体"/>
          <w:sz w:val="21"/>
          <w:szCs w:val="21"/>
        </w:rPr>
        <w:t>、</w:t>
      </w:r>
      <w:r>
        <w:rPr>
          <w:rFonts w:hint="eastAsia" w:ascii="宋体" w:hAnsi="宋体" w:cs="宋体"/>
          <w:color w:val="auto"/>
          <w:sz w:val="21"/>
          <w:szCs w:val="21"/>
        </w:rPr>
        <w:t>激光（ABS）封边条</w:t>
      </w:r>
      <w:r>
        <w:rPr>
          <w:rFonts w:hint="eastAsia" w:ascii="宋体" w:hAnsi="宋体" w:cs="宋体"/>
          <w:sz w:val="21"/>
          <w:szCs w:val="21"/>
        </w:rPr>
        <w:t>、木皮、实木封边条、</w:t>
      </w:r>
      <w:r>
        <w:rPr>
          <w:rFonts w:hint="eastAsia" w:ascii="宋体" w:hAnsi="宋体" w:cs="宋体"/>
          <w:b w:val="0"/>
          <w:bCs w:val="0"/>
          <w:color w:val="auto"/>
          <w:sz w:val="21"/>
          <w:szCs w:val="21"/>
          <w:lang w:val="en-US" w:eastAsia="zh-CN"/>
        </w:rPr>
        <w:t>转椅底盘</w:t>
      </w:r>
      <w:r>
        <w:rPr>
          <w:rFonts w:hint="eastAsia" w:ascii="宋体" w:hAnsi="宋体" w:cs="宋体"/>
          <w:sz w:val="21"/>
          <w:szCs w:val="21"/>
        </w:rPr>
        <w:t>、气压棒、静音阻尼铰链、锁具等材料和配件的</w:t>
      </w:r>
      <w:r>
        <w:rPr>
          <w:rFonts w:hint="eastAsia" w:ascii="宋体" w:hAnsi="宋体" w:cs="宋体"/>
          <w:sz w:val="21"/>
          <w:szCs w:val="21"/>
          <w:lang w:bidi="ar"/>
        </w:rPr>
        <w:t>投标人提供国家认可认证（检测）机构出具的</w:t>
      </w:r>
      <w:r>
        <w:rPr>
          <w:rFonts w:hint="eastAsia" w:ascii="宋体" w:hAnsi="宋体" w:cs="宋体"/>
          <w:sz w:val="21"/>
          <w:szCs w:val="21"/>
        </w:rPr>
        <w:t>原辅材料的检验报告。</w:t>
      </w:r>
    </w:p>
    <w:p w14:paraId="0338D2E8">
      <w:pPr>
        <w:topLinePunct/>
        <w:ind w:firstLine="422" w:firstLineChars="200"/>
        <w:rPr>
          <w:rFonts w:ascii="宋体" w:hAnsi="宋体" w:cs="宋体"/>
          <w:b/>
          <w:color w:val="000000"/>
          <w:sz w:val="21"/>
          <w:szCs w:val="21"/>
        </w:rPr>
      </w:pPr>
      <w:r>
        <w:rPr>
          <w:rFonts w:hint="eastAsia" w:ascii="宋体" w:hAnsi="宋体" w:cs="宋体"/>
          <w:b/>
          <w:color w:val="000000"/>
          <w:sz w:val="21"/>
          <w:szCs w:val="21"/>
          <w:lang w:val="en-US" w:eastAsia="zh-CN"/>
        </w:rPr>
        <w:t>四</w:t>
      </w:r>
      <w:r>
        <w:rPr>
          <w:rFonts w:hint="eastAsia" w:ascii="宋体" w:hAnsi="宋体" w:cs="宋体"/>
          <w:b/>
          <w:color w:val="000000"/>
          <w:sz w:val="21"/>
          <w:szCs w:val="21"/>
        </w:rPr>
        <w:t>、售后服务要求</w:t>
      </w:r>
    </w:p>
    <w:p w14:paraId="4F392BBB">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1、质保期自验收合格之日起不</w:t>
      </w:r>
      <w:r>
        <w:rPr>
          <w:rFonts w:hint="eastAsia" w:ascii="宋体" w:hAnsi="宋体" w:cs="宋体"/>
          <w:color w:val="auto"/>
          <w:sz w:val="21"/>
          <w:szCs w:val="21"/>
        </w:rPr>
        <w:t>少于</w:t>
      </w:r>
      <w:r>
        <w:rPr>
          <w:rFonts w:hint="eastAsia" w:ascii="宋体" w:hAnsi="宋体" w:cs="宋体"/>
          <w:b w:val="0"/>
          <w:bCs w:val="0"/>
          <w:color w:val="auto"/>
          <w:sz w:val="21"/>
          <w:szCs w:val="21"/>
        </w:rPr>
        <w:t>六</w:t>
      </w:r>
      <w:r>
        <w:rPr>
          <w:rFonts w:hint="eastAsia" w:ascii="宋体" w:hAnsi="宋体" w:cs="宋体"/>
          <w:color w:val="auto"/>
          <w:sz w:val="21"/>
          <w:szCs w:val="21"/>
        </w:rPr>
        <w:t>年</w:t>
      </w:r>
      <w:r>
        <w:rPr>
          <w:rFonts w:hint="eastAsia" w:ascii="宋体" w:hAnsi="宋体" w:cs="宋体"/>
          <w:color w:val="000000"/>
          <w:sz w:val="21"/>
          <w:szCs w:val="21"/>
        </w:rPr>
        <w:t>，即产品在正常使用情况下发生质量问题时，投标人应按采购人的要求，负责对产品实行包修、包换、包退；投标人应负责更换包括但不限于易损件、五金件和产品日常维护保养。质保期内由于质量问题导致产品无法正常使用，投标人应接到采购人通知后按照售后服务承诺及时免费维修或更换产品，并对由于设计、工艺或材料的缺陷而发生的任何不足或故障负责，因此引发的相关风险和产生的费用将由中标人承担。</w:t>
      </w:r>
    </w:p>
    <w:p w14:paraId="4232B819">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2、投标人确保对采购人提出的保修等质量信息，做到2小时内电话响应，对采购人提出的保修等质量信息，做到8小时内服务到位，组织维修和专业服务队伍到达现场，对产品进行保修服务。48小时内未能修复，应提供备用家具应急支持。</w:t>
      </w:r>
    </w:p>
    <w:p w14:paraId="02A2683A">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3、投标人应明示售后服务中心地址、电话、负责人和服务组织机构，应设置24小时服务热线电话。</w:t>
      </w:r>
    </w:p>
    <w:p w14:paraId="5FD3079C">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4、投标人承诺提供定期巡检服务和三包期满后按优惠价格提供易损件。</w:t>
      </w:r>
    </w:p>
    <w:p w14:paraId="0E895EE9">
      <w:pPr>
        <w:pStyle w:val="2"/>
        <w:ind w:firstLine="422"/>
        <w:rPr>
          <w:rFonts w:hAnsi="宋体" w:cs="宋体"/>
          <w:b/>
          <w:color w:val="FF0000"/>
          <w:sz w:val="21"/>
          <w:szCs w:val="21"/>
        </w:rPr>
      </w:pPr>
      <w:r>
        <w:rPr>
          <w:rFonts w:hint="eastAsia" w:hAnsi="宋体" w:cs="宋体"/>
          <w:b/>
          <w:bCs/>
          <w:color w:val="000000"/>
          <w:sz w:val="21"/>
          <w:szCs w:val="21"/>
          <w:lang w:val="en-US" w:eastAsia="zh-CN"/>
        </w:rPr>
        <w:t>五</w:t>
      </w:r>
      <w:r>
        <w:rPr>
          <w:rFonts w:hint="eastAsia" w:hAnsi="宋体" w:cs="宋体"/>
          <w:b/>
          <w:bCs/>
          <w:color w:val="000000"/>
          <w:sz w:val="21"/>
          <w:szCs w:val="21"/>
        </w:rPr>
        <w:t>、</w:t>
      </w:r>
      <w:r>
        <w:rPr>
          <w:rFonts w:hint="eastAsia" w:hAnsi="宋体" w:cs="宋体"/>
          <w:b/>
          <w:color w:val="000000"/>
          <w:sz w:val="21"/>
          <w:szCs w:val="21"/>
        </w:rPr>
        <w:t>验收服务要求</w:t>
      </w:r>
    </w:p>
    <w:p w14:paraId="2AC33096">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1、根据招标文件要求、投标文件承诺、合同及质量检验机构出具的最终检验报告作为验收中标产品的依据。</w:t>
      </w:r>
    </w:p>
    <w:p w14:paraId="0A647246">
      <w:pPr>
        <w:spacing w:line="360" w:lineRule="auto"/>
        <w:ind w:firstLine="420" w:firstLineChars="200"/>
        <w:rPr>
          <w:rFonts w:ascii="宋体" w:hAnsi="宋体" w:cs="宋体"/>
          <w:sz w:val="21"/>
          <w:szCs w:val="21"/>
        </w:rPr>
      </w:pPr>
      <w:r>
        <w:rPr>
          <w:rFonts w:hint="eastAsia" w:ascii="宋体" w:hAnsi="宋体" w:cs="宋体"/>
          <w:sz w:val="21"/>
          <w:szCs w:val="21"/>
        </w:rPr>
        <w:t>2、所供产品的规格、数量符合招标文件供应商投标承诺及采购合同约定的要求。</w:t>
      </w:r>
    </w:p>
    <w:p w14:paraId="5431EDF3">
      <w:pPr>
        <w:spacing w:line="360" w:lineRule="auto"/>
        <w:ind w:firstLine="420" w:firstLineChars="200"/>
        <w:rPr>
          <w:rFonts w:ascii="宋体" w:hAnsi="宋体" w:cs="宋体"/>
          <w:sz w:val="21"/>
          <w:szCs w:val="21"/>
        </w:rPr>
      </w:pPr>
      <w:r>
        <w:rPr>
          <w:rFonts w:hint="eastAsia" w:ascii="宋体" w:hAnsi="宋体" w:cs="宋体"/>
          <w:sz w:val="21"/>
          <w:szCs w:val="21"/>
        </w:rPr>
        <w:t>3、所供产品的材质、颜色符合招标文件供应商投标承诺及采购合同约定的要求。</w:t>
      </w:r>
    </w:p>
    <w:p w14:paraId="66488113">
      <w:pPr>
        <w:spacing w:line="360" w:lineRule="auto"/>
        <w:ind w:firstLine="420" w:firstLineChars="200"/>
        <w:rPr>
          <w:rFonts w:ascii="宋体" w:hAnsi="宋体" w:cs="宋体"/>
          <w:sz w:val="21"/>
          <w:szCs w:val="21"/>
        </w:rPr>
      </w:pPr>
      <w:r>
        <w:rPr>
          <w:rFonts w:hint="eastAsia" w:ascii="宋体" w:hAnsi="宋体" w:cs="宋体"/>
          <w:sz w:val="21"/>
          <w:szCs w:val="21"/>
        </w:rPr>
        <w:t>4、所供产品的外观完好，无严重碰撞、表皮脱落、五金件生锈等明显瑕疵。</w:t>
      </w:r>
    </w:p>
    <w:p w14:paraId="03595F18">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5、所供产品结构牢固，无安全隐患。</w:t>
      </w:r>
    </w:p>
    <w:p w14:paraId="4D962666">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6、所有产品均已运输至指定地点，并安装调试完毕。</w:t>
      </w:r>
    </w:p>
    <w:p w14:paraId="0FD916B7">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7、供应商投标承诺及采购合同约定的附件、工具、技术资料等齐全；提供产品使用说明书、合格证。</w:t>
      </w:r>
    </w:p>
    <w:p w14:paraId="2E5A36FE">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8、本项目所有家具原辅材料须满足相关国标，若不同标准要求出现冲突时，以最严格的标准为准。</w:t>
      </w:r>
    </w:p>
    <w:p w14:paraId="74A4356A">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9、采购人将对家具生产情况进行监督检查，有权在中标人生产、安装、验收等阶段委托国家权威检测机构对本项目原辅材料和成品进行抽样检测，检测费用由中标人承担。不符合招标文件、投标文件、采购合同和相关标准要求的将不予验收，检测不合格的，采购人将拒绝验收，且全部家具做返厂处理，所发生费用由中标人承担并赔偿采购人的所有损失。</w:t>
      </w:r>
    </w:p>
    <w:p w14:paraId="11861E32">
      <w:pPr>
        <w:topLinePunct/>
        <w:ind w:firstLine="422" w:firstLineChars="200"/>
        <w:rPr>
          <w:rFonts w:ascii="宋体" w:hAnsi="宋体" w:cs="宋体"/>
          <w:b/>
          <w:color w:val="000000"/>
          <w:sz w:val="21"/>
          <w:szCs w:val="21"/>
        </w:rPr>
      </w:pPr>
      <w:r>
        <w:rPr>
          <w:rFonts w:hint="eastAsia" w:ascii="宋体" w:hAnsi="宋体" w:cs="宋体"/>
          <w:b/>
          <w:color w:val="000000"/>
          <w:sz w:val="21"/>
          <w:szCs w:val="21"/>
          <w:lang w:val="en-US" w:eastAsia="zh-CN"/>
        </w:rPr>
        <w:t>六</w:t>
      </w:r>
      <w:r>
        <w:rPr>
          <w:rFonts w:hint="eastAsia" w:ascii="宋体" w:hAnsi="宋体" w:cs="宋体"/>
          <w:b/>
          <w:color w:val="000000"/>
          <w:sz w:val="21"/>
          <w:szCs w:val="21"/>
        </w:rPr>
        <w:t>、付款方式</w:t>
      </w:r>
    </w:p>
    <w:p w14:paraId="102F658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b w:val="0"/>
          <w:bCs w:val="0"/>
          <w:color w:val="auto"/>
          <w:sz w:val="21"/>
          <w:szCs w:val="21"/>
        </w:rPr>
      </w:pPr>
      <w:r>
        <w:rPr>
          <w:rFonts w:hint="eastAsia"/>
          <w:b w:val="0"/>
          <w:bCs w:val="0"/>
          <w:color w:val="auto"/>
          <w:sz w:val="21"/>
          <w:szCs w:val="21"/>
        </w:rPr>
        <w:t>1、签订服务合同后</w:t>
      </w:r>
      <w:r>
        <w:rPr>
          <w:rFonts w:hint="eastAsia"/>
          <w:b w:val="0"/>
          <w:bCs w:val="0"/>
          <w:color w:val="auto"/>
          <w:sz w:val="21"/>
          <w:szCs w:val="21"/>
          <w:u w:val="single"/>
        </w:rPr>
        <w:t>5</w:t>
      </w:r>
      <w:r>
        <w:rPr>
          <w:rFonts w:hint="eastAsia"/>
          <w:b w:val="0"/>
          <w:bCs w:val="0"/>
          <w:color w:val="auto"/>
          <w:sz w:val="21"/>
          <w:szCs w:val="21"/>
        </w:rPr>
        <w:t>个工作日内，</w:t>
      </w:r>
      <w:r>
        <w:rPr>
          <w:rFonts w:hint="eastAsia"/>
          <w:b w:val="0"/>
          <w:bCs w:val="0"/>
          <w:color w:val="auto"/>
          <w:sz w:val="21"/>
          <w:szCs w:val="21"/>
          <w:lang w:eastAsia="zh-CN"/>
        </w:rPr>
        <w:t>中标人</w:t>
      </w:r>
      <w:r>
        <w:rPr>
          <w:rFonts w:hint="eastAsia"/>
          <w:b w:val="0"/>
          <w:bCs w:val="0"/>
          <w:color w:val="auto"/>
          <w:sz w:val="21"/>
          <w:szCs w:val="21"/>
          <w:lang w:val="en-US" w:eastAsia="zh-CN"/>
        </w:rPr>
        <w:t>以</w:t>
      </w:r>
      <w:r>
        <w:rPr>
          <w:rFonts w:hint="eastAsia"/>
          <w:b w:val="0"/>
          <w:bCs w:val="0"/>
          <w:color w:val="auto"/>
          <w:sz w:val="21"/>
          <w:szCs w:val="21"/>
          <w:u w:val="single"/>
          <w:lang w:val="en-US" w:eastAsia="zh-CN"/>
        </w:rPr>
        <w:t>保函</w:t>
      </w:r>
      <w:r>
        <w:rPr>
          <w:rFonts w:hint="eastAsia"/>
          <w:b w:val="0"/>
          <w:bCs w:val="0"/>
          <w:color w:val="auto"/>
          <w:sz w:val="21"/>
          <w:szCs w:val="21"/>
          <w:u w:val="none"/>
          <w:lang w:val="en-US" w:eastAsia="zh-CN"/>
        </w:rPr>
        <w:t>形式</w:t>
      </w:r>
      <w:r>
        <w:rPr>
          <w:rFonts w:hint="eastAsia"/>
          <w:b w:val="0"/>
          <w:bCs w:val="0"/>
          <w:color w:val="auto"/>
          <w:sz w:val="21"/>
          <w:szCs w:val="21"/>
        </w:rPr>
        <w:t>向</w:t>
      </w:r>
      <w:r>
        <w:rPr>
          <w:rFonts w:hint="eastAsia"/>
          <w:b w:val="0"/>
          <w:bCs w:val="0"/>
          <w:color w:val="auto"/>
          <w:sz w:val="21"/>
          <w:szCs w:val="21"/>
          <w:lang w:eastAsia="zh-CN"/>
        </w:rPr>
        <w:t>采购人</w:t>
      </w:r>
      <w:r>
        <w:rPr>
          <w:rFonts w:hint="eastAsia"/>
          <w:b w:val="0"/>
          <w:bCs w:val="0"/>
          <w:color w:val="auto"/>
          <w:sz w:val="21"/>
          <w:szCs w:val="21"/>
        </w:rPr>
        <w:t>支付合同金额的</w:t>
      </w:r>
      <w:r>
        <w:rPr>
          <w:rFonts w:hint="eastAsia"/>
          <w:b w:val="0"/>
          <w:bCs w:val="0"/>
          <w:color w:val="auto"/>
          <w:sz w:val="21"/>
          <w:szCs w:val="21"/>
          <w:u w:val="single"/>
          <w:lang w:val="en-US" w:eastAsia="zh-CN"/>
        </w:rPr>
        <w:t>10</w:t>
      </w:r>
      <w:r>
        <w:rPr>
          <w:rFonts w:hint="eastAsia"/>
          <w:b w:val="0"/>
          <w:bCs w:val="0"/>
          <w:color w:val="auto"/>
          <w:sz w:val="21"/>
          <w:szCs w:val="21"/>
          <w:u w:val="single"/>
        </w:rPr>
        <w:t>%</w:t>
      </w:r>
      <w:r>
        <w:rPr>
          <w:rFonts w:hint="eastAsia"/>
          <w:b w:val="0"/>
          <w:bCs w:val="0"/>
          <w:color w:val="auto"/>
          <w:sz w:val="21"/>
          <w:szCs w:val="21"/>
          <w:lang w:val="en-US" w:eastAsia="zh-CN"/>
        </w:rPr>
        <w:t>作为履约保证金</w:t>
      </w:r>
      <w:r>
        <w:rPr>
          <w:rFonts w:hint="eastAsia"/>
          <w:b w:val="0"/>
          <w:bCs w:val="0"/>
          <w:color w:val="auto"/>
          <w:sz w:val="21"/>
          <w:szCs w:val="21"/>
        </w:rPr>
        <w:t>，</w:t>
      </w:r>
      <w:r>
        <w:rPr>
          <w:rFonts w:hint="eastAsia"/>
          <w:b w:val="0"/>
          <w:bCs w:val="0"/>
          <w:color w:val="auto"/>
          <w:sz w:val="21"/>
          <w:szCs w:val="21"/>
          <w:lang w:val="en-US" w:eastAsia="zh-CN"/>
        </w:rPr>
        <w:t>保函金额为人民币</w:t>
      </w:r>
      <w:r>
        <w:rPr>
          <w:rFonts w:hint="eastAsia" w:ascii="宋体" w:hAnsi="宋体" w:cs="宋体"/>
          <w:szCs w:val="24"/>
          <w:u w:val="single"/>
        </w:rPr>
        <w:t>￥</w:t>
      </w:r>
      <w:r>
        <w:rPr>
          <w:rFonts w:hint="eastAsia"/>
          <w:b w:val="0"/>
          <w:bCs w:val="0"/>
          <w:color w:val="auto"/>
          <w:sz w:val="21"/>
          <w:szCs w:val="21"/>
          <w:u w:val="single"/>
        </w:rPr>
        <w:t xml:space="preserve">       </w:t>
      </w:r>
      <w:r>
        <w:rPr>
          <w:rFonts w:hint="eastAsia"/>
          <w:b w:val="0"/>
          <w:bCs w:val="0"/>
          <w:color w:val="auto"/>
          <w:sz w:val="21"/>
          <w:szCs w:val="21"/>
          <w:u w:val="single"/>
          <w:lang w:val="en-US" w:eastAsia="zh-CN"/>
        </w:rPr>
        <w:t xml:space="preserve">  </w:t>
      </w:r>
      <w:r>
        <w:rPr>
          <w:rFonts w:hint="eastAsia"/>
          <w:b w:val="0"/>
          <w:bCs w:val="0"/>
          <w:color w:val="auto"/>
          <w:sz w:val="21"/>
          <w:szCs w:val="21"/>
        </w:rPr>
        <w:t>元</w:t>
      </w:r>
      <w:r>
        <w:rPr>
          <w:rFonts w:hint="eastAsia"/>
          <w:b w:val="0"/>
          <w:bCs w:val="0"/>
          <w:color w:val="auto"/>
          <w:sz w:val="21"/>
          <w:szCs w:val="21"/>
          <w:lang w:val="en-US" w:eastAsia="zh-CN"/>
        </w:rPr>
        <w:t>（大写：</w:t>
      </w:r>
      <w:r>
        <w:rPr>
          <w:rFonts w:hint="eastAsia"/>
          <w:b w:val="0"/>
          <w:bCs w:val="0"/>
          <w:color w:val="auto"/>
          <w:sz w:val="21"/>
          <w:szCs w:val="21"/>
          <w:u w:val="single"/>
          <w:lang w:val="en-US" w:eastAsia="zh-CN"/>
        </w:rPr>
        <w:t xml:space="preserve">       </w:t>
      </w:r>
      <w:r>
        <w:rPr>
          <w:rFonts w:hint="eastAsia"/>
          <w:b w:val="0"/>
          <w:bCs w:val="0"/>
          <w:color w:val="auto"/>
          <w:sz w:val="21"/>
          <w:szCs w:val="21"/>
          <w:lang w:val="en-US" w:eastAsia="zh-CN"/>
        </w:rPr>
        <w:t>元）</w:t>
      </w:r>
      <w:r>
        <w:rPr>
          <w:rFonts w:hint="eastAsia"/>
          <w:b w:val="0"/>
          <w:bCs w:val="0"/>
          <w:color w:val="auto"/>
          <w:sz w:val="21"/>
          <w:szCs w:val="21"/>
          <w:lang w:eastAsia="zh-CN"/>
        </w:rPr>
        <w:t>，</w:t>
      </w:r>
      <w:r>
        <w:rPr>
          <w:rFonts w:hint="eastAsia"/>
          <w:b w:val="0"/>
          <w:bCs w:val="0"/>
          <w:color w:val="auto"/>
          <w:sz w:val="21"/>
          <w:szCs w:val="21"/>
          <w:lang w:val="en-US" w:eastAsia="zh-CN"/>
        </w:rPr>
        <w:t>履约保函有效期为</w:t>
      </w:r>
      <w:r>
        <w:rPr>
          <w:rFonts w:hint="eastAsia"/>
          <w:b w:val="0"/>
          <w:bCs w:val="0"/>
          <w:color w:val="auto"/>
          <w:sz w:val="21"/>
          <w:szCs w:val="21"/>
          <w:u w:val="single"/>
          <w:lang w:val="en-US" w:eastAsia="zh-CN"/>
        </w:rPr>
        <w:t>12</w:t>
      </w:r>
      <w:r>
        <w:rPr>
          <w:rFonts w:hint="eastAsia"/>
          <w:b w:val="0"/>
          <w:bCs w:val="0"/>
          <w:color w:val="auto"/>
          <w:sz w:val="21"/>
          <w:szCs w:val="21"/>
          <w:lang w:val="en-US" w:eastAsia="zh-CN"/>
        </w:rPr>
        <w:t>个月</w:t>
      </w:r>
      <w:r>
        <w:rPr>
          <w:rFonts w:hint="eastAsia"/>
          <w:b w:val="0"/>
          <w:bCs w:val="0"/>
          <w:color w:val="auto"/>
          <w:sz w:val="21"/>
          <w:szCs w:val="21"/>
        </w:rPr>
        <w:t>。</w:t>
      </w:r>
    </w:p>
    <w:p w14:paraId="08E800E8">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200"/>
        <w:jc w:val="both"/>
        <w:textAlignment w:val="auto"/>
        <w:rPr>
          <w:sz w:val="21"/>
          <w:szCs w:val="21"/>
        </w:rPr>
      </w:pPr>
      <w:r>
        <w:rPr>
          <w:rFonts w:hint="eastAsia"/>
          <w:sz w:val="21"/>
          <w:szCs w:val="21"/>
        </w:rPr>
        <w:t>2、</w:t>
      </w:r>
      <w:r>
        <w:rPr>
          <w:rFonts w:hint="eastAsia"/>
          <w:sz w:val="21"/>
          <w:szCs w:val="21"/>
          <w:lang w:eastAsia="zh-CN"/>
        </w:rPr>
        <w:t>采购人</w:t>
      </w:r>
      <w:r>
        <w:rPr>
          <w:rFonts w:hint="eastAsia"/>
          <w:sz w:val="21"/>
          <w:szCs w:val="21"/>
        </w:rPr>
        <w:t>在收到履约</w:t>
      </w:r>
      <w:r>
        <w:rPr>
          <w:rFonts w:hint="eastAsia"/>
          <w:sz w:val="21"/>
          <w:szCs w:val="21"/>
          <w:lang w:val="en-US" w:eastAsia="zh-CN"/>
        </w:rPr>
        <w:t>保函</w:t>
      </w:r>
      <w:r>
        <w:rPr>
          <w:rFonts w:hint="eastAsia"/>
          <w:sz w:val="21"/>
          <w:szCs w:val="21"/>
        </w:rPr>
        <w:t>后，</w:t>
      </w:r>
      <w:r>
        <w:rPr>
          <w:rFonts w:hint="eastAsia"/>
          <w:sz w:val="21"/>
          <w:szCs w:val="21"/>
          <w:u w:val="single"/>
        </w:rPr>
        <w:t>10</w:t>
      </w:r>
      <w:r>
        <w:rPr>
          <w:rFonts w:hint="eastAsia"/>
          <w:sz w:val="21"/>
          <w:szCs w:val="21"/>
        </w:rPr>
        <w:t>个工作日内支付</w:t>
      </w:r>
      <w:r>
        <w:rPr>
          <w:rFonts w:hint="eastAsia"/>
          <w:sz w:val="21"/>
          <w:szCs w:val="21"/>
          <w:lang w:eastAsia="zh-CN"/>
        </w:rPr>
        <w:t>中标人</w:t>
      </w:r>
      <w:r>
        <w:rPr>
          <w:rFonts w:hint="eastAsia"/>
          <w:sz w:val="21"/>
          <w:szCs w:val="21"/>
        </w:rPr>
        <w:t>不少于合同金额的</w:t>
      </w:r>
      <w:r>
        <w:rPr>
          <w:sz w:val="21"/>
          <w:szCs w:val="21"/>
          <w:u w:val="single"/>
        </w:rPr>
        <w:t>50</w:t>
      </w:r>
      <w:r>
        <w:rPr>
          <w:rFonts w:hint="eastAsia"/>
          <w:sz w:val="21"/>
          <w:szCs w:val="21"/>
          <w:u w:val="single"/>
        </w:rPr>
        <w:t xml:space="preserve"> %</w:t>
      </w:r>
      <w:r>
        <w:rPr>
          <w:rFonts w:hint="eastAsia"/>
          <w:sz w:val="21"/>
          <w:szCs w:val="21"/>
        </w:rPr>
        <w:t>，即人民币</w:t>
      </w:r>
      <w:r>
        <w:rPr>
          <w:rFonts w:hint="eastAsia" w:ascii="宋体" w:hAnsi="宋体" w:cs="宋体"/>
          <w:szCs w:val="24"/>
          <w:u w:val="single"/>
        </w:rPr>
        <w:t>￥</w:t>
      </w:r>
      <w:r>
        <w:rPr>
          <w:rFonts w:hint="eastAsia"/>
          <w:sz w:val="21"/>
          <w:szCs w:val="21"/>
          <w:u w:val="single"/>
          <w:lang w:val="en-US" w:eastAsia="zh-CN"/>
        </w:rPr>
        <w:t xml:space="preserve">       </w:t>
      </w:r>
      <w:r>
        <w:rPr>
          <w:rFonts w:hint="eastAsia"/>
          <w:sz w:val="21"/>
          <w:szCs w:val="21"/>
          <w:lang w:eastAsia="zh-CN"/>
        </w:rPr>
        <w:t>（</w:t>
      </w:r>
      <w:r>
        <w:rPr>
          <w:rFonts w:hint="eastAsia"/>
          <w:b w:val="0"/>
          <w:bCs w:val="0"/>
          <w:color w:val="auto"/>
          <w:sz w:val="21"/>
          <w:szCs w:val="21"/>
          <w:lang w:val="en-US" w:eastAsia="zh-CN"/>
        </w:rPr>
        <w:t>大写：</w:t>
      </w:r>
      <w:r>
        <w:rPr>
          <w:rFonts w:hint="eastAsia"/>
          <w:sz w:val="21"/>
          <w:szCs w:val="21"/>
          <w:u w:val="single"/>
          <w:lang w:val="en-US" w:eastAsia="zh-CN"/>
        </w:rPr>
        <w:t xml:space="preserve">         </w:t>
      </w:r>
      <w:r>
        <w:rPr>
          <w:rFonts w:hint="eastAsia"/>
          <w:sz w:val="21"/>
          <w:szCs w:val="21"/>
        </w:rPr>
        <w:t>元</w:t>
      </w:r>
      <w:r>
        <w:rPr>
          <w:rFonts w:hint="eastAsia"/>
          <w:sz w:val="21"/>
          <w:szCs w:val="21"/>
          <w:lang w:val="en-US" w:eastAsia="zh-CN"/>
        </w:rPr>
        <w:t>）</w:t>
      </w:r>
      <w:r>
        <w:rPr>
          <w:rFonts w:hint="eastAsia"/>
          <w:sz w:val="21"/>
          <w:szCs w:val="21"/>
        </w:rPr>
        <w:t>，</w:t>
      </w:r>
      <w:r>
        <w:rPr>
          <w:rFonts w:hint="eastAsia"/>
          <w:sz w:val="21"/>
          <w:szCs w:val="21"/>
          <w:lang w:eastAsia="zh-CN"/>
        </w:rPr>
        <w:t>中标人</w:t>
      </w:r>
      <w:r>
        <w:rPr>
          <w:rFonts w:hint="eastAsia"/>
          <w:sz w:val="21"/>
          <w:szCs w:val="21"/>
        </w:rPr>
        <w:t>完成全部供货及安装并由</w:t>
      </w:r>
      <w:r>
        <w:rPr>
          <w:rFonts w:hint="eastAsia"/>
          <w:sz w:val="21"/>
          <w:szCs w:val="21"/>
          <w:lang w:eastAsia="zh-CN"/>
        </w:rPr>
        <w:t>采购人</w:t>
      </w:r>
      <w:r>
        <w:rPr>
          <w:rFonts w:hint="eastAsia"/>
          <w:sz w:val="21"/>
          <w:szCs w:val="21"/>
        </w:rPr>
        <w:t>组织验收合格后，</w:t>
      </w:r>
      <w:r>
        <w:rPr>
          <w:rFonts w:hint="eastAsia"/>
          <w:sz w:val="21"/>
          <w:szCs w:val="21"/>
          <w:lang w:eastAsia="zh-CN"/>
        </w:rPr>
        <w:t>采购人</w:t>
      </w:r>
      <w:r>
        <w:rPr>
          <w:rFonts w:hint="eastAsia"/>
          <w:sz w:val="21"/>
          <w:szCs w:val="21"/>
        </w:rPr>
        <w:t>向</w:t>
      </w:r>
      <w:r>
        <w:rPr>
          <w:rFonts w:hint="eastAsia"/>
          <w:sz w:val="21"/>
          <w:szCs w:val="21"/>
          <w:lang w:eastAsia="zh-CN"/>
        </w:rPr>
        <w:t>中标人</w:t>
      </w:r>
      <w:r>
        <w:rPr>
          <w:rFonts w:hint="eastAsia"/>
          <w:sz w:val="21"/>
          <w:szCs w:val="21"/>
        </w:rPr>
        <w:t>支付剩余合同金额，即人民币</w:t>
      </w:r>
      <w:r>
        <w:rPr>
          <w:rFonts w:hint="eastAsia" w:ascii="宋体" w:hAnsi="宋体" w:cs="宋体"/>
          <w:szCs w:val="24"/>
          <w:u w:val="single"/>
        </w:rPr>
        <w:t>￥</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元</w:t>
      </w:r>
      <w:r>
        <w:rPr>
          <w:rFonts w:hint="eastAsia"/>
          <w:sz w:val="21"/>
          <w:szCs w:val="21"/>
          <w:lang w:val="en-US" w:eastAsia="zh-CN"/>
        </w:rPr>
        <w:t>（</w:t>
      </w:r>
      <w:r>
        <w:rPr>
          <w:rFonts w:hint="eastAsia"/>
          <w:b w:val="0"/>
          <w:bCs w:val="0"/>
          <w:color w:val="auto"/>
          <w:sz w:val="21"/>
          <w:szCs w:val="21"/>
          <w:lang w:val="en-US" w:eastAsia="zh-CN"/>
        </w:rPr>
        <w:t>大写：</w:t>
      </w:r>
      <w:r>
        <w:rPr>
          <w:rFonts w:hint="eastAsia"/>
          <w:sz w:val="21"/>
          <w:szCs w:val="21"/>
          <w:u w:val="single"/>
          <w:lang w:val="en-US" w:eastAsia="zh-CN"/>
        </w:rPr>
        <w:t xml:space="preserve">        </w:t>
      </w:r>
      <w:r>
        <w:rPr>
          <w:rFonts w:hint="eastAsia"/>
          <w:sz w:val="21"/>
          <w:szCs w:val="21"/>
          <w:lang w:val="en-US" w:eastAsia="zh-CN"/>
        </w:rPr>
        <w:t>元）</w:t>
      </w:r>
      <w:r>
        <w:rPr>
          <w:rFonts w:hint="eastAsia"/>
          <w:sz w:val="21"/>
          <w:szCs w:val="21"/>
        </w:rPr>
        <w:t>，</w:t>
      </w:r>
      <w:r>
        <w:rPr>
          <w:rFonts w:hint="eastAsia"/>
          <w:sz w:val="21"/>
          <w:szCs w:val="21"/>
          <w:lang w:eastAsia="zh-CN"/>
        </w:rPr>
        <w:t>中标人</w:t>
      </w:r>
      <w:r>
        <w:rPr>
          <w:rFonts w:hint="eastAsia"/>
          <w:sz w:val="21"/>
          <w:szCs w:val="21"/>
        </w:rPr>
        <w:t>需按</w:t>
      </w:r>
      <w:r>
        <w:rPr>
          <w:rFonts w:hint="eastAsia"/>
          <w:sz w:val="21"/>
          <w:szCs w:val="21"/>
          <w:lang w:eastAsia="zh-CN"/>
        </w:rPr>
        <w:t>采购人</w:t>
      </w:r>
      <w:r>
        <w:rPr>
          <w:rFonts w:hint="eastAsia"/>
          <w:sz w:val="21"/>
          <w:szCs w:val="21"/>
        </w:rPr>
        <w:t>要求提供正规发票及相应结算单据。</w:t>
      </w:r>
    </w:p>
    <w:p w14:paraId="62B6FEF7">
      <w:pPr>
        <w:spacing w:line="360" w:lineRule="auto"/>
        <w:ind w:firstLine="420" w:firstLineChars="200"/>
        <w:rPr>
          <w:rFonts w:ascii="宋体" w:hAnsi="宋体" w:cs="宋体"/>
          <w:szCs w:val="24"/>
        </w:rPr>
      </w:pPr>
      <w:r>
        <w:rPr>
          <w:rFonts w:hint="eastAsia"/>
          <w:sz w:val="21"/>
          <w:szCs w:val="21"/>
        </w:rPr>
        <w:t>3、</w:t>
      </w:r>
      <w:r>
        <w:rPr>
          <w:rFonts w:hint="eastAsia"/>
          <w:b w:val="0"/>
          <w:bCs w:val="0"/>
          <w:color w:val="auto"/>
          <w:sz w:val="21"/>
          <w:szCs w:val="21"/>
          <w:lang w:eastAsia="zh-CN"/>
        </w:rPr>
        <w:t>中标人</w:t>
      </w:r>
      <w:r>
        <w:rPr>
          <w:rFonts w:hint="eastAsia"/>
          <w:b w:val="0"/>
          <w:bCs w:val="0"/>
          <w:color w:val="auto"/>
          <w:sz w:val="21"/>
          <w:szCs w:val="21"/>
        </w:rPr>
        <w:t>完成全部供货安装、调试、运行并由</w:t>
      </w:r>
      <w:r>
        <w:rPr>
          <w:rFonts w:hint="eastAsia"/>
          <w:b w:val="0"/>
          <w:bCs w:val="0"/>
          <w:color w:val="auto"/>
          <w:sz w:val="21"/>
          <w:szCs w:val="21"/>
          <w:lang w:eastAsia="zh-CN"/>
        </w:rPr>
        <w:t>采购人</w:t>
      </w:r>
      <w:r>
        <w:rPr>
          <w:rFonts w:hint="eastAsia"/>
          <w:b w:val="0"/>
          <w:bCs w:val="0"/>
          <w:color w:val="auto"/>
          <w:sz w:val="21"/>
          <w:szCs w:val="21"/>
        </w:rPr>
        <w:t>验收合格之日起</w:t>
      </w:r>
      <w:r>
        <w:rPr>
          <w:rFonts w:hint="eastAsia" w:ascii="宋体" w:hAnsi="宋体" w:cs="宋体"/>
          <w:szCs w:val="24"/>
        </w:rPr>
        <w:t>履约保证金转为质保金</w:t>
      </w:r>
      <w:r>
        <w:rPr>
          <w:rFonts w:hint="eastAsia" w:ascii="宋体" w:hAnsi="宋体" w:cs="宋体"/>
          <w:szCs w:val="24"/>
          <w:lang w:eastAsia="zh-CN"/>
        </w:rPr>
        <w:t>；</w:t>
      </w:r>
      <w:r>
        <w:rPr>
          <w:rFonts w:hint="eastAsia"/>
          <w:b w:val="0"/>
          <w:bCs w:val="0"/>
          <w:color w:val="auto"/>
          <w:sz w:val="21"/>
          <w:szCs w:val="21"/>
          <w:lang w:val="en-US" w:eastAsia="zh-CN"/>
        </w:rPr>
        <w:t>验收合格之日起</w:t>
      </w:r>
      <w:r>
        <w:rPr>
          <w:rFonts w:hint="eastAsia"/>
          <w:b w:val="0"/>
          <w:bCs w:val="0"/>
          <w:color w:val="auto"/>
          <w:sz w:val="21"/>
          <w:szCs w:val="21"/>
          <w:u w:val="single"/>
          <w:lang w:val="en-US" w:eastAsia="zh-CN"/>
        </w:rPr>
        <w:t>12个月</w:t>
      </w:r>
      <w:r>
        <w:rPr>
          <w:rFonts w:hint="eastAsia"/>
          <w:b w:val="0"/>
          <w:bCs w:val="0"/>
          <w:color w:val="auto"/>
          <w:sz w:val="21"/>
          <w:szCs w:val="21"/>
          <w:lang w:val="en-US" w:eastAsia="zh-CN"/>
        </w:rPr>
        <w:t>后</w:t>
      </w:r>
      <w:r>
        <w:rPr>
          <w:rFonts w:hint="eastAsia"/>
          <w:b w:val="0"/>
          <w:bCs w:val="0"/>
          <w:color w:val="auto"/>
          <w:sz w:val="21"/>
          <w:szCs w:val="21"/>
        </w:rPr>
        <w:t>，</w:t>
      </w:r>
      <w:r>
        <w:rPr>
          <w:rFonts w:hint="eastAsia" w:ascii="宋体" w:hAnsi="宋体" w:cs="宋体"/>
          <w:szCs w:val="24"/>
          <w:lang w:eastAsia="zh-CN"/>
        </w:rPr>
        <w:t>采购人</w:t>
      </w:r>
      <w:r>
        <w:rPr>
          <w:rFonts w:hint="eastAsia"/>
          <w:b w:val="0"/>
          <w:bCs w:val="0"/>
          <w:color w:val="auto"/>
          <w:sz w:val="21"/>
          <w:szCs w:val="21"/>
          <w:u w:val="single"/>
          <w:lang w:val="en-US" w:eastAsia="zh-CN"/>
        </w:rPr>
        <w:t>10</w:t>
      </w:r>
      <w:r>
        <w:rPr>
          <w:rFonts w:hint="eastAsia" w:ascii="宋体" w:hAnsi="宋体" w:cs="宋体"/>
          <w:szCs w:val="24"/>
        </w:rPr>
        <w:t>个工作日内无息全部返还质保金。</w:t>
      </w:r>
    </w:p>
    <w:p w14:paraId="357BEF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 w:val="21"/>
          <w:szCs w:val="21"/>
        </w:rPr>
      </w:pPr>
      <w:r>
        <w:rPr>
          <w:rFonts w:hint="eastAsia" w:ascii="宋体" w:hAnsi="宋体" w:cs="宋体"/>
          <w:color w:val="000000"/>
          <w:sz w:val="21"/>
          <w:szCs w:val="21"/>
        </w:rPr>
        <w:t>4、</w:t>
      </w:r>
      <w:r>
        <w:rPr>
          <w:rFonts w:hint="eastAsia"/>
          <w:sz w:val="21"/>
          <w:szCs w:val="21"/>
          <w:lang w:val="en-US" w:eastAsia="zh-CN"/>
        </w:rPr>
        <w:t>履约</w:t>
      </w:r>
      <w:r>
        <w:rPr>
          <w:rFonts w:hint="eastAsia"/>
          <w:sz w:val="21"/>
          <w:szCs w:val="21"/>
        </w:rPr>
        <w:t>保函应具备如下内容：</w:t>
      </w:r>
      <w:r>
        <w:rPr>
          <w:rFonts w:hint="eastAsia" w:ascii="宋体" w:hAnsi="宋体" w:cs="宋体"/>
          <w:color w:val="000000"/>
          <w:sz w:val="21"/>
          <w:szCs w:val="21"/>
          <w:u w:val="none"/>
          <w:lang w:val="en-US" w:eastAsia="zh-CN"/>
        </w:rPr>
        <w:t>1）</w:t>
      </w:r>
      <w:r>
        <w:rPr>
          <w:rFonts w:hint="eastAsia"/>
          <w:sz w:val="21"/>
          <w:szCs w:val="21"/>
        </w:rPr>
        <w:t>保证的方式为连带责任保证（独立保函可不注明连带责任）；</w:t>
      </w:r>
      <w:r>
        <w:rPr>
          <w:rFonts w:hint="eastAsia" w:ascii="宋体" w:hAnsi="宋体" w:cs="宋体"/>
          <w:color w:val="000000"/>
          <w:sz w:val="21"/>
          <w:szCs w:val="21"/>
        </w:rPr>
        <w:t>2</w:t>
      </w:r>
      <w:r>
        <w:rPr>
          <w:rFonts w:hint="eastAsia"/>
          <w:sz w:val="21"/>
          <w:szCs w:val="21"/>
        </w:rPr>
        <w:t>）保证的范围包括</w:t>
      </w:r>
      <w:r>
        <w:rPr>
          <w:rFonts w:hint="eastAsia"/>
          <w:sz w:val="21"/>
          <w:szCs w:val="21"/>
          <w:lang w:eastAsia="zh-CN"/>
        </w:rPr>
        <w:t>中标人</w:t>
      </w:r>
      <w:r>
        <w:rPr>
          <w:rFonts w:hint="eastAsia"/>
          <w:sz w:val="21"/>
          <w:szCs w:val="21"/>
        </w:rPr>
        <w:t>未按照合同履行而给</w:t>
      </w:r>
      <w:r>
        <w:rPr>
          <w:rFonts w:hint="eastAsia"/>
          <w:sz w:val="21"/>
          <w:szCs w:val="21"/>
          <w:lang w:eastAsia="zh-CN"/>
        </w:rPr>
        <w:t>采购人</w:t>
      </w:r>
      <w:r>
        <w:rPr>
          <w:rFonts w:hint="eastAsia"/>
          <w:sz w:val="21"/>
          <w:szCs w:val="21"/>
        </w:rPr>
        <w:t>造成的全部损失，保证金额应不低于合同总金额的</w:t>
      </w:r>
      <w:r>
        <w:rPr>
          <w:rFonts w:hint="eastAsia" w:ascii="宋体" w:hAnsi="宋体" w:cs="宋体"/>
          <w:color w:val="000000"/>
          <w:sz w:val="21"/>
          <w:szCs w:val="21"/>
          <w:lang w:val="en-US" w:eastAsia="zh-CN"/>
        </w:rPr>
        <w:t>5</w:t>
      </w:r>
      <w:r>
        <w:rPr>
          <w:rFonts w:hint="eastAsia" w:ascii="宋体" w:hAnsi="宋体" w:cs="宋体"/>
          <w:color w:val="000000"/>
          <w:sz w:val="21"/>
          <w:szCs w:val="21"/>
        </w:rPr>
        <w:t>%</w:t>
      </w:r>
      <w:r>
        <w:rPr>
          <w:rFonts w:hint="eastAsia"/>
          <w:sz w:val="21"/>
          <w:szCs w:val="21"/>
        </w:rPr>
        <w:t>；</w:t>
      </w:r>
      <w:r>
        <w:rPr>
          <w:rFonts w:hint="eastAsia" w:ascii="宋体" w:hAnsi="宋体" w:cs="宋体"/>
          <w:color w:val="000000"/>
          <w:sz w:val="21"/>
          <w:szCs w:val="21"/>
        </w:rPr>
        <w:t>3</w:t>
      </w:r>
      <w:r>
        <w:rPr>
          <w:rFonts w:hint="eastAsia"/>
          <w:sz w:val="21"/>
          <w:szCs w:val="21"/>
        </w:rPr>
        <w:t>）保证的期间应涵盖合同履行（包括保修期）的全部期间；</w:t>
      </w:r>
      <w:r>
        <w:rPr>
          <w:rFonts w:hint="eastAsia" w:ascii="宋体" w:hAnsi="宋体" w:cs="宋体"/>
          <w:color w:val="000000"/>
          <w:sz w:val="21"/>
          <w:szCs w:val="21"/>
        </w:rPr>
        <w:t>4</w:t>
      </w:r>
      <w:r>
        <w:rPr>
          <w:rFonts w:hint="eastAsia"/>
          <w:sz w:val="21"/>
          <w:szCs w:val="21"/>
        </w:rPr>
        <w:t>）对</w:t>
      </w:r>
      <w:r>
        <w:rPr>
          <w:rFonts w:hint="eastAsia"/>
          <w:sz w:val="21"/>
          <w:szCs w:val="21"/>
          <w:lang w:eastAsia="zh-CN"/>
        </w:rPr>
        <w:t>采购人</w:t>
      </w:r>
      <w:r>
        <w:rPr>
          <w:rFonts w:hint="eastAsia"/>
          <w:sz w:val="21"/>
          <w:szCs w:val="21"/>
        </w:rPr>
        <w:t>提出索赔要求的条件应合理设置，即要求</w:t>
      </w:r>
      <w:r>
        <w:rPr>
          <w:rFonts w:hint="eastAsia"/>
          <w:sz w:val="21"/>
          <w:szCs w:val="21"/>
          <w:lang w:eastAsia="zh-CN"/>
        </w:rPr>
        <w:t>采购人</w:t>
      </w:r>
      <w:r>
        <w:rPr>
          <w:rFonts w:hint="eastAsia"/>
          <w:sz w:val="21"/>
          <w:szCs w:val="21"/>
        </w:rPr>
        <w:t>提交索赔申请和必要的证明材料即可；</w:t>
      </w:r>
      <w:r>
        <w:rPr>
          <w:rFonts w:hint="eastAsia" w:ascii="宋体" w:hAnsi="宋体" w:cs="宋体"/>
          <w:color w:val="000000"/>
          <w:sz w:val="21"/>
          <w:szCs w:val="21"/>
        </w:rPr>
        <w:t>5</w:t>
      </w:r>
      <w:r>
        <w:rPr>
          <w:rFonts w:hint="eastAsia"/>
          <w:sz w:val="21"/>
          <w:szCs w:val="21"/>
        </w:rPr>
        <w:t>）提供保函人应为银行或保险公司；</w:t>
      </w:r>
      <w:r>
        <w:rPr>
          <w:rFonts w:hint="eastAsia" w:ascii="宋体" w:hAnsi="宋体" w:cs="宋体"/>
          <w:color w:val="000000"/>
          <w:sz w:val="21"/>
          <w:szCs w:val="21"/>
        </w:rPr>
        <w:t>6</w:t>
      </w:r>
      <w:r>
        <w:rPr>
          <w:rFonts w:hint="eastAsia"/>
          <w:sz w:val="21"/>
          <w:szCs w:val="21"/>
        </w:rPr>
        <w:t>）如提供独立保函的，应注明“见索即付”字样；</w:t>
      </w:r>
      <w:r>
        <w:rPr>
          <w:rFonts w:hint="eastAsia" w:ascii="宋体" w:hAnsi="宋体" w:cs="宋体"/>
          <w:color w:val="000000"/>
          <w:sz w:val="21"/>
          <w:szCs w:val="21"/>
        </w:rPr>
        <w:t>7</w:t>
      </w:r>
      <w:r>
        <w:rPr>
          <w:rFonts w:hint="eastAsia"/>
          <w:sz w:val="21"/>
          <w:szCs w:val="21"/>
        </w:rPr>
        <w:t>）独立保函的到期日无论以事件还是以日历天设定，均须涵盖质保期满和</w:t>
      </w:r>
      <w:r>
        <w:rPr>
          <w:rFonts w:hint="eastAsia"/>
          <w:sz w:val="21"/>
          <w:szCs w:val="21"/>
          <w:lang w:eastAsia="zh-CN"/>
        </w:rPr>
        <w:t>采购人</w:t>
      </w:r>
      <w:r>
        <w:rPr>
          <w:rFonts w:hint="eastAsia"/>
          <w:sz w:val="21"/>
          <w:szCs w:val="21"/>
        </w:rPr>
        <w:t>主张权利的合理期间；</w:t>
      </w:r>
      <w:r>
        <w:rPr>
          <w:rFonts w:hint="eastAsia" w:ascii="宋体" w:hAnsi="宋体" w:cs="宋体"/>
          <w:color w:val="000000"/>
          <w:sz w:val="21"/>
          <w:szCs w:val="21"/>
        </w:rPr>
        <w:t>8</w:t>
      </w:r>
      <w:r>
        <w:rPr>
          <w:rFonts w:hint="eastAsia"/>
          <w:sz w:val="21"/>
          <w:szCs w:val="21"/>
        </w:rPr>
        <w:t>）独立保函不得设定索赔时需交回保函正本等明显不合理或不符合国际商会保函规则的条款。不具备上述条件的履约保函，</w:t>
      </w:r>
      <w:r>
        <w:rPr>
          <w:rFonts w:hint="eastAsia"/>
          <w:sz w:val="21"/>
          <w:szCs w:val="21"/>
          <w:lang w:eastAsia="zh-CN"/>
        </w:rPr>
        <w:t>采购人</w:t>
      </w:r>
      <w:r>
        <w:rPr>
          <w:rFonts w:hint="eastAsia"/>
          <w:sz w:val="21"/>
          <w:szCs w:val="21"/>
        </w:rPr>
        <w:t>不予接受。</w:t>
      </w:r>
      <w:r>
        <w:rPr>
          <w:rFonts w:hint="eastAsia"/>
          <w:sz w:val="21"/>
          <w:szCs w:val="21"/>
          <w:lang w:eastAsia="zh-CN"/>
        </w:rPr>
        <w:t>采购人</w:t>
      </w:r>
      <w:r>
        <w:rPr>
          <w:rFonts w:hint="eastAsia"/>
          <w:sz w:val="21"/>
          <w:szCs w:val="21"/>
        </w:rPr>
        <w:t>接受的履约保函作为合同附件。</w:t>
      </w:r>
    </w:p>
    <w:p w14:paraId="7C1C15BC">
      <w:pPr>
        <w:topLinePunct/>
        <w:ind w:firstLine="422" w:firstLineChars="200"/>
        <w:rPr>
          <w:rFonts w:hint="eastAsia" w:ascii="宋体" w:hAnsi="宋体" w:cs="宋体"/>
          <w:b/>
          <w:color w:val="000000"/>
          <w:sz w:val="21"/>
          <w:szCs w:val="21"/>
        </w:rPr>
      </w:pPr>
      <w:r>
        <w:rPr>
          <w:rFonts w:hint="eastAsia" w:ascii="宋体" w:hAnsi="宋体" w:cs="宋体"/>
          <w:b/>
          <w:color w:val="000000"/>
          <w:sz w:val="21"/>
          <w:szCs w:val="21"/>
          <w:lang w:val="en-US" w:eastAsia="zh-CN"/>
        </w:rPr>
        <w:t>七</w:t>
      </w:r>
      <w:r>
        <w:rPr>
          <w:rFonts w:hint="eastAsia" w:ascii="宋体" w:hAnsi="宋体" w:cs="宋体"/>
          <w:b/>
          <w:color w:val="000000"/>
          <w:sz w:val="21"/>
          <w:szCs w:val="21"/>
        </w:rPr>
        <w:t>、</w:t>
      </w:r>
      <w:r>
        <w:rPr>
          <w:rFonts w:hint="eastAsia" w:ascii="宋体" w:hAnsi="宋体" w:cs="宋体"/>
          <w:b/>
          <w:color w:val="000000"/>
          <w:sz w:val="21"/>
          <w:szCs w:val="21"/>
          <w:lang w:eastAsia="zh-CN"/>
        </w:rPr>
        <w:t>中标人</w:t>
      </w:r>
      <w:r>
        <w:rPr>
          <w:rFonts w:hint="eastAsia" w:ascii="宋体" w:hAnsi="宋体" w:cs="宋体"/>
          <w:b/>
          <w:color w:val="000000"/>
          <w:sz w:val="21"/>
          <w:szCs w:val="21"/>
        </w:rPr>
        <w:t>违约责任</w:t>
      </w:r>
    </w:p>
    <w:p w14:paraId="2B087159">
      <w:pPr>
        <w:spacing w:line="440" w:lineRule="exact"/>
        <w:rPr>
          <w:rFonts w:hint="eastAsia" w:ascii="宋体" w:hAnsi="宋体" w:cs="宋体"/>
          <w:sz w:val="21"/>
          <w:szCs w:val="21"/>
          <w:lang w:val="zh-CN"/>
        </w:rPr>
      </w:pPr>
      <w:r>
        <w:rPr>
          <w:rFonts w:hint="eastAsia" w:ascii="宋体" w:hAnsi="宋体" w:cs="宋体"/>
          <w:sz w:val="21"/>
          <w:szCs w:val="21"/>
          <w:lang w:val="zh-CN"/>
        </w:rPr>
        <w:t>1.中标人不能交货的，应向采购人偿付不能交货部分货款的</w:t>
      </w:r>
      <w:r>
        <w:rPr>
          <w:rFonts w:hint="eastAsia" w:ascii="宋体" w:hAnsi="宋体" w:cs="宋体"/>
          <w:sz w:val="21"/>
          <w:szCs w:val="21"/>
          <w:lang w:val="en-US" w:eastAsia="zh-CN"/>
        </w:rPr>
        <w:t>3</w:t>
      </w:r>
      <w:r>
        <w:rPr>
          <w:rFonts w:hint="eastAsia" w:ascii="宋体" w:hAnsi="宋体" w:cs="宋体"/>
          <w:sz w:val="21"/>
          <w:szCs w:val="21"/>
          <w:lang w:val="zh-CN"/>
        </w:rPr>
        <w:t>%作为违约金。</w:t>
      </w:r>
    </w:p>
    <w:p w14:paraId="29E5876C">
      <w:pPr>
        <w:spacing w:line="440" w:lineRule="exact"/>
        <w:rPr>
          <w:rFonts w:hint="eastAsia" w:ascii="宋体" w:hAnsi="宋体" w:cs="宋体"/>
          <w:sz w:val="21"/>
          <w:szCs w:val="21"/>
          <w:lang w:val="zh-CN"/>
        </w:rPr>
      </w:pPr>
      <w:r>
        <w:rPr>
          <w:rFonts w:hint="eastAsia" w:ascii="宋体" w:hAnsi="宋体" w:cs="宋体"/>
          <w:sz w:val="21"/>
          <w:szCs w:val="21"/>
          <w:lang w:val="zh-CN"/>
        </w:rPr>
        <w:t>2.中标人逾期交货的，每天按逾期交货部分货款的0.2%向采购人偿付违约金。最高不超过</w:t>
      </w:r>
      <w:r>
        <w:rPr>
          <w:rFonts w:hint="eastAsia" w:ascii="宋体" w:hAnsi="宋体" w:cs="宋体"/>
          <w:sz w:val="21"/>
          <w:szCs w:val="21"/>
          <w:lang w:val="en-US" w:eastAsia="zh-CN"/>
        </w:rPr>
        <w:t>1</w:t>
      </w:r>
      <w:r>
        <w:rPr>
          <w:rFonts w:hint="eastAsia" w:ascii="宋体" w:hAnsi="宋体" w:cs="宋体"/>
          <w:sz w:val="21"/>
          <w:szCs w:val="21"/>
          <w:lang w:val="zh-CN"/>
        </w:rPr>
        <w:t>%。</w:t>
      </w:r>
    </w:p>
    <w:p w14:paraId="32283DEE">
      <w:pPr>
        <w:spacing w:line="440" w:lineRule="exact"/>
        <w:rPr>
          <w:rFonts w:hint="eastAsia" w:ascii="宋体" w:hAnsi="宋体" w:cs="宋体"/>
          <w:sz w:val="21"/>
          <w:szCs w:val="21"/>
          <w:lang w:val="zh-CN"/>
        </w:rPr>
      </w:pPr>
      <w:r>
        <w:rPr>
          <w:rFonts w:hint="eastAsia" w:ascii="宋体" w:hAnsi="宋体" w:cs="宋体"/>
          <w:sz w:val="21"/>
          <w:szCs w:val="21"/>
          <w:lang w:val="zh-CN"/>
        </w:rPr>
        <w:t>3.达到</w:t>
      </w:r>
      <w:r>
        <w:rPr>
          <w:rFonts w:hint="eastAsia" w:ascii="宋体" w:hAnsi="宋体" w:cs="宋体"/>
          <w:sz w:val="21"/>
          <w:szCs w:val="21"/>
          <w:lang w:val="en-US" w:eastAsia="zh-CN"/>
        </w:rPr>
        <w:t>1</w:t>
      </w:r>
      <w:r>
        <w:rPr>
          <w:rFonts w:hint="eastAsia" w:ascii="宋体" w:hAnsi="宋体" w:cs="宋体"/>
          <w:sz w:val="21"/>
          <w:szCs w:val="21"/>
          <w:lang w:val="zh-CN"/>
        </w:rPr>
        <w:t>%时，中标人仍未交货的，采购人有权单方通知中标人解除未交货部分的合同，解除自解除书面通知到达中标人时生效。</w:t>
      </w:r>
    </w:p>
    <w:p w14:paraId="606ECE04">
      <w:pPr>
        <w:spacing w:line="440" w:lineRule="exact"/>
        <w:rPr>
          <w:rFonts w:hint="eastAsia" w:ascii="宋体" w:hAnsi="宋体" w:cs="宋体"/>
          <w:sz w:val="21"/>
          <w:szCs w:val="21"/>
          <w:lang w:val="zh-CN"/>
        </w:rPr>
      </w:pPr>
      <w:r>
        <w:rPr>
          <w:rFonts w:hint="eastAsia" w:ascii="宋体" w:hAnsi="宋体" w:cs="宋体"/>
          <w:sz w:val="21"/>
          <w:szCs w:val="21"/>
          <w:lang w:val="zh-CN"/>
        </w:rPr>
        <w:t>4.中标人违反本合同第五条第1项内容的，采购人发现后，有权随时退货，并有权解除本合同。中标人除应返还采购人相应货款外，还应承担违约部分货款</w:t>
      </w:r>
      <w:r>
        <w:rPr>
          <w:rFonts w:hint="eastAsia" w:ascii="宋体" w:hAnsi="宋体" w:cs="宋体"/>
          <w:sz w:val="21"/>
          <w:szCs w:val="21"/>
          <w:lang w:val="en-US" w:eastAsia="zh-CN"/>
        </w:rPr>
        <w:t>1</w:t>
      </w:r>
      <w:r>
        <w:rPr>
          <w:rFonts w:hint="eastAsia" w:ascii="宋体" w:hAnsi="宋体" w:cs="宋体"/>
          <w:sz w:val="21"/>
          <w:szCs w:val="21"/>
          <w:lang w:val="zh-CN"/>
        </w:rPr>
        <w:t>%的违约金。</w:t>
      </w:r>
    </w:p>
    <w:p w14:paraId="2919D5A9">
      <w:pPr>
        <w:topLinePunct/>
        <w:ind w:firstLine="422" w:firstLineChars="200"/>
        <w:rPr>
          <w:rFonts w:hint="eastAsia" w:ascii="宋体" w:hAnsi="宋体" w:cs="宋体"/>
          <w:b/>
          <w:color w:val="000000"/>
          <w:sz w:val="21"/>
          <w:szCs w:val="21"/>
        </w:rPr>
      </w:pPr>
      <w:r>
        <w:rPr>
          <w:rFonts w:hint="eastAsia" w:ascii="宋体" w:hAnsi="宋体" w:cs="宋体"/>
          <w:b/>
          <w:color w:val="000000"/>
          <w:sz w:val="21"/>
          <w:szCs w:val="21"/>
          <w:lang w:val="en-US" w:eastAsia="zh-CN"/>
        </w:rPr>
        <w:t>八</w:t>
      </w:r>
      <w:r>
        <w:rPr>
          <w:rFonts w:hint="eastAsia" w:ascii="宋体" w:hAnsi="宋体" w:cs="宋体"/>
          <w:b/>
          <w:color w:val="000000"/>
          <w:sz w:val="21"/>
          <w:szCs w:val="21"/>
        </w:rPr>
        <w:t>、</w:t>
      </w:r>
      <w:r>
        <w:rPr>
          <w:rFonts w:hint="eastAsia" w:ascii="宋体" w:hAnsi="宋体" w:cs="宋体"/>
          <w:b/>
          <w:color w:val="000000"/>
          <w:sz w:val="21"/>
          <w:szCs w:val="21"/>
          <w:lang w:eastAsia="zh-CN"/>
        </w:rPr>
        <w:t>采购人</w:t>
      </w:r>
      <w:r>
        <w:rPr>
          <w:rFonts w:hint="eastAsia" w:ascii="宋体" w:hAnsi="宋体" w:cs="宋体"/>
          <w:b/>
          <w:color w:val="000000"/>
          <w:sz w:val="21"/>
          <w:szCs w:val="21"/>
        </w:rPr>
        <w:t>违约的责任</w:t>
      </w:r>
    </w:p>
    <w:p w14:paraId="45CC8EB0">
      <w:pPr>
        <w:spacing w:line="440" w:lineRule="exact"/>
        <w:rPr>
          <w:rFonts w:hint="eastAsia" w:ascii="宋体" w:hAnsi="宋体" w:cs="宋体"/>
          <w:sz w:val="21"/>
          <w:szCs w:val="21"/>
          <w:lang w:val="zh-CN"/>
        </w:rPr>
      </w:pPr>
      <w:r>
        <w:rPr>
          <w:rFonts w:hint="eastAsia" w:ascii="宋体" w:hAnsi="宋体" w:cs="宋体"/>
          <w:sz w:val="21"/>
          <w:szCs w:val="21"/>
          <w:lang w:val="en-US" w:eastAsia="zh-CN"/>
        </w:rPr>
        <w:t>1.</w:t>
      </w:r>
      <w:r>
        <w:rPr>
          <w:rFonts w:hint="eastAsia" w:ascii="宋体" w:hAnsi="宋体" w:cs="宋体"/>
          <w:sz w:val="21"/>
          <w:szCs w:val="21"/>
          <w:lang w:val="zh-CN"/>
        </w:rPr>
        <w:t>采购人中途无故退货，应向中标人偿付退货部分货款的2%作为违约金。</w:t>
      </w:r>
    </w:p>
    <w:p w14:paraId="7927813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1"/>
          <w:szCs w:val="21"/>
          <w:lang w:val="zh-CN"/>
        </w:rPr>
      </w:pPr>
      <w:r>
        <w:rPr>
          <w:rFonts w:hint="eastAsia" w:ascii="宋体" w:hAnsi="宋体" w:cs="宋体"/>
          <w:sz w:val="21"/>
          <w:szCs w:val="21"/>
          <w:lang w:val="en-US" w:eastAsia="zh-CN"/>
        </w:rPr>
        <w:t>2.</w:t>
      </w:r>
      <w:r>
        <w:rPr>
          <w:rFonts w:hint="eastAsia" w:ascii="宋体" w:hAnsi="宋体" w:cs="宋体"/>
          <w:sz w:val="21"/>
          <w:szCs w:val="21"/>
          <w:lang w:val="zh-CN"/>
        </w:rPr>
        <w:t>除非本合同另有约定，采购人逾期付款的，每天按逾期付款部分货款的0.2%向中标人偿付违约金</w:t>
      </w:r>
      <w:r>
        <w:rPr>
          <w:rFonts w:hint="eastAsia"/>
          <w:sz w:val="21"/>
          <w:szCs w:val="21"/>
          <w:lang w:val="zh-CN"/>
        </w:rPr>
        <w:t>，最高不超过2%。</w:t>
      </w:r>
    </w:p>
    <w:p w14:paraId="2E7401F2">
      <w:pPr>
        <w:topLinePunct/>
        <w:ind w:firstLine="422" w:firstLineChars="200"/>
        <w:rPr>
          <w:rFonts w:hint="eastAsia" w:ascii="宋体" w:hAnsi="宋体" w:cs="宋体"/>
          <w:b/>
          <w:color w:val="000000"/>
          <w:sz w:val="21"/>
          <w:szCs w:val="21"/>
        </w:rPr>
      </w:pPr>
      <w:r>
        <w:rPr>
          <w:rFonts w:hint="eastAsia" w:ascii="宋体" w:hAnsi="宋体" w:cs="宋体"/>
          <w:b/>
          <w:color w:val="000000"/>
          <w:sz w:val="21"/>
          <w:szCs w:val="21"/>
          <w:lang w:val="en-US" w:eastAsia="zh-CN"/>
        </w:rPr>
        <w:t>九</w:t>
      </w:r>
      <w:r>
        <w:rPr>
          <w:rFonts w:hint="eastAsia" w:ascii="宋体" w:hAnsi="宋体" w:cs="宋体"/>
          <w:b/>
          <w:color w:val="000000"/>
          <w:sz w:val="21"/>
          <w:szCs w:val="21"/>
        </w:rPr>
        <w:t>、其他相关要求</w:t>
      </w:r>
    </w:p>
    <w:p w14:paraId="0EED9179">
      <w:pPr>
        <w:numPr>
          <w:ilvl w:val="255"/>
          <w:numId w:val="0"/>
        </w:numPr>
        <w:topLinePunct/>
        <w:spacing w:line="440" w:lineRule="exact"/>
        <w:rPr>
          <w:rFonts w:ascii="宋体" w:hAnsi="宋体" w:cs="宋体"/>
          <w:b/>
          <w:sz w:val="21"/>
          <w:szCs w:val="21"/>
        </w:rPr>
      </w:pPr>
      <w:r>
        <w:rPr>
          <w:rFonts w:hint="eastAsia" w:ascii="宋体" w:hAnsi="宋体" w:cs="宋体"/>
          <w:b/>
          <w:sz w:val="21"/>
          <w:szCs w:val="21"/>
          <w:lang w:val="en-US" w:eastAsia="zh-CN"/>
        </w:rPr>
        <w:t>★</w:t>
      </w:r>
      <w:r>
        <w:rPr>
          <w:rFonts w:hint="eastAsia" w:ascii="宋体" w:hAnsi="宋体" w:cs="宋体"/>
          <w:b/>
          <w:sz w:val="21"/>
          <w:szCs w:val="21"/>
        </w:rPr>
        <w:t>《环保专项承诺一》</w:t>
      </w:r>
    </w:p>
    <w:p w14:paraId="4E26F531">
      <w:pPr>
        <w:spacing w:line="440" w:lineRule="exact"/>
        <w:rPr>
          <w:rFonts w:ascii="宋体" w:hAnsi="宋体" w:cs="宋体"/>
          <w:b/>
          <w:sz w:val="21"/>
          <w:szCs w:val="21"/>
          <w:lang w:val="zh-CN"/>
        </w:rPr>
      </w:pPr>
      <w:r>
        <w:rPr>
          <w:rFonts w:hint="eastAsia" w:ascii="宋体" w:hAnsi="宋体" w:cs="宋体"/>
          <w:b/>
          <w:sz w:val="21"/>
          <w:szCs w:val="21"/>
          <w:lang w:val="en-US" w:eastAsia="zh-CN"/>
        </w:rPr>
        <w:t>★</w:t>
      </w:r>
      <w:r>
        <w:rPr>
          <w:rFonts w:hint="eastAsia" w:ascii="宋体" w:hAnsi="宋体" w:cs="宋体"/>
          <w:sz w:val="21"/>
          <w:szCs w:val="21"/>
          <w:lang w:val="zh-CN"/>
        </w:rPr>
        <w:t>根据《北京市财政局 北京市生态环境局关于政府采购推广使用低挥发性有机化合物（VOCs）有关事项的通知》（京财采购〔2020〕2381号）文件的规定，政府采购货物、工程和服务项目中涉及涂料、胶黏剂、油墨、清洗剂等挥发性有机物产品的，属于强制性标准的，应在招标文件中明确要求参与政府采购的供应商执行符合本市和国家的VOCs含量限值标准。本项采购中，木器涂料中有害物质限量（GB18581—2020）、胶粘剂挥发性有机化合物限量（</w:t>
      </w:r>
      <w:r>
        <w:rPr>
          <w:rFonts w:hint="eastAsia" w:ascii="宋体" w:hAnsi="宋体" w:cs="宋体"/>
          <w:sz w:val="21"/>
          <w:szCs w:val="21"/>
        </w:rPr>
        <w:t>GB 33372—2020</w:t>
      </w:r>
      <w:r>
        <w:rPr>
          <w:rFonts w:hint="eastAsia" w:ascii="宋体" w:hAnsi="宋体" w:cs="宋体"/>
          <w:sz w:val="21"/>
          <w:szCs w:val="21"/>
          <w:lang w:val="zh-CN"/>
        </w:rPr>
        <w:t>）属于强制性标准，投标人须承诺在生产过程中使用的相关材料符合本市和国家相关政策。</w:t>
      </w:r>
      <w:r>
        <w:rPr>
          <w:rFonts w:hint="eastAsia" w:ascii="宋体" w:hAnsi="宋体" w:cs="宋体"/>
          <w:b/>
          <w:sz w:val="21"/>
          <w:szCs w:val="21"/>
          <w:lang w:val="zh-CN"/>
        </w:rPr>
        <w:t>本项承诺为实质响应条款，未提供该承诺的按照无效投标文件处理。</w:t>
      </w:r>
    </w:p>
    <w:p w14:paraId="0F9AA426">
      <w:pPr>
        <w:spacing w:line="360" w:lineRule="auto"/>
        <w:ind w:firstLine="420" w:firstLineChars="200"/>
        <w:rPr>
          <w:rFonts w:ascii="宋体" w:hAnsi="宋体" w:cs="宋体"/>
          <w:b/>
          <w:sz w:val="21"/>
          <w:szCs w:val="21"/>
          <w:lang w:val="zh-CN"/>
        </w:rPr>
      </w:pPr>
      <w:r>
        <w:rPr>
          <w:rFonts w:hint="eastAsia" w:ascii="宋体" w:hAnsi="宋体" w:cs="宋体"/>
          <w:color w:val="000000"/>
          <w:sz w:val="21"/>
          <w:szCs w:val="21"/>
          <w:lang w:val="zh-CN"/>
        </w:rPr>
        <w:t>《环保专项承诺二》</w:t>
      </w:r>
    </w:p>
    <w:p w14:paraId="03F6B0CC">
      <w:pPr>
        <w:spacing w:line="440" w:lineRule="exact"/>
        <w:ind w:firstLine="420" w:firstLineChars="200"/>
        <w:rPr>
          <w:rFonts w:hint="eastAsia" w:ascii="宋体" w:hAnsi="宋体" w:cs="宋体"/>
          <w:sz w:val="21"/>
          <w:szCs w:val="21"/>
          <w:lang w:val="zh-CN"/>
        </w:rPr>
      </w:pPr>
      <w:r>
        <w:rPr>
          <w:rFonts w:hint="eastAsia" w:ascii="宋体" w:hAnsi="宋体" w:cs="宋体"/>
          <w:sz w:val="21"/>
          <w:szCs w:val="21"/>
          <w:lang w:val="zh-CN"/>
        </w:rPr>
        <w:t>根据《北京市财政局 北京市生态环境局关于政府采购推广使用低挥发性有机化合物（VOCs）有关事项的通知》（京财采购〔2020〕2381号）文件的规定，政府采购货物、工程和服务项目中涉及涂料、胶黏剂、油墨、清洗剂等挥发性有机物产品的，属于推荐性标准的，应在招标文件中载明优惠幅度，以及评审标准和方法等，以体现优先采购。本项采购中，低挥发性有机化合物含量涂料产品技术要求（GB/T38597—2020）属于国家推荐性标准，投标人可承诺在生产过程中使用的相关材料符合本市和国家相关政策。本项承诺为</w:t>
      </w:r>
      <w:r>
        <w:rPr>
          <w:rFonts w:hint="eastAsia" w:ascii="宋体" w:hAnsi="宋体" w:cs="宋体"/>
          <w:b/>
          <w:bCs/>
          <w:sz w:val="21"/>
          <w:szCs w:val="21"/>
          <w:lang w:val="zh-CN"/>
        </w:rPr>
        <w:t>非实质响应条款</w:t>
      </w:r>
      <w:r>
        <w:rPr>
          <w:rFonts w:hint="eastAsia" w:ascii="宋体" w:hAnsi="宋体" w:cs="宋体"/>
          <w:sz w:val="21"/>
          <w:szCs w:val="21"/>
          <w:lang w:val="zh-CN"/>
        </w:rPr>
        <w:t>，投标人根据实际情况自愿提供。</w:t>
      </w:r>
    </w:p>
    <w:p w14:paraId="0128CD6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1A0620"/>
    <w:multiLevelType w:val="singleLevel"/>
    <w:tmpl w:val="B71A0620"/>
    <w:lvl w:ilvl="0" w:tentative="0">
      <w:start w:val="1"/>
      <w:numFmt w:val="decimal"/>
      <w:lvlText w:val="%1."/>
      <w:lvlJc w:val="left"/>
      <w:pPr>
        <w:tabs>
          <w:tab w:val="left" w:pos="312"/>
        </w:tabs>
      </w:pPr>
    </w:lvl>
  </w:abstractNum>
  <w:abstractNum w:abstractNumId="1">
    <w:nsid w:val="0526607E"/>
    <w:multiLevelType w:val="singleLevel"/>
    <w:tmpl w:val="0526607E"/>
    <w:lvl w:ilvl="0" w:tentative="0">
      <w:start w:val="1"/>
      <w:numFmt w:val="decimal"/>
      <w:suff w:val="nothing"/>
      <w:lvlText w:val="（%1）"/>
      <w:lvlJc w:val="left"/>
      <w:pPr>
        <w:ind w:left="390"/>
      </w:pPr>
    </w:lvl>
  </w:abstractNum>
  <w:abstractNum w:abstractNumId="2">
    <w:nsid w:val="6D7929EC"/>
    <w:multiLevelType w:val="singleLevel"/>
    <w:tmpl w:val="6D7929EC"/>
    <w:lvl w:ilvl="0" w:tentative="0">
      <w:start w:val="1"/>
      <w:numFmt w:val="chineseCounting"/>
      <w:suff w:val="nothing"/>
      <w:lvlText w:val="%1、"/>
      <w:lvlJc w:val="left"/>
      <w:rPr>
        <w:rFonts w:hint="eastAsia"/>
      </w:rPr>
    </w:lvl>
  </w:abstractNum>
  <w:abstractNum w:abstractNumId="3">
    <w:nsid w:val="76653E4D"/>
    <w:multiLevelType w:val="singleLevel"/>
    <w:tmpl w:val="76653E4D"/>
    <w:lvl w:ilvl="0" w:tentative="0">
      <w:start w:val="1"/>
      <w:numFmt w:val="decimal"/>
      <w:lvlText w:val="%1."/>
      <w:lvlJc w:val="left"/>
      <w:pPr>
        <w:tabs>
          <w:tab w:val="left" w:pos="312"/>
        </w:tabs>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E528ED"/>
    <w:rsid w:val="1E2128B5"/>
    <w:rsid w:val="70E528ED"/>
    <w:rsid w:val="7B785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autoSpaceDE w:val="0"/>
      <w:autoSpaceDN w:val="0"/>
      <w:adjustRightInd w:val="0"/>
      <w:ind w:firstLine="420"/>
      <w:jc w:val="left"/>
    </w:pPr>
    <w:rPr>
      <w:rFonts w:ascii="宋体"/>
      <w:sz w:val="24"/>
    </w:rPr>
  </w:style>
  <w:style w:type="paragraph" w:styleId="3">
    <w:name w:val="annotation text"/>
    <w:basedOn w:val="1"/>
    <w:qFormat/>
    <w:uiPriority w:val="99"/>
    <w:pPr>
      <w:jc w:val="left"/>
    </w:pPr>
  </w:style>
  <w:style w:type="paragraph" w:styleId="6">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9263</Words>
  <Characters>10187</Characters>
  <Lines>0</Lines>
  <Paragraphs>0</Paragraphs>
  <TotalTime>0</TotalTime>
  <ScaleCrop>false</ScaleCrop>
  <LinksUpToDate>false</LinksUpToDate>
  <CharactersWithSpaces>10270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2026-05-26T02:48:00Z</dcterms:created>
  <dc:creator>栋</dc:creator>
  <cp:lastModifiedBy>栋</cp:lastModifiedBy>
  <dcterms:modified xsi:type="dcterms:W3CDTF">2026-08-07T03:17:09Z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77350CB7948F4CFCA9C66A393776EF6A_11</vt:lpwstr>
  </property>
  <property fmtid="{D5CDD505-2E9C-101B-9397-08002B2CF9AE}" pid="4" name="KSOTemplateDocerSaveRecord">
    <vt:lpwstr>eyJoZGlkIjoiOTU5MTdjOGU3ZmY4YzIwMmE0NTgwNDBkMTdmMjJiYTUiLCJ1c2VySWQiOiI0NTA3NDAzODYifQ==</vt:lpwstr>
  </property>
</Properties>
</file>