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200A69">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p>
    <w:p w14:paraId="40DA1A89">
      <w:pPr>
        <w:snapToGrid w:val="0"/>
        <w:spacing w:line="360" w:lineRule="auto"/>
        <w:contextualSpacing/>
        <w:jc w:val="left"/>
        <w:rPr>
          <w:rFonts w:ascii="仿宋" w:hAnsi="仿宋" w:eastAsia="仿宋" w:cs="仿宋"/>
          <w:sz w:val="28"/>
          <w:szCs w:val="28"/>
        </w:rPr>
      </w:pPr>
      <w:r>
        <w:rPr>
          <w:rFonts w:hint="eastAsia" w:ascii="仿宋" w:hAnsi="仿宋" w:eastAsia="仿宋" w:cs="仿宋"/>
          <w:sz w:val="28"/>
          <w:szCs w:val="28"/>
        </w:rPr>
        <w:t>说明：</w:t>
      </w:r>
    </w:p>
    <w:p w14:paraId="6767D055">
      <w:pPr>
        <w:snapToGrid w:val="0"/>
        <w:spacing w:line="360" w:lineRule="auto"/>
        <w:contextualSpacing/>
        <w:jc w:val="left"/>
        <w:rPr>
          <w:rFonts w:ascii="仿宋" w:hAnsi="仿宋" w:eastAsia="仿宋" w:cs="仿宋"/>
          <w:sz w:val="28"/>
          <w:szCs w:val="28"/>
        </w:rPr>
      </w:pPr>
      <w:bookmarkStart w:id="0" w:name="_Hlk167284587"/>
      <w:r>
        <w:rPr>
          <w:rFonts w:hint="eastAsia" w:ascii="仿宋" w:hAnsi="仿宋" w:eastAsia="仿宋" w:cs="仿宋"/>
          <w:sz w:val="28"/>
          <w:szCs w:val="28"/>
        </w:rPr>
        <w:t>1. 当采购项目涉及政务信息系统时，采购需求应当符合《政务信息系统政府采购管理暂行办法》（财库〔2017〕210号）的相关要求。</w:t>
      </w:r>
    </w:p>
    <w:p w14:paraId="07D50DA3">
      <w:pPr>
        <w:snapToGrid w:val="0"/>
        <w:spacing w:line="360" w:lineRule="auto"/>
        <w:contextualSpacing/>
        <w:jc w:val="left"/>
        <w:rPr>
          <w:rFonts w:ascii="仿宋" w:hAnsi="仿宋" w:eastAsia="仿宋" w:cs="仿宋"/>
          <w:sz w:val="28"/>
          <w:szCs w:val="28"/>
        </w:rPr>
      </w:pPr>
      <w:bookmarkStart w:id="1" w:name="_Hlk168431603"/>
      <w:r>
        <w:rPr>
          <w:rFonts w:hint="eastAsia" w:ascii="仿宋" w:hAnsi="仿宋" w:eastAsia="仿宋" w:cs="仿宋"/>
          <w:sz w:val="28"/>
          <w:szCs w:val="28"/>
        </w:rPr>
        <w:t>2. 采购人及采购代理机构应关注财政部门会同有关部门制定发布的需求标准，结合具体应用场景，根据对应《需求标准》确定采购需求。</w:t>
      </w:r>
    </w:p>
    <w:p w14:paraId="64584C64">
      <w:pPr>
        <w:snapToGrid w:val="0"/>
        <w:spacing w:line="360" w:lineRule="auto"/>
        <w:contextualSpacing/>
        <w:jc w:val="left"/>
        <w:rPr>
          <w:rFonts w:ascii="仿宋" w:hAnsi="仿宋" w:eastAsia="仿宋" w:cs="仿宋"/>
          <w:sz w:val="28"/>
          <w:szCs w:val="28"/>
        </w:rPr>
      </w:pPr>
      <w:r>
        <w:rPr>
          <w:rFonts w:hint="eastAsia" w:ascii="仿宋" w:hAnsi="仿宋" w:eastAsia="仿宋" w:cs="仿宋"/>
          <w:sz w:val="28"/>
          <w:szCs w:val="28"/>
        </w:rPr>
        <w:t>已发布的需求标准如下：</w:t>
      </w:r>
    </w:p>
    <w:p w14:paraId="77F98EC1">
      <w:pPr>
        <w:snapToGrid w:val="0"/>
        <w:spacing w:line="360" w:lineRule="auto"/>
        <w:contextualSpacing/>
        <w:jc w:val="left"/>
        <w:rPr>
          <w:rFonts w:ascii="仿宋" w:hAnsi="仿宋" w:eastAsia="仿宋" w:cs="仿宋"/>
          <w:sz w:val="28"/>
          <w:szCs w:val="28"/>
        </w:rPr>
      </w:pPr>
      <w:r>
        <w:rPr>
          <w:rFonts w:hint="eastAsia" w:ascii="仿宋" w:hAnsi="仿宋" w:eastAsia="仿宋" w:cs="仿宋"/>
          <w:sz w:val="28"/>
          <w:szCs w:val="28"/>
        </w:rPr>
        <w:t>《关于印发〈商品包装政府采购需求标准（试行）〉、〈快递包装政府采购需求标准（试行）〉的通知》（财办库﹝2020﹞123号））</w:t>
      </w:r>
    </w:p>
    <w:p w14:paraId="2BAD107D">
      <w:pPr>
        <w:pStyle w:val="17"/>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《绿色数据中心政府采购需求标准（试行）》（财库〔2023〕7号）</w:t>
      </w:r>
    </w:p>
    <w:p w14:paraId="7CBD2369">
      <w:pPr>
        <w:pStyle w:val="17"/>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《台式计算机政府采购需求标准（2023年版）》（财库〔2023〕29号）</w:t>
      </w:r>
    </w:p>
    <w:p w14:paraId="2C077F26">
      <w:pPr>
        <w:pStyle w:val="17"/>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《便携式计算机政府采购需求标准（2023年版）》（财库〔2023〕30号）</w:t>
      </w:r>
    </w:p>
    <w:p w14:paraId="47C61EA1">
      <w:pPr>
        <w:pStyle w:val="17"/>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《一体式计算机政府采购需求标准（2023年版）》（财库〔2023〕31号）</w:t>
      </w:r>
    </w:p>
    <w:p w14:paraId="07BA2692">
      <w:pPr>
        <w:pStyle w:val="17"/>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《工作站政府采购需求标准（2023年版）》（财库〔2023〕32号）</w:t>
      </w:r>
    </w:p>
    <w:p w14:paraId="3134D2F9">
      <w:pPr>
        <w:pStyle w:val="17"/>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《通用服务器政府采购需求标准（2023年版）》（财库〔2023〕33号）</w:t>
      </w:r>
    </w:p>
    <w:p w14:paraId="48657464">
      <w:pPr>
        <w:pStyle w:val="17"/>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《操作系统政府采购需求标准（2023年版）》（财库〔2023〕34号）</w:t>
      </w:r>
    </w:p>
    <w:p w14:paraId="73AA474D">
      <w:pPr>
        <w:pStyle w:val="17"/>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《数据库政府采购需求标准（2023年版）》（财库〔2023〕35号）</w:t>
      </w:r>
    </w:p>
    <w:p w14:paraId="4B6359CF">
      <w:pPr>
        <w:pStyle w:val="17"/>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《物业管理服务政府采购需求标准（办公场所类）（试行）》（财办库〔2024〕113号）</w:t>
      </w:r>
    </w:p>
    <w:p w14:paraId="78B5DD32">
      <w:pPr>
        <w:snapToGrid w:val="0"/>
        <w:spacing w:line="360" w:lineRule="auto"/>
        <w:contextualSpacing/>
        <w:jc w:val="left"/>
        <w:rPr>
          <w:rFonts w:ascii="仿宋" w:hAnsi="仿宋" w:eastAsia="仿宋" w:cs="仿宋"/>
          <w:sz w:val="28"/>
          <w:szCs w:val="28"/>
        </w:rPr>
      </w:pPr>
      <w:r>
        <w:rPr>
          <w:rFonts w:hint="eastAsia" w:ascii="仿宋" w:hAnsi="仿宋" w:eastAsia="仿宋" w:cs="仿宋"/>
          <w:sz w:val="28"/>
          <w:szCs w:val="28"/>
        </w:rPr>
        <w:t>如有更新或增加，以财政部门发布为准。</w:t>
      </w:r>
      <w:bookmarkEnd w:id="0"/>
      <w:bookmarkEnd w:id="1"/>
    </w:p>
    <w:p w14:paraId="2C1C5249">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5413A7C4">
      <w:pPr>
        <w:snapToGrid w:val="0"/>
        <w:spacing w:line="360" w:lineRule="auto"/>
        <w:jc w:val="left"/>
        <w:rPr>
          <w:rFonts w:ascii="仿宋" w:hAnsi="仿宋" w:eastAsia="仿宋" w:cs="仿宋"/>
          <w:b/>
          <w:sz w:val="24"/>
        </w:rPr>
      </w:pPr>
      <w:r>
        <w:rPr>
          <w:rFonts w:hint="eastAsia" w:ascii="仿宋" w:hAnsi="仿宋" w:eastAsia="仿宋" w:cs="仿宋"/>
          <w:b/>
          <w:sz w:val="24"/>
        </w:rPr>
        <w:t>一、采购标的</w:t>
      </w:r>
    </w:p>
    <w:p w14:paraId="4BBAC0CA">
      <w:pPr>
        <w:snapToGrid w:val="0"/>
        <w:spacing w:line="360" w:lineRule="auto"/>
        <w:jc w:val="left"/>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9"/>
        <w:tblW w:w="43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1531"/>
        <w:gridCol w:w="2048"/>
        <w:gridCol w:w="1232"/>
        <w:gridCol w:w="1641"/>
      </w:tblGrid>
      <w:tr w14:paraId="3F624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633" w:type="pct"/>
            <w:vAlign w:val="center"/>
          </w:tcPr>
          <w:p w14:paraId="37D87BEB">
            <w:pPr>
              <w:widowControl/>
              <w:spacing w:line="360" w:lineRule="auto"/>
              <w:jc w:val="center"/>
              <w:rPr>
                <w:rFonts w:ascii="仿宋" w:hAnsi="仿宋" w:eastAsia="仿宋" w:cs="仿宋"/>
                <w:b/>
                <w:bCs/>
                <w:sz w:val="24"/>
              </w:rPr>
            </w:pPr>
            <w:r>
              <w:rPr>
                <w:rFonts w:hint="eastAsia" w:ascii="仿宋" w:hAnsi="仿宋" w:eastAsia="仿宋" w:cs="仿宋"/>
                <w:b/>
                <w:bCs/>
                <w:sz w:val="24"/>
              </w:rPr>
              <w:t>包号</w:t>
            </w:r>
          </w:p>
        </w:tc>
        <w:tc>
          <w:tcPr>
            <w:tcW w:w="1036" w:type="pct"/>
            <w:vAlign w:val="center"/>
          </w:tcPr>
          <w:p w14:paraId="30824093">
            <w:pPr>
              <w:widowControl/>
              <w:spacing w:line="360" w:lineRule="auto"/>
              <w:jc w:val="center"/>
              <w:rPr>
                <w:rFonts w:ascii="仿宋" w:hAnsi="仿宋" w:eastAsia="仿宋" w:cs="仿宋"/>
                <w:b/>
                <w:bCs/>
                <w:sz w:val="24"/>
              </w:rPr>
            </w:pPr>
            <w:r>
              <w:rPr>
                <w:rFonts w:hint="eastAsia" w:ascii="仿宋" w:hAnsi="仿宋" w:eastAsia="仿宋" w:cs="仿宋"/>
                <w:b/>
                <w:bCs/>
                <w:sz w:val="24"/>
                <w:lang w:val="en-US" w:eastAsia="zh-CN"/>
              </w:rPr>
              <w:t>标的</w:t>
            </w:r>
            <w:r>
              <w:rPr>
                <w:rFonts w:hint="eastAsia" w:ascii="仿宋" w:hAnsi="仿宋" w:eastAsia="仿宋" w:cs="仿宋"/>
                <w:b/>
                <w:bCs/>
                <w:sz w:val="24"/>
              </w:rPr>
              <w:t>名称</w:t>
            </w:r>
          </w:p>
        </w:tc>
        <w:tc>
          <w:tcPr>
            <w:tcW w:w="1385" w:type="pct"/>
            <w:shd w:val="clear" w:color="000000" w:fill="FFFFFF"/>
            <w:vAlign w:val="center"/>
          </w:tcPr>
          <w:p w14:paraId="332A03DD">
            <w:pPr>
              <w:widowControl/>
              <w:spacing w:line="360" w:lineRule="auto"/>
              <w:jc w:val="center"/>
              <w:rPr>
                <w:rFonts w:ascii="仿宋" w:hAnsi="仿宋" w:eastAsia="仿宋" w:cs="仿宋"/>
                <w:b/>
                <w:bCs/>
                <w:sz w:val="24"/>
              </w:rPr>
            </w:pPr>
            <w:r>
              <w:rPr>
                <w:rFonts w:ascii="Times New Roman" w:hAnsi="Times New Roman" w:cs="Times New Roman"/>
                <w:b/>
                <w:bCs/>
              </w:rPr>
              <w:t>设施/系统</w:t>
            </w:r>
          </w:p>
        </w:tc>
        <w:tc>
          <w:tcPr>
            <w:tcW w:w="833" w:type="pct"/>
            <w:shd w:val="clear" w:color="000000" w:fill="FFFFFF"/>
            <w:vAlign w:val="center"/>
          </w:tcPr>
          <w:p w14:paraId="4EA4A686">
            <w:pPr>
              <w:widowControl/>
              <w:spacing w:line="360" w:lineRule="auto"/>
              <w:jc w:val="center"/>
              <w:rPr>
                <w:rFonts w:ascii="仿宋" w:hAnsi="仿宋" w:eastAsia="仿宋" w:cs="仿宋"/>
                <w:b/>
                <w:bCs/>
                <w:sz w:val="24"/>
              </w:rPr>
            </w:pPr>
            <w:r>
              <w:rPr>
                <w:rFonts w:ascii="仿宋" w:hAnsi="仿宋" w:eastAsia="仿宋" w:cs="仿宋"/>
                <w:b/>
                <w:bCs/>
                <w:sz w:val="24"/>
              </w:rPr>
              <w:t>数量</w:t>
            </w:r>
          </w:p>
        </w:tc>
        <w:tc>
          <w:tcPr>
            <w:tcW w:w="1110" w:type="pct"/>
            <w:shd w:val="clear" w:color="000000" w:fill="FFFFFF"/>
            <w:vAlign w:val="center"/>
          </w:tcPr>
          <w:p w14:paraId="366392C9">
            <w:pPr>
              <w:widowControl/>
              <w:spacing w:line="360" w:lineRule="auto"/>
              <w:jc w:val="center"/>
              <w:rPr>
                <w:rFonts w:ascii="仿宋" w:hAnsi="仿宋" w:eastAsia="仿宋" w:cs="仿宋"/>
                <w:b/>
                <w:bCs/>
                <w:sz w:val="24"/>
              </w:rPr>
            </w:pPr>
            <w:r>
              <w:rPr>
                <w:rFonts w:hint="eastAsia" w:ascii="仿宋" w:hAnsi="仿宋" w:eastAsia="仿宋" w:cs="仿宋"/>
                <w:b/>
                <w:bCs/>
                <w:sz w:val="24"/>
              </w:rPr>
              <w:t>是否接受进口产品</w:t>
            </w:r>
          </w:p>
        </w:tc>
      </w:tr>
      <w:tr w14:paraId="0E40B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633" w:type="pct"/>
            <w:vMerge w:val="restart"/>
            <w:vAlign w:val="center"/>
          </w:tcPr>
          <w:p w14:paraId="6CC84409">
            <w:pPr>
              <w:widowControl/>
              <w:spacing w:line="360" w:lineRule="auto"/>
              <w:contextualSpacing/>
              <w:jc w:val="center"/>
              <w:rPr>
                <w:rFonts w:ascii="仿宋" w:hAnsi="仿宋" w:eastAsia="仿宋" w:cs="宋体"/>
                <w:kern w:val="0"/>
                <w:sz w:val="24"/>
              </w:rPr>
            </w:pPr>
            <w:bookmarkStart w:id="2" w:name="_Hlk229472062"/>
            <w:r>
              <w:rPr>
                <w:rFonts w:hint="eastAsia" w:ascii="仿宋" w:hAnsi="仿宋" w:eastAsia="仿宋" w:cs="宋体"/>
                <w:kern w:val="0"/>
                <w:sz w:val="24"/>
              </w:rPr>
              <w:t>1</w:t>
            </w:r>
          </w:p>
        </w:tc>
        <w:tc>
          <w:tcPr>
            <w:tcW w:w="1036" w:type="pct"/>
            <w:vMerge w:val="restart"/>
            <w:vAlign w:val="center"/>
          </w:tcPr>
          <w:p w14:paraId="7D15E2B2">
            <w:pPr>
              <w:widowControl/>
              <w:spacing w:line="360" w:lineRule="auto"/>
              <w:contextualSpacing/>
              <w:jc w:val="center"/>
              <w:rPr>
                <w:rFonts w:ascii="仿宋" w:hAnsi="仿宋" w:eastAsia="仿宋" w:cs="宋体"/>
                <w:kern w:val="0"/>
                <w:sz w:val="24"/>
              </w:rPr>
            </w:pPr>
            <w:r>
              <w:rPr>
                <w:rFonts w:hint="eastAsia" w:ascii="仿宋" w:hAnsi="仿宋" w:eastAsia="仿宋" w:cs="宋体"/>
                <w:kern w:val="0"/>
                <w:sz w:val="24"/>
              </w:rPr>
              <w:t>存储</w:t>
            </w:r>
            <w:bookmarkStart w:id="24" w:name="_GoBack"/>
            <w:bookmarkEnd w:id="24"/>
            <w:r>
              <w:rPr>
                <w:rFonts w:hint="eastAsia" w:ascii="仿宋" w:hAnsi="仿宋" w:eastAsia="仿宋" w:cs="宋体"/>
                <w:kern w:val="0"/>
                <w:sz w:val="24"/>
              </w:rPr>
              <w:t>设备购置与过敏性疾病创新药物研发定制软件开发服务</w:t>
            </w:r>
          </w:p>
        </w:tc>
        <w:tc>
          <w:tcPr>
            <w:tcW w:w="2048" w:type="dxa"/>
            <w:shd w:val="clear" w:color="000000" w:fill="FFFFFF"/>
            <w:vAlign w:val="center"/>
          </w:tcPr>
          <w:p w14:paraId="352DC39B">
            <w:pPr>
              <w:spacing w:line="360" w:lineRule="auto"/>
              <w:rPr>
                <w:rFonts w:hint="eastAsia" w:ascii="仿宋" w:hAnsi="仿宋" w:eastAsia="仿宋" w:cs="仿宋"/>
                <w:kern w:val="0"/>
                <w:sz w:val="24"/>
                <w:szCs w:val="24"/>
              </w:rPr>
            </w:pPr>
            <w:r>
              <w:rPr>
                <w:rFonts w:hint="eastAsia" w:ascii="仿宋" w:hAnsi="仿宋" w:eastAsia="仿宋" w:cs="仿宋"/>
                <w:sz w:val="24"/>
                <w:szCs w:val="24"/>
              </w:rPr>
              <w:t>智能集群存储系统</w:t>
            </w:r>
          </w:p>
        </w:tc>
        <w:tc>
          <w:tcPr>
            <w:tcW w:w="833" w:type="pct"/>
            <w:shd w:val="clear" w:color="000000" w:fill="FFFFFF"/>
            <w:vAlign w:val="center"/>
          </w:tcPr>
          <w:p w14:paraId="0FCDD93E">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1套</w:t>
            </w:r>
          </w:p>
        </w:tc>
        <w:tc>
          <w:tcPr>
            <w:tcW w:w="1110" w:type="pct"/>
            <w:shd w:val="clear" w:color="000000" w:fill="FFFFFF"/>
            <w:vAlign w:val="center"/>
          </w:tcPr>
          <w:p w14:paraId="26DD91F0">
            <w:pPr>
              <w:widowControl/>
              <w:spacing w:line="360" w:lineRule="auto"/>
              <w:contextualSpacing/>
              <w:jc w:val="center"/>
              <w:rPr>
                <w:rFonts w:hint="eastAsia" w:ascii="仿宋" w:hAnsi="仿宋" w:eastAsia="仿宋" w:cs="仿宋"/>
                <w:kern w:val="0"/>
                <w:sz w:val="24"/>
              </w:rPr>
            </w:pPr>
            <w:bookmarkStart w:id="3" w:name="OLE_LINK13"/>
            <w:bookmarkStart w:id="4" w:name="OLE_LINK7"/>
            <w:bookmarkStart w:id="5" w:name="OLE_LINK12"/>
            <w:r>
              <w:rPr>
                <w:rFonts w:hint="eastAsia" w:ascii="仿宋" w:hAnsi="仿宋" w:eastAsia="仿宋" w:cs="仿宋"/>
                <w:kern w:val="0"/>
                <w:sz w:val="24"/>
              </w:rPr>
              <w:t>否</w:t>
            </w:r>
            <w:bookmarkEnd w:id="3"/>
            <w:bookmarkEnd w:id="4"/>
            <w:bookmarkEnd w:id="5"/>
          </w:p>
        </w:tc>
      </w:tr>
      <w:tr w14:paraId="72D32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633" w:type="pct"/>
            <w:vMerge w:val="continue"/>
            <w:vAlign w:val="center"/>
          </w:tcPr>
          <w:p w14:paraId="14123A9C">
            <w:pPr>
              <w:widowControl/>
              <w:spacing w:line="360" w:lineRule="auto"/>
              <w:contextualSpacing/>
              <w:jc w:val="left"/>
              <w:rPr>
                <w:rFonts w:ascii="仿宋" w:hAnsi="仿宋" w:eastAsia="仿宋" w:cs="宋体"/>
                <w:kern w:val="0"/>
                <w:sz w:val="24"/>
              </w:rPr>
            </w:pPr>
          </w:p>
        </w:tc>
        <w:tc>
          <w:tcPr>
            <w:tcW w:w="1036" w:type="pct"/>
            <w:vMerge w:val="continue"/>
            <w:vAlign w:val="center"/>
          </w:tcPr>
          <w:p w14:paraId="7E21AF24">
            <w:pPr>
              <w:widowControl/>
              <w:spacing w:line="360" w:lineRule="auto"/>
              <w:contextualSpacing/>
              <w:jc w:val="left"/>
              <w:rPr>
                <w:rFonts w:ascii="仿宋" w:hAnsi="仿宋" w:eastAsia="仿宋" w:cs="宋体"/>
                <w:kern w:val="0"/>
                <w:sz w:val="24"/>
              </w:rPr>
            </w:pPr>
          </w:p>
        </w:tc>
        <w:tc>
          <w:tcPr>
            <w:tcW w:w="2048" w:type="dxa"/>
            <w:shd w:val="clear" w:color="000000" w:fill="FFFFFF"/>
            <w:vAlign w:val="center"/>
          </w:tcPr>
          <w:p w14:paraId="12F6917C">
            <w:pPr>
              <w:spacing w:line="360" w:lineRule="auto"/>
              <w:rPr>
                <w:rFonts w:hint="eastAsia" w:ascii="仿宋" w:hAnsi="仿宋" w:eastAsia="仿宋" w:cs="仿宋"/>
                <w:kern w:val="0"/>
                <w:sz w:val="24"/>
                <w:szCs w:val="24"/>
              </w:rPr>
            </w:pPr>
            <w:r>
              <w:rPr>
                <w:rFonts w:hint="eastAsia" w:ascii="仿宋" w:hAnsi="仿宋" w:eastAsia="仿宋" w:cs="仿宋"/>
                <w:sz w:val="24"/>
                <w:szCs w:val="24"/>
              </w:rPr>
              <w:t>国产化双活存储系统</w:t>
            </w:r>
          </w:p>
        </w:tc>
        <w:tc>
          <w:tcPr>
            <w:tcW w:w="833" w:type="pct"/>
            <w:shd w:val="clear" w:color="000000" w:fill="FFFFFF"/>
            <w:vAlign w:val="center"/>
          </w:tcPr>
          <w:p w14:paraId="1B669473">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1套</w:t>
            </w:r>
          </w:p>
        </w:tc>
        <w:tc>
          <w:tcPr>
            <w:tcW w:w="1110" w:type="pct"/>
            <w:shd w:val="clear" w:color="000000" w:fill="FFFFFF"/>
            <w:vAlign w:val="center"/>
          </w:tcPr>
          <w:p w14:paraId="32DD2674">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否</w:t>
            </w:r>
          </w:p>
        </w:tc>
      </w:tr>
      <w:tr w14:paraId="010B4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633" w:type="pct"/>
            <w:vMerge w:val="continue"/>
            <w:vAlign w:val="center"/>
          </w:tcPr>
          <w:p w14:paraId="49A99F6F">
            <w:pPr>
              <w:widowControl/>
              <w:spacing w:line="360" w:lineRule="auto"/>
              <w:contextualSpacing/>
              <w:jc w:val="left"/>
              <w:rPr>
                <w:rFonts w:ascii="仿宋" w:hAnsi="仿宋" w:eastAsia="仿宋" w:cs="宋体"/>
                <w:kern w:val="0"/>
                <w:sz w:val="24"/>
              </w:rPr>
            </w:pPr>
          </w:p>
        </w:tc>
        <w:tc>
          <w:tcPr>
            <w:tcW w:w="1036" w:type="pct"/>
            <w:vMerge w:val="continue"/>
            <w:vAlign w:val="center"/>
          </w:tcPr>
          <w:p w14:paraId="7CB9F29A">
            <w:pPr>
              <w:widowControl/>
              <w:spacing w:line="360" w:lineRule="auto"/>
              <w:contextualSpacing/>
              <w:jc w:val="left"/>
              <w:rPr>
                <w:rFonts w:ascii="仿宋" w:hAnsi="仿宋" w:eastAsia="仿宋" w:cs="宋体"/>
                <w:kern w:val="0"/>
                <w:sz w:val="24"/>
              </w:rPr>
            </w:pPr>
          </w:p>
        </w:tc>
        <w:tc>
          <w:tcPr>
            <w:tcW w:w="2048" w:type="dxa"/>
            <w:shd w:val="clear" w:color="000000" w:fill="FFFFFF"/>
            <w:vAlign w:val="center"/>
          </w:tcPr>
          <w:p w14:paraId="29456C2E">
            <w:pPr>
              <w:spacing w:line="360" w:lineRule="auto"/>
              <w:rPr>
                <w:rFonts w:hint="eastAsia" w:ascii="仿宋" w:hAnsi="仿宋" w:eastAsia="仿宋" w:cs="仿宋"/>
                <w:kern w:val="0"/>
                <w:sz w:val="24"/>
                <w:szCs w:val="24"/>
              </w:rPr>
            </w:pPr>
            <w:r>
              <w:rPr>
                <w:rFonts w:hint="eastAsia" w:ascii="仿宋" w:hAnsi="仿宋" w:eastAsia="仿宋" w:cs="仿宋"/>
                <w:sz w:val="24"/>
                <w:szCs w:val="24"/>
              </w:rPr>
              <w:t>备份容灾系统</w:t>
            </w:r>
          </w:p>
        </w:tc>
        <w:tc>
          <w:tcPr>
            <w:tcW w:w="833" w:type="pct"/>
            <w:shd w:val="clear" w:color="000000" w:fill="FFFFFF"/>
            <w:vAlign w:val="center"/>
          </w:tcPr>
          <w:p w14:paraId="265A4AC9">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1套</w:t>
            </w:r>
          </w:p>
        </w:tc>
        <w:tc>
          <w:tcPr>
            <w:tcW w:w="1110" w:type="pct"/>
            <w:shd w:val="clear" w:color="000000" w:fill="FFFFFF"/>
            <w:vAlign w:val="center"/>
          </w:tcPr>
          <w:p w14:paraId="1F56EC1C">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否</w:t>
            </w:r>
          </w:p>
        </w:tc>
      </w:tr>
      <w:tr w14:paraId="3F975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633" w:type="pct"/>
            <w:vMerge w:val="continue"/>
            <w:vAlign w:val="center"/>
          </w:tcPr>
          <w:p w14:paraId="7902E191">
            <w:pPr>
              <w:widowControl/>
              <w:spacing w:line="360" w:lineRule="auto"/>
              <w:contextualSpacing/>
              <w:jc w:val="left"/>
              <w:rPr>
                <w:rFonts w:ascii="仿宋" w:hAnsi="仿宋" w:eastAsia="仿宋" w:cs="宋体"/>
                <w:kern w:val="0"/>
                <w:sz w:val="24"/>
              </w:rPr>
            </w:pPr>
          </w:p>
        </w:tc>
        <w:tc>
          <w:tcPr>
            <w:tcW w:w="1036" w:type="pct"/>
            <w:vMerge w:val="continue"/>
            <w:vAlign w:val="center"/>
          </w:tcPr>
          <w:p w14:paraId="5F1F044B">
            <w:pPr>
              <w:widowControl/>
              <w:spacing w:line="360" w:lineRule="auto"/>
              <w:contextualSpacing/>
              <w:jc w:val="left"/>
              <w:rPr>
                <w:rFonts w:ascii="仿宋" w:hAnsi="仿宋" w:eastAsia="仿宋" w:cs="宋体"/>
                <w:kern w:val="0"/>
                <w:sz w:val="24"/>
              </w:rPr>
            </w:pPr>
          </w:p>
        </w:tc>
        <w:tc>
          <w:tcPr>
            <w:tcW w:w="2048" w:type="dxa"/>
            <w:shd w:val="clear" w:color="000000" w:fill="FFFFFF"/>
            <w:vAlign w:val="center"/>
          </w:tcPr>
          <w:p w14:paraId="43174634">
            <w:pPr>
              <w:spacing w:line="360" w:lineRule="auto"/>
              <w:rPr>
                <w:rFonts w:hint="eastAsia" w:ascii="仿宋" w:hAnsi="仿宋" w:eastAsia="仿宋" w:cs="仿宋"/>
                <w:kern w:val="0"/>
                <w:sz w:val="24"/>
                <w:szCs w:val="24"/>
              </w:rPr>
            </w:pPr>
            <w:r>
              <w:rPr>
                <w:rFonts w:hint="eastAsia" w:ascii="仿宋" w:hAnsi="仿宋" w:eastAsia="仿宋" w:cs="仿宋"/>
                <w:sz w:val="24"/>
                <w:szCs w:val="24"/>
              </w:rPr>
              <w:t>医疗数据资产管理协同+使用端系统</w:t>
            </w:r>
          </w:p>
        </w:tc>
        <w:tc>
          <w:tcPr>
            <w:tcW w:w="833" w:type="pct"/>
            <w:shd w:val="clear" w:color="000000" w:fill="FFFFFF"/>
            <w:vAlign w:val="center"/>
          </w:tcPr>
          <w:p w14:paraId="048B1877">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1套</w:t>
            </w:r>
          </w:p>
        </w:tc>
        <w:tc>
          <w:tcPr>
            <w:tcW w:w="1110" w:type="pct"/>
            <w:shd w:val="clear" w:color="000000" w:fill="FFFFFF"/>
            <w:vAlign w:val="center"/>
          </w:tcPr>
          <w:p w14:paraId="57D45AD8">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否</w:t>
            </w:r>
          </w:p>
        </w:tc>
      </w:tr>
      <w:tr w14:paraId="49855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633" w:type="pct"/>
            <w:vMerge w:val="continue"/>
            <w:vAlign w:val="center"/>
          </w:tcPr>
          <w:p w14:paraId="38AAAF2C">
            <w:pPr>
              <w:widowControl/>
              <w:spacing w:line="360" w:lineRule="auto"/>
              <w:contextualSpacing/>
              <w:jc w:val="left"/>
              <w:rPr>
                <w:rFonts w:ascii="仿宋" w:hAnsi="仿宋" w:eastAsia="仿宋" w:cs="宋体"/>
                <w:kern w:val="0"/>
                <w:sz w:val="24"/>
              </w:rPr>
            </w:pPr>
          </w:p>
        </w:tc>
        <w:tc>
          <w:tcPr>
            <w:tcW w:w="1036" w:type="pct"/>
            <w:vMerge w:val="continue"/>
            <w:vAlign w:val="center"/>
          </w:tcPr>
          <w:p w14:paraId="4A28D26F">
            <w:pPr>
              <w:widowControl/>
              <w:spacing w:line="360" w:lineRule="auto"/>
              <w:contextualSpacing/>
              <w:jc w:val="left"/>
              <w:rPr>
                <w:rFonts w:ascii="仿宋" w:hAnsi="仿宋" w:eastAsia="仿宋" w:cs="宋体"/>
                <w:kern w:val="0"/>
                <w:sz w:val="24"/>
              </w:rPr>
            </w:pPr>
          </w:p>
        </w:tc>
        <w:tc>
          <w:tcPr>
            <w:tcW w:w="2048" w:type="dxa"/>
            <w:shd w:val="clear" w:color="000000" w:fill="FFFFFF"/>
            <w:vAlign w:val="center"/>
          </w:tcPr>
          <w:p w14:paraId="29F9D615">
            <w:pPr>
              <w:spacing w:line="360" w:lineRule="auto"/>
              <w:rPr>
                <w:rFonts w:hint="eastAsia" w:ascii="仿宋" w:hAnsi="仿宋" w:eastAsia="仿宋" w:cs="仿宋"/>
                <w:kern w:val="0"/>
                <w:sz w:val="24"/>
                <w:szCs w:val="24"/>
              </w:rPr>
            </w:pPr>
            <w:r>
              <w:rPr>
                <w:rFonts w:hint="eastAsia" w:ascii="仿宋" w:hAnsi="仿宋" w:eastAsia="仿宋" w:cs="仿宋"/>
                <w:sz w:val="24"/>
                <w:szCs w:val="24"/>
              </w:rPr>
              <w:t>医疗数据应用协同+应用使用端系统</w:t>
            </w:r>
          </w:p>
        </w:tc>
        <w:tc>
          <w:tcPr>
            <w:tcW w:w="833" w:type="pct"/>
            <w:shd w:val="clear" w:color="000000" w:fill="FFFFFF"/>
            <w:vAlign w:val="center"/>
          </w:tcPr>
          <w:p w14:paraId="5E6AD4C4">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1套</w:t>
            </w:r>
          </w:p>
        </w:tc>
        <w:tc>
          <w:tcPr>
            <w:tcW w:w="1110" w:type="pct"/>
            <w:shd w:val="clear" w:color="000000" w:fill="FFFFFF"/>
            <w:vAlign w:val="center"/>
          </w:tcPr>
          <w:p w14:paraId="02DC2EB6">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否</w:t>
            </w:r>
          </w:p>
        </w:tc>
      </w:tr>
      <w:tr w14:paraId="11B32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633" w:type="pct"/>
            <w:vMerge w:val="continue"/>
            <w:vAlign w:val="center"/>
          </w:tcPr>
          <w:p w14:paraId="1DA1FD3F">
            <w:pPr>
              <w:widowControl/>
              <w:spacing w:line="360" w:lineRule="auto"/>
              <w:contextualSpacing/>
              <w:jc w:val="left"/>
              <w:rPr>
                <w:rFonts w:ascii="仿宋" w:hAnsi="仿宋" w:eastAsia="仿宋" w:cs="宋体"/>
                <w:kern w:val="0"/>
                <w:sz w:val="24"/>
              </w:rPr>
            </w:pPr>
          </w:p>
        </w:tc>
        <w:tc>
          <w:tcPr>
            <w:tcW w:w="1036" w:type="pct"/>
            <w:vMerge w:val="continue"/>
            <w:vAlign w:val="center"/>
          </w:tcPr>
          <w:p w14:paraId="2CA29236">
            <w:pPr>
              <w:widowControl/>
              <w:spacing w:line="360" w:lineRule="auto"/>
              <w:contextualSpacing/>
              <w:jc w:val="left"/>
              <w:rPr>
                <w:rFonts w:ascii="仿宋" w:hAnsi="仿宋" w:eastAsia="仿宋" w:cs="宋体"/>
                <w:kern w:val="0"/>
                <w:sz w:val="24"/>
              </w:rPr>
            </w:pPr>
          </w:p>
        </w:tc>
        <w:tc>
          <w:tcPr>
            <w:tcW w:w="2048" w:type="dxa"/>
            <w:shd w:val="clear" w:color="000000" w:fill="FFFFFF"/>
            <w:vAlign w:val="center"/>
          </w:tcPr>
          <w:p w14:paraId="5E1CED8C">
            <w:pPr>
              <w:spacing w:line="360" w:lineRule="auto"/>
              <w:rPr>
                <w:rFonts w:hint="eastAsia" w:ascii="仿宋" w:hAnsi="仿宋" w:eastAsia="仿宋" w:cs="仿宋"/>
                <w:kern w:val="0"/>
                <w:sz w:val="24"/>
                <w:szCs w:val="24"/>
              </w:rPr>
            </w:pPr>
            <w:r>
              <w:rPr>
                <w:rFonts w:hint="eastAsia" w:ascii="仿宋" w:hAnsi="仿宋" w:eastAsia="仿宋" w:cs="仿宋"/>
                <w:sz w:val="24"/>
                <w:szCs w:val="24"/>
              </w:rPr>
              <w:t>医疗专病科研服务软件</w:t>
            </w:r>
          </w:p>
        </w:tc>
        <w:tc>
          <w:tcPr>
            <w:tcW w:w="833" w:type="pct"/>
            <w:shd w:val="clear" w:color="000000" w:fill="FFFFFF"/>
            <w:vAlign w:val="center"/>
          </w:tcPr>
          <w:p w14:paraId="5B8A0D79">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1套</w:t>
            </w:r>
          </w:p>
        </w:tc>
        <w:tc>
          <w:tcPr>
            <w:tcW w:w="1110" w:type="pct"/>
            <w:shd w:val="clear" w:color="000000" w:fill="FFFFFF"/>
            <w:vAlign w:val="center"/>
          </w:tcPr>
          <w:p w14:paraId="43523FD3">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否</w:t>
            </w:r>
          </w:p>
        </w:tc>
      </w:tr>
      <w:tr w14:paraId="3AEF5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633" w:type="pct"/>
            <w:vMerge w:val="continue"/>
            <w:vAlign w:val="center"/>
          </w:tcPr>
          <w:p w14:paraId="4688761F">
            <w:pPr>
              <w:widowControl/>
              <w:spacing w:line="360" w:lineRule="auto"/>
              <w:contextualSpacing/>
              <w:jc w:val="left"/>
              <w:rPr>
                <w:rFonts w:ascii="仿宋" w:hAnsi="仿宋" w:eastAsia="仿宋" w:cs="宋体"/>
                <w:kern w:val="0"/>
                <w:sz w:val="24"/>
              </w:rPr>
            </w:pPr>
          </w:p>
        </w:tc>
        <w:tc>
          <w:tcPr>
            <w:tcW w:w="1036" w:type="pct"/>
            <w:vMerge w:val="continue"/>
            <w:vAlign w:val="center"/>
          </w:tcPr>
          <w:p w14:paraId="6494B3B1">
            <w:pPr>
              <w:widowControl/>
              <w:spacing w:line="360" w:lineRule="auto"/>
              <w:contextualSpacing/>
              <w:jc w:val="left"/>
              <w:rPr>
                <w:rFonts w:ascii="仿宋" w:hAnsi="仿宋" w:eastAsia="仿宋" w:cs="宋体"/>
                <w:kern w:val="0"/>
                <w:sz w:val="24"/>
              </w:rPr>
            </w:pPr>
          </w:p>
        </w:tc>
        <w:tc>
          <w:tcPr>
            <w:tcW w:w="2048" w:type="dxa"/>
            <w:shd w:val="clear" w:color="000000" w:fill="FFFFFF"/>
            <w:vAlign w:val="center"/>
          </w:tcPr>
          <w:p w14:paraId="3766B30C">
            <w:pPr>
              <w:spacing w:line="360" w:lineRule="auto"/>
              <w:rPr>
                <w:rFonts w:hint="eastAsia" w:ascii="仿宋" w:hAnsi="仿宋" w:eastAsia="仿宋" w:cs="仿宋"/>
                <w:kern w:val="0"/>
                <w:sz w:val="24"/>
                <w:szCs w:val="24"/>
              </w:rPr>
            </w:pPr>
            <w:r>
              <w:rPr>
                <w:rFonts w:hint="eastAsia" w:ascii="仿宋" w:hAnsi="仿宋" w:eastAsia="仿宋" w:cs="仿宋"/>
                <w:sz w:val="24"/>
                <w:szCs w:val="24"/>
              </w:rPr>
              <w:t>可信医疗数据区块链系统</w:t>
            </w:r>
          </w:p>
        </w:tc>
        <w:tc>
          <w:tcPr>
            <w:tcW w:w="833" w:type="pct"/>
            <w:shd w:val="clear" w:color="000000" w:fill="FFFFFF"/>
            <w:vAlign w:val="center"/>
          </w:tcPr>
          <w:p w14:paraId="44915BC7">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1套</w:t>
            </w:r>
          </w:p>
        </w:tc>
        <w:tc>
          <w:tcPr>
            <w:tcW w:w="1110" w:type="pct"/>
            <w:shd w:val="clear" w:color="000000" w:fill="FFFFFF"/>
            <w:vAlign w:val="center"/>
          </w:tcPr>
          <w:p w14:paraId="752A63CA">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否</w:t>
            </w:r>
          </w:p>
        </w:tc>
      </w:tr>
      <w:tr w14:paraId="43B7B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633" w:type="pct"/>
            <w:vMerge w:val="continue"/>
            <w:vAlign w:val="center"/>
          </w:tcPr>
          <w:p w14:paraId="36AF543F">
            <w:pPr>
              <w:widowControl/>
              <w:spacing w:line="360" w:lineRule="auto"/>
              <w:contextualSpacing/>
              <w:jc w:val="left"/>
              <w:rPr>
                <w:rFonts w:ascii="仿宋" w:hAnsi="仿宋" w:eastAsia="仿宋" w:cs="宋体"/>
                <w:kern w:val="0"/>
                <w:sz w:val="24"/>
              </w:rPr>
            </w:pPr>
          </w:p>
        </w:tc>
        <w:tc>
          <w:tcPr>
            <w:tcW w:w="1036" w:type="pct"/>
            <w:vMerge w:val="continue"/>
            <w:vAlign w:val="center"/>
          </w:tcPr>
          <w:p w14:paraId="2AF5124C">
            <w:pPr>
              <w:widowControl/>
              <w:spacing w:line="360" w:lineRule="auto"/>
              <w:contextualSpacing/>
              <w:jc w:val="left"/>
              <w:rPr>
                <w:rFonts w:ascii="仿宋" w:hAnsi="仿宋" w:eastAsia="仿宋" w:cs="宋体"/>
                <w:kern w:val="0"/>
                <w:sz w:val="24"/>
              </w:rPr>
            </w:pPr>
          </w:p>
        </w:tc>
        <w:tc>
          <w:tcPr>
            <w:tcW w:w="2048" w:type="dxa"/>
            <w:shd w:val="clear" w:color="000000" w:fill="FFFFFF"/>
            <w:vAlign w:val="center"/>
          </w:tcPr>
          <w:p w14:paraId="551D8A6A">
            <w:pPr>
              <w:spacing w:line="360" w:lineRule="auto"/>
              <w:rPr>
                <w:rFonts w:hint="eastAsia" w:ascii="仿宋" w:hAnsi="仿宋" w:eastAsia="仿宋" w:cs="仿宋"/>
                <w:kern w:val="0"/>
                <w:sz w:val="24"/>
                <w:szCs w:val="24"/>
              </w:rPr>
            </w:pPr>
            <w:r>
              <w:rPr>
                <w:rFonts w:hint="eastAsia" w:ascii="仿宋" w:hAnsi="仿宋" w:eastAsia="仿宋" w:cs="仿宋"/>
                <w:sz w:val="24"/>
                <w:szCs w:val="24"/>
              </w:rPr>
              <w:t>可信医疗数据存储加密系统</w:t>
            </w:r>
          </w:p>
        </w:tc>
        <w:tc>
          <w:tcPr>
            <w:tcW w:w="833" w:type="pct"/>
            <w:shd w:val="clear" w:color="000000" w:fill="FFFFFF"/>
            <w:vAlign w:val="center"/>
          </w:tcPr>
          <w:p w14:paraId="7C4BC3DD">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1套</w:t>
            </w:r>
          </w:p>
        </w:tc>
        <w:tc>
          <w:tcPr>
            <w:tcW w:w="1110" w:type="pct"/>
            <w:shd w:val="clear" w:color="000000" w:fill="FFFFFF"/>
            <w:vAlign w:val="center"/>
          </w:tcPr>
          <w:p w14:paraId="1339F230">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否</w:t>
            </w:r>
          </w:p>
        </w:tc>
      </w:tr>
      <w:tr w14:paraId="216D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633" w:type="pct"/>
            <w:vMerge w:val="continue"/>
            <w:vAlign w:val="center"/>
          </w:tcPr>
          <w:p w14:paraId="6A313414">
            <w:pPr>
              <w:widowControl/>
              <w:spacing w:line="360" w:lineRule="auto"/>
              <w:contextualSpacing/>
              <w:jc w:val="left"/>
              <w:rPr>
                <w:rFonts w:ascii="仿宋" w:hAnsi="仿宋" w:eastAsia="仿宋" w:cs="宋体"/>
                <w:kern w:val="0"/>
                <w:sz w:val="24"/>
              </w:rPr>
            </w:pPr>
          </w:p>
        </w:tc>
        <w:tc>
          <w:tcPr>
            <w:tcW w:w="1036" w:type="pct"/>
            <w:vMerge w:val="continue"/>
            <w:vAlign w:val="center"/>
          </w:tcPr>
          <w:p w14:paraId="3D613992">
            <w:pPr>
              <w:widowControl/>
              <w:spacing w:line="360" w:lineRule="auto"/>
              <w:contextualSpacing/>
              <w:jc w:val="left"/>
              <w:rPr>
                <w:rFonts w:ascii="仿宋" w:hAnsi="仿宋" w:eastAsia="仿宋" w:cs="宋体"/>
                <w:kern w:val="0"/>
                <w:sz w:val="24"/>
              </w:rPr>
            </w:pPr>
          </w:p>
        </w:tc>
        <w:tc>
          <w:tcPr>
            <w:tcW w:w="2048" w:type="dxa"/>
            <w:shd w:val="clear" w:color="000000" w:fill="FFFFFF"/>
            <w:vAlign w:val="center"/>
          </w:tcPr>
          <w:p w14:paraId="368A1374">
            <w:pPr>
              <w:spacing w:line="360" w:lineRule="auto"/>
              <w:rPr>
                <w:rFonts w:hint="eastAsia" w:ascii="仿宋" w:hAnsi="仿宋" w:eastAsia="仿宋" w:cs="仿宋"/>
                <w:kern w:val="0"/>
                <w:sz w:val="24"/>
                <w:szCs w:val="24"/>
              </w:rPr>
            </w:pPr>
            <w:r>
              <w:rPr>
                <w:rFonts w:hint="eastAsia" w:ascii="仿宋" w:hAnsi="仿宋" w:eastAsia="仿宋" w:cs="仿宋"/>
                <w:sz w:val="24"/>
                <w:szCs w:val="24"/>
              </w:rPr>
              <w:t>医疗数据采集+移动端系统</w:t>
            </w:r>
          </w:p>
        </w:tc>
        <w:tc>
          <w:tcPr>
            <w:tcW w:w="833" w:type="pct"/>
            <w:shd w:val="clear" w:color="000000" w:fill="FFFFFF"/>
            <w:vAlign w:val="center"/>
          </w:tcPr>
          <w:p w14:paraId="58B3F235">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1套</w:t>
            </w:r>
          </w:p>
        </w:tc>
        <w:tc>
          <w:tcPr>
            <w:tcW w:w="1110" w:type="pct"/>
            <w:shd w:val="clear" w:color="000000" w:fill="FFFFFF"/>
            <w:vAlign w:val="center"/>
          </w:tcPr>
          <w:p w14:paraId="315AE03B">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否</w:t>
            </w:r>
          </w:p>
        </w:tc>
      </w:tr>
      <w:tr w14:paraId="3224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633" w:type="pct"/>
            <w:vMerge w:val="continue"/>
            <w:vAlign w:val="center"/>
          </w:tcPr>
          <w:p w14:paraId="26DC6450">
            <w:pPr>
              <w:widowControl/>
              <w:spacing w:line="360" w:lineRule="auto"/>
              <w:contextualSpacing/>
              <w:jc w:val="left"/>
              <w:rPr>
                <w:rFonts w:ascii="仿宋" w:hAnsi="仿宋" w:eastAsia="仿宋" w:cs="宋体"/>
                <w:kern w:val="0"/>
                <w:sz w:val="24"/>
              </w:rPr>
            </w:pPr>
          </w:p>
        </w:tc>
        <w:tc>
          <w:tcPr>
            <w:tcW w:w="1036" w:type="pct"/>
            <w:vMerge w:val="continue"/>
            <w:vAlign w:val="center"/>
          </w:tcPr>
          <w:p w14:paraId="4FE012C1">
            <w:pPr>
              <w:widowControl/>
              <w:spacing w:line="360" w:lineRule="auto"/>
              <w:contextualSpacing/>
              <w:jc w:val="left"/>
              <w:rPr>
                <w:rFonts w:ascii="仿宋" w:hAnsi="仿宋" w:eastAsia="仿宋" w:cs="宋体"/>
                <w:kern w:val="0"/>
                <w:sz w:val="24"/>
              </w:rPr>
            </w:pPr>
          </w:p>
        </w:tc>
        <w:tc>
          <w:tcPr>
            <w:tcW w:w="2048" w:type="dxa"/>
            <w:shd w:val="clear" w:color="000000" w:fill="FFFFFF"/>
            <w:vAlign w:val="center"/>
          </w:tcPr>
          <w:p w14:paraId="19397E87">
            <w:pPr>
              <w:spacing w:line="360" w:lineRule="auto"/>
              <w:rPr>
                <w:rFonts w:hint="eastAsia" w:ascii="仿宋" w:hAnsi="仿宋" w:eastAsia="仿宋" w:cs="仿宋"/>
                <w:kern w:val="0"/>
                <w:sz w:val="24"/>
                <w:szCs w:val="24"/>
              </w:rPr>
            </w:pPr>
            <w:r>
              <w:rPr>
                <w:rFonts w:hint="eastAsia" w:ascii="仿宋" w:hAnsi="仿宋" w:eastAsia="仿宋" w:cs="仿宋"/>
                <w:sz w:val="24"/>
                <w:szCs w:val="24"/>
              </w:rPr>
              <w:t>中央随机化管理系统</w:t>
            </w:r>
          </w:p>
        </w:tc>
        <w:tc>
          <w:tcPr>
            <w:tcW w:w="833" w:type="pct"/>
            <w:shd w:val="clear" w:color="000000" w:fill="FFFFFF"/>
            <w:vAlign w:val="center"/>
          </w:tcPr>
          <w:p w14:paraId="1558C08D">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1套</w:t>
            </w:r>
          </w:p>
        </w:tc>
        <w:tc>
          <w:tcPr>
            <w:tcW w:w="1110" w:type="pct"/>
            <w:shd w:val="clear" w:color="000000" w:fill="FFFFFF"/>
            <w:vAlign w:val="center"/>
          </w:tcPr>
          <w:p w14:paraId="68FA871F">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否</w:t>
            </w:r>
          </w:p>
        </w:tc>
      </w:tr>
      <w:tr w14:paraId="48A98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633" w:type="pct"/>
            <w:vMerge w:val="continue"/>
            <w:vAlign w:val="center"/>
          </w:tcPr>
          <w:p w14:paraId="4A8AAB64">
            <w:pPr>
              <w:widowControl/>
              <w:spacing w:line="360" w:lineRule="auto"/>
              <w:contextualSpacing/>
              <w:jc w:val="left"/>
              <w:rPr>
                <w:rFonts w:ascii="仿宋" w:hAnsi="仿宋" w:eastAsia="仿宋" w:cs="宋体"/>
                <w:kern w:val="0"/>
                <w:sz w:val="24"/>
              </w:rPr>
            </w:pPr>
          </w:p>
        </w:tc>
        <w:tc>
          <w:tcPr>
            <w:tcW w:w="1036" w:type="pct"/>
            <w:vMerge w:val="continue"/>
            <w:vAlign w:val="center"/>
          </w:tcPr>
          <w:p w14:paraId="5AF56BDE">
            <w:pPr>
              <w:widowControl/>
              <w:spacing w:line="360" w:lineRule="auto"/>
              <w:contextualSpacing/>
              <w:jc w:val="left"/>
              <w:rPr>
                <w:rFonts w:ascii="仿宋" w:hAnsi="仿宋" w:eastAsia="仿宋" w:cs="宋体"/>
                <w:kern w:val="0"/>
                <w:sz w:val="24"/>
              </w:rPr>
            </w:pPr>
          </w:p>
        </w:tc>
        <w:tc>
          <w:tcPr>
            <w:tcW w:w="2048" w:type="dxa"/>
            <w:shd w:val="clear" w:color="000000" w:fill="FFFFFF"/>
            <w:vAlign w:val="center"/>
          </w:tcPr>
          <w:p w14:paraId="743982AB">
            <w:pPr>
              <w:spacing w:line="360" w:lineRule="auto"/>
              <w:rPr>
                <w:rFonts w:hint="eastAsia" w:ascii="仿宋" w:hAnsi="仿宋" w:eastAsia="仿宋" w:cs="仿宋"/>
                <w:kern w:val="0"/>
                <w:sz w:val="24"/>
                <w:szCs w:val="24"/>
              </w:rPr>
            </w:pPr>
            <w:r>
              <w:rPr>
                <w:rFonts w:hint="eastAsia" w:ascii="仿宋" w:hAnsi="仿宋" w:eastAsia="仿宋" w:cs="仿宋"/>
                <w:sz w:val="24"/>
                <w:szCs w:val="24"/>
              </w:rPr>
              <w:t>人工智能医疗随访智能引擎+随访系统</w:t>
            </w:r>
          </w:p>
        </w:tc>
        <w:tc>
          <w:tcPr>
            <w:tcW w:w="833" w:type="pct"/>
            <w:shd w:val="clear" w:color="000000" w:fill="FFFFFF"/>
            <w:vAlign w:val="center"/>
          </w:tcPr>
          <w:p w14:paraId="3A4739FA">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1套</w:t>
            </w:r>
          </w:p>
        </w:tc>
        <w:tc>
          <w:tcPr>
            <w:tcW w:w="1110" w:type="pct"/>
            <w:shd w:val="clear" w:color="000000" w:fill="FFFFFF"/>
            <w:vAlign w:val="center"/>
          </w:tcPr>
          <w:p w14:paraId="1042EAD6">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否</w:t>
            </w:r>
          </w:p>
        </w:tc>
      </w:tr>
      <w:tr w14:paraId="260E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633" w:type="pct"/>
            <w:vMerge w:val="continue"/>
            <w:vAlign w:val="center"/>
          </w:tcPr>
          <w:p w14:paraId="38A18329">
            <w:pPr>
              <w:widowControl/>
              <w:spacing w:line="360" w:lineRule="auto"/>
              <w:contextualSpacing/>
              <w:jc w:val="left"/>
              <w:rPr>
                <w:rFonts w:ascii="仿宋" w:hAnsi="仿宋" w:eastAsia="仿宋" w:cs="宋体"/>
                <w:kern w:val="0"/>
                <w:sz w:val="24"/>
              </w:rPr>
            </w:pPr>
          </w:p>
        </w:tc>
        <w:tc>
          <w:tcPr>
            <w:tcW w:w="1036" w:type="pct"/>
            <w:vMerge w:val="continue"/>
            <w:vAlign w:val="center"/>
          </w:tcPr>
          <w:p w14:paraId="48B42BC9">
            <w:pPr>
              <w:widowControl/>
              <w:spacing w:line="360" w:lineRule="auto"/>
              <w:contextualSpacing/>
              <w:jc w:val="left"/>
              <w:rPr>
                <w:rFonts w:ascii="仿宋" w:hAnsi="仿宋" w:eastAsia="仿宋" w:cs="宋体"/>
                <w:kern w:val="0"/>
                <w:sz w:val="24"/>
              </w:rPr>
            </w:pPr>
          </w:p>
        </w:tc>
        <w:tc>
          <w:tcPr>
            <w:tcW w:w="2048" w:type="dxa"/>
            <w:shd w:val="clear" w:color="000000" w:fill="FFFFFF"/>
            <w:vAlign w:val="center"/>
          </w:tcPr>
          <w:p w14:paraId="0CB3A780">
            <w:pPr>
              <w:spacing w:line="360" w:lineRule="auto"/>
              <w:rPr>
                <w:rFonts w:hint="eastAsia" w:ascii="仿宋" w:hAnsi="仿宋" w:eastAsia="仿宋" w:cs="仿宋"/>
                <w:kern w:val="0"/>
                <w:sz w:val="24"/>
                <w:szCs w:val="24"/>
              </w:rPr>
            </w:pPr>
            <w:r>
              <w:rPr>
                <w:rFonts w:hint="eastAsia" w:ascii="仿宋" w:hAnsi="仿宋" w:eastAsia="仿宋" w:cs="仿宋"/>
                <w:sz w:val="24"/>
                <w:szCs w:val="24"/>
              </w:rPr>
              <w:t>临床试验数据协作系统</w:t>
            </w:r>
          </w:p>
        </w:tc>
        <w:tc>
          <w:tcPr>
            <w:tcW w:w="833" w:type="pct"/>
            <w:shd w:val="clear" w:color="000000" w:fill="FFFFFF"/>
            <w:vAlign w:val="center"/>
          </w:tcPr>
          <w:p w14:paraId="470B7FAE">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1套</w:t>
            </w:r>
          </w:p>
        </w:tc>
        <w:tc>
          <w:tcPr>
            <w:tcW w:w="1110" w:type="pct"/>
            <w:shd w:val="clear" w:color="000000" w:fill="FFFFFF"/>
            <w:vAlign w:val="center"/>
          </w:tcPr>
          <w:p w14:paraId="1CFB77C5">
            <w:pPr>
              <w:widowControl/>
              <w:spacing w:line="360" w:lineRule="auto"/>
              <w:contextualSpacing/>
              <w:jc w:val="center"/>
              <w:rPr>
                <w:rFonts w:hint="eastAsia" w:ascii="仿宋" w:hAnsi="仿宋" w:eastAsia="仿宋" w:cs="仿宋"/>
                <w:kern w:val="0"/>
                <w:sz w:val="24"/>
              </w:rPr>
            </w:pPr>
            <w:r>
              <w:rPr>
                <w:rFonts w:hint="eastAsia" w:ascii="仿宋" w:hAnsi="仿宋" w:eastAsia="仿宋" w:cs="仿宋"/>
                <w:kern w:val="0"/>
                <w:sz w:val="24"/>
              </w:rPr>
              <w:t>否</w:t>
            </w:r>
          </w:p>
        </w:tc>
      </w:tr>
      <w:bookmarkEnd w:id="2"/>
    </w:tbl>
    <w:p w14:paraId="0F32F965">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（二）项目背景/项目概述</w:t>
      </w:r>
    </w:p>
    <w:p w14:paraId="743A02E8">
      <w:pPr>
        <w:pStyle w:val="18"/>
        <w:adjustRightInd w:val="0"/>
        <w:spacing w:line="360" w:lineRule="auto"/>
        <w:ind w:firstLine="480"/>
        <w:contextualSpacing/>
        <w:rPr>
          <w:rFonts w:hint="eastAsia" w:ascii="仿宋" w:hAnsi="仿宋" w:eastAsia="仿宋" w:cs="仿宋"/>
          <w:sz w:val="24"/>
          <w:szCs w:val="24"/>
        </w:rPr>
      </w:pPr>
      <w:bookmarkStart w:id="6" w:name="OLE_LINK368"/>
      <w:r>
        <w:rPr>
          <w:rFonts w:hint="eastAsia" w:ascii="仿宋" w:hAnsi="仿宋" w:eastAsia="仿宋" w:cs="仿宋"/>
          <w:sz w:val="24"/>
          <w:szCs w:val="24"/>
        </w:rPr>
        <w:t>过敏性疾病创新药物国家工程研究中心旨在研发生物治疗药物、分子诊断器械及慢病规范诊疗新技术，推动相关产品转化和临床应用。本项目为过敏性疾病创新药物国家工程研究中心创新能力建设。</w:t>
      </w:r>
    </w:p>
    <w:p w14:paraId="0FBD4A9A">
      <w:pPr>
        <w:pStyle w:val="18"/>
        <w:adjustRightInd w:val="0"/>
        <w:spacing w:line="360" w:lineRule="auto"/>
        <w:ind w:firstLine="480"/>
        <w:contextualSpacing/>
        <w:rPr>
          <w:rFonts w:hint="eastAsia" w:ascii="仿宋" w:hAnsi="仿宋" w:eastAsia="仿宋" w:cs="仿宋"/>
          <w:sz w:val="24"/>
          <w:szCs w:val="24"/>
        </w:rPr>
      </w:pPr>
      <w:r>
        <w:rPr>
          <w:rFonts w:hint="eastAsia" w:ascii="仿宋" w:hAnsi="仿宋" w:eastAsia="仿宋" w:cs="仿宋"/>
          <w:sz w:val="24"/>
          <w:szCs w:val="24"/>
        </w:rPr>
        <w:t>该项目拟采用高性能基础设施和先进技术满足工程研究中心当前及未来五年信息化和业务需求，涵盖医疗信息化基础服务、科学研究创新、临床研究创新、医药多模态大数据应用、人工智能医药研发、医药数据安全共享及医药产研成果转化等方面的建设需求；拟构建集信息化基础设施、医药研究服务、医药研发服务、高性能计算服务、医药多模态大数据存储服务、网络信息和数据安全防护、医药可信应用协同于一体的医药大数据协同应用服务体系，形成覆盖“采、治、管、存、用、算、安全”的综合能力底座。</w:t>
      </w:r>
    </w:p>
    <w:p w14:paraId="18B65575">
      <w:pPr>
        <w:pStyle w:val="18"/>
        <w:adjustRightInd w:val="0"/>
        <w:spacing w:line="360" w:lineRule="auto"/>
        <w:ind w:firstLine="480"/>
        <w:contextualSpacing/>
        <w:rPr>
          <w:rFonts w:hint="eastAsia" w:ascii="仿宋" w:hAnsi="仿宋" w:eastAsia="仿宋" w:cs="仿宋"/>
          <w:sz w:val="24"/>
          <w:szCs w:val="24"/>
        </w:rPr>
      </w:pPr>
      <w:r>
        <w:rPr>
          <w:rFonts w:hint="eastAsia" w:ascii="仿宋" w:hAnsi="仿宋" w:eastAsia="仿宋" w:cs="仿宋"/>
          <w:sz w:val="24"/>
          <w:szCs w:val="24"/>
        </w:rPr>
        <w:t>项目拟建设安全合规、高性能、兼容信创适配的基础设施和服务应用一体化平台，平台产品成熟、功能齐全、赋能医药研究和产研转化实践创新、具有自主知识产权，具备高灵活性、扩展性、示范性、先进性、前沿性，在保障医药数据安全合规前提下，推动跨域医药协同应用，为国家工程研究中心持续开展科研攻关、医药研发、医药转化创新提供高效稳定且长久支撑。</w:t>
      </w:r>
    </w:p>
    <w:p w14:paraId="5F761AFB">
      <w:pPr>
        <w:tabs>
          <w:tab w:val="left" w:pos="5456"/>
        </w:tabs>
        <w:snapToGrid w:val="0"/>
        <w:spacing w:line="360" w:lineRule="auto"/>
        <w:ind w:firstLine="482" w:firstLineChars="200"/>
        <w:jc w:val="left"/>
        <w:rPr>
          <w:rFonts w:ascii="仿宋" w:hAnsi="仿宋" w:eastAsia="仿宋" w:cs="仿宋"/>
          <w:b/>
          <w:bCs/>
          <w:sz w:val="24"/>
        </w:rPr>
      </w:pPr>
      <w:r>
        <w:rPr>
          <w:rFonts w:hint="eastAsia" w:ascii="仿宋" w:hAnsi="仿宋" w:eastAsia="仿宋" w:cs="仿宋"/>
          <w:b/>
          <w:bCs/>
          <w:sz w:val="24"/>
        </w:rPr>
        <w:t>二、商务要求</w:t>
      </w:r>
      <w:bookmarkEnd w:id="6"/>
      <w:r>
        <w:rPr>
          <w:rFonts w:ascii="仿宋" w:hAnsi="仿宋" w:eastAsia="仿宋" w:cs="仿宋"/>
          <w:b/>
          <w:bCs/>
          <w:sz w:val="24"/>
        </w:rPr>
        <w:tab/>
      </w:r>
    </w:p>
    <w:p w14:paraId="03501C57">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（一）交付（实施）的时间（期限）和地点（范围）</w:t>
      </w:r>
    </w:p>
    <w:p w14:paraId="3BB20805">
      <w:pPr>
        <w:snapToGrid w:val="0"/>
        <w:spacing w:line="360" w:lineRule="auto"/>
        <w:ind w:firstLine="480" w:firstLineChars="200"/>
        <w:jc w:val="left"/>
        <w:rPr>
          <w:rFonts w:ascii="仿宋" w:hAnsi="仿宋" w:eastAsia="仿宋" w:cs="仿宋"/>
          <w:b w:val="0"/>
          <w:bCs/>
          <w:sz w:val="24"/>
        </w:rPr>
      </w:pPr>
      <w:r>
        <w:rPr>
          <w:rFonts w:hint="eastAsia" w:ascii="仿宋" w:hAnsi="仿宋" w:eastAsia="仿宋" w:cs="仿宋"/>
          <w:bCs/>
          <w:sz w:val="24"/>
        </w:rPr>
        <w:t>1、</w:t>
      </w:r>
      <w:r>
        <w:rPr>
          <w:rFonts w:hint="eastAsia" w:ascii="仿宋" w:hAnsi="仿宋" w:eastAsia="仿宋" w:cs="仿宋"/>
          <w:b w:val="0"/>
          <w:bCs/>
          <w:sz w:val="24"/>
        </w:rPr>
        <w:t>交付时间：</w:t>
      </w:r>
      <w:r>
        <w:rPr>
          <w:rFonts w:hint="eastAsia" w:ascii="仿宋" w:hAnsi="仿宋" w:eastAsia="仿宋" w:cs="仿宋"/>
          <w:b w:val="0"/>
          <w:bCs/>
          <w:spacing w:val="3"/>
          <w:kern w:val="2"/>
          <w:sz w:val="24"/>
          <w:szCs w:val="24"/>
          <w:lang w:eastAsia="zh-CN"/>
        </w:rPr>
        <w:t>合同生效后，存储设施30天内；定制化软件设施 90日内。</w:t>
      </w:r>
    </w:p>
    <w:p w14:paraId="74DD6DE9">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2、交付地点：</w:t>
      </w:r>
      <w:r>
        <w:rPr>
          <w:rFonts w:hint="eastAsia" w:ascii="仿宋" w:hAnsi="仿宋" w:eastAsia="仿宋" w:cs="宋体"/>
          <w:sz w:val="24"/>
          <w:lang w:eastAsia="zh-CN"/>
        </w:rPr>
        <w:t>首都医科大学附属北京同仁医院</w:t>
      </w:r>
      <w:r>
        <w:rPr>
          <w:rFonts w:hint="eastAsia" w:ascii="仿宋" w:hAnsi="仿宋" w:eastAsia="仿宋" w:cs="宋体"/>
          <w:sz w:val="24"/>
        </w:rPr>
        <w:t>指定地点。</w:t>
      </w:r>
    </w:p>
    <w:p w14:paraId="5C07A12F">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（二）付款条件（进度和方式）</w:t>
      </w:r>
    </w:p>
    <w:p w14:paraId="29381EF3">
      <w:pPr>
        <w:snapToGrid w:val="0"/>
        <w:spacing w:line="360" w:lineRule="auto"/>
        <w:ind w:firstLine="480" w:firstLineChars="200"/>
        <w:jc w:val="left"/>
        <w:rPr>
          <w:rFonts w:ascii="仿宋" w:hAnsi="仿宋" w:eastAsia="仿宋" w:cs="宋体"/>
          <w:sz w:val="24"/>
        </w:rPr>
      </w:pPr>
      <w:r>
        <w:rPr>
          <w:rFonts w:hint="eastAsia" w:ascii="仿宋" w:hAnsi="仿宋" w:eastAsia="仿宋" w:cs="宋体"/>
          <w:sz w:val="24"/>
        </w:rPr>
        <w:t>详见第六章拟签订的合同文本</w:t>
      </w:r>
    </w:p>
    <w:p w14:paraId="713402D0">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（三）包装和运输</w:t>
      </w:r>
    </w:p>
    <w:p w14:paraId="371D4BBA">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14ABA679">
      <w:pPr>
        <w:snapToGrid w:val="0"/>
        <w:spacing w:line="360" w:lineRule="auto"/>
        <w:ind w:firstLine="480" w:firstLineChars="200"/>
        <w:jc w:val="left"/>
        <w:rPr>
          <w:rFonts w:ascii="仿宋" w:hAnsi="仿宋" w:eastAsia="仿宋" w:cs="仿宋"/>
          <w:bCs/>
          <w:sz w:val="24"/>
        </w:rPr>
      </w:pPr>
      <w:bookmarkStart w:id="7" w:name="OLE_LINK369"/>
      <w:bookmarkStart w:id="8" w:name="OLE_LINK370"/>
      <w:r>
        <w:rPr>
          <w:rFonts w:hint="eastAsia" w:ascii="仿宋" w:hAnsi="仿宋" w:eastAsia="仿宋" w:cs="仿宋"/>
          <w:bCs/>
          <w:sz w:val="24"/>
        </w:rPr>
        <w:t>（四）</w:t>
      </w:r>
      <w:bookmarkEnd w:id="7"/>
      <w:bookmarkEnd w:id="8"/>
      <w:bookmarkStart w:id="9" w:name="OLE_LINK26"/>
      <w:bookmarkStart w:id="10" w:name="OLE_LINK27"/>
      <w:bookmarkStart w:id="11" w:name="OLE_LINK367"/>
      <w:r>
        <w:rPr>
          <w:rFonts w:hint="eastAsia" w:ascii="仿宋" w:hAnsi="仿宋" w:eastAsia="仿宋" w:cs="仿宋"/>
          <w:bCs/>
          <w:sz w:val="24"/>
        </w:rPr>
        <w:t>售后服务（质保期）</w:t>
      </w:r>
      <w:bookmarkEnd w:id="9"/>
      <w:bookmarkEnd w:id="10"/>
      <w:bookmarkEnd w:id="11"/>
    </w:p>
    <w:p w14:paraId="05D06A86">
      <w:pPr>
        <w:snapToGrid w:val="0"/>
        <w:spacing w:line="360" w:lineRule="auto"/>
        <w:ind w:firstLine="480" w:firstLineChars="200"/>
        <w:jc w:val="left"/>
        <w:rPr>
          <w:rFonts w:hint="eastAsia" w:ascii="仿宋" w:hAnsi="仿宋" w:eastAsia="仿宋" w:cs="仿宋"/>
          <w:bCs/>
          <w:sz w:val="24"/>
          <w:highlight w:val="none"/>
          <w:lang w:val="en-US" w:eastAsia="zh-CN"/>
        </w:rPr>
      </w:pPr>
      <w:bookmarkStart w:id="12" w:name="OLE_LINK72"/>
      <w:bookmarkStart w:id="13" w:name="OLE_LINK71"/>
      <w:r>
        <w:rPr>
          <w:rFonts w:hint="eastAsia" w:ascii="仿宋" w:hAnsi="仿宋" w:eastAsia="仿宋" w:cs="仿宋"/>
          <w:bCs w:val="0"/>
          <w:sz w:val="24"/>
          <w:lang w:val="en-US" w:eastAsia="zh-CN" w:bidi="ar"/>
        </w:rPr>
        <w:t>原厂三年质保</w:t>
      </w:r>
      <w:r>
        <w:rPr>
          <w:rFonts w:hint="eastAsia" w:ascii="仿宋" w:hAnsi="仿宋" w:eastAsia="仿宋" w:cs="仿宋"/>
          <w:bCs w:val="0"/>
          <w:sz w:val="24"/>
          <w:szCs w:val="24"/>
          <w:lang w:bidi="ar"/>
        </w:rPr>
        <w:t>和软件升级支持服务</w:t>
      </w:r>
      <w:r>
        <w:rPr>
          <w:rFonts w:hint="eastAsia" w:ascii="仿宋" w:hAnsi="仿宋" w:eastAsia="仿宋" w:cs="仿宋"/>
          <w:bCs w:val="0"/>
          <w:sz w:val="24"/>
          <w:szCs w:val="24"/>
          <w:lang w:eastAsia="zh-CN" w:bidi="ar"/>
        </w:rPr>
        <w:t>，</w:t>
      </w:r>
      <w:r>
        <w:rPr>
          <w:rFonts w:hint="eastAsia" w:ascii="仿宋" w:hAnsi="仿宋" w:eastAsia="仿宋" w:cs="仿宋"/>
          <w:sz w:val="24"/>
          <w:szCs w:val="24"/>
          <w:lang w:bidi="ar"/>
        </w:rPr>
        <w:t>提供售后服务承诺函</w:t>
      </w:r>
      <w:r>
        <w:rPr>
          <w:rFonts w:hint="eastAsia" w:ascii="仿宋" w:hAnsi="仿宋" w:eastAsia="仿宋" w:cs="仿宋"/>
          <w:bCs w:val="0"/>
          <w:sz w:val="24"/>
          <w:szCs w:val="24"/>
          <w:lang w:eastAsia="zh-CN" w:bidi="ar"/>
        </w:rPr>
        <w:t>。</w:t>
      </w:r>
      <w:r>
        <w:rPr>
          <w:rFonts w:hint="eastAsia" w:ascii="仿宋" w:hAnsi="仿宋" w:eastAsia="仿宋" w:cs="仿宋"/>
          <w:bCs w:val="0"/>
          <w:sz w:val="24"/>
          <w:lang w:val="en-US" w:eastAsia="zh-CN" w:bidi="ar"/>
        </w:rPr>
        <w:t>售后服务要求</w:t>
      </w:r>
      <w:r>
        <w:rPr>
          <w:rFonts w:hint="eastAsia" w:ascii="仿宋" w:hAnsi="仿宋" w:eastAsia="仿宋" w:cs="仿宋"/>
          <w:bCs w:val="0"/>
          <w:sz w:val="24"/>
          <w:lang w:bidi="ar"/>
        </w:rPr>
        <w:t>详见</w:t>
      </w:r>
      <w:r>
        <w:rPr>
          <w:rFonts w:hint="eastAsia" w:ascii="仿宋" w:hAnsi="仿宋" w:eastAsia="仿宋" w:cs="仿宋"/>
          <w:bCs w:val="0"/>
          <w:sz w:val="24"/>
          <w:lang w:eastAsia="zh-CN" w:bidi="ar"/>
        </w:rPr>
        <w:t>“</w:t>
      </w:r>
      <w:r>
        <w:rPr>
          <w:rFonts w:hint="eastAsia" w:ascii="仿宋" w:hAnsi="仿宋" w:eastAsia="仿宋" w:cs="仿宋"/>
          <w:b w:val="0"/>
          <w:bCs w:val="0"/>
          <w:sz w:val="24"/>
          <w:lang w:bidi="ar"/>
        </w:rPr>
        <w:t>三、技术要求</w:t>
      </w:r>
      <w:r>
        <w:rPr>
          <w:rFonts w:hint="eastAsia" w:ascii="仿宋" w:hAnsi="仿宋" w:eastAsia="仿宋" w:cs="仿宋"/>
          <w:bCs w:val="0"/>
          <w:sz w:val="24"/>
          <w:lang w:val="en-US" w:eastAsia="zh-CN" w:bidi="ar"/>
        </w:rPr>
        <w:t xml:space="preserve"> </w:t>
      </w:r>
      <w:r>
        <w:rPr>
          <w:rFonts w:hint="eastAsia" w:ascii="仿宋" w:hAnsi="仿宋" w:eastAsia="仿宋" w:cs="仿宋"/>
          <w:bCs w:val="0"/>
          <w:kern w:val="2"/>
          <w:sz w:val="24"/>
          <w:szCs w:val="24"/>
          <w:lang w:val="en-US" w:eastAsia="zh-CN" w:bidi="ar"/>
        </w:rPr>
        <w:t>1</w:t>
      </w:r>
      <w:r>
        <w:rPr>
          <w:rFonts w:hint="eastAsia" w:ascii="仿宋" w:hAnsi="仿宋" w:eastAsia="仿宋" w:cs="仿宋"/>
          <w:bCs/>
          <w:kern w:val="2"/>
          <w:sz w:val="24"/>
          <w:szCs w:val="24"/>
          <w:highlight w:val="none"/>
          <w:lang w:val="en-US" w:eastAsia="zh-CN" w:bidi="ar-SA"/>
        </w:rPr>
        <w:t xml:space="preserve">、采购标的需满足的性能、材料、结构、外观、质量、安全、技术规格、物理特性等要求： </w:t>
      </w:r>
      <w:r>
        <w:rPr>
          <w:rFonts w:hint="eastAsia" w:ascii="仿宋" w:hAnsi="仿宋" w:eastAsia="仿宋" w:cs="仿宋"/>
          <w:bCs/>
          <w:sz w:val="24"/>
          <w:highlight w:val="none"/>
          <w:lang w:val="en-US" w:eastAsia="zh-CN"/>
        </w:rPr>
        <w:t>二、</w:t>
      </w:r>
      <w:r>
        <w:rPr>
          <w:rFonts w:hint="eastAsia" w:ascii="仿宋" w:hAnsi="仿宋" w:eastAsia="仿宋" w:cs="仿宋"/>
          <w:bCs/>
          <w:sz w:val="24"/>
          <w:highlight w:val="none"/>
        </w:rPr>
        <w:t>服务要求</w:t>
      </w:r>
      <w:r>
        <w:rPr>
          <w:rFonts w:hint="eastAsia" w:ascii="仿宋" w:hAnsi="仿宋" w:eastAsia="仿宋" w:cs="仿宋"/>
          <w:bCs/>
          <w:sz w:val="24"/>
          <w:highlight w:val="none"/>
          <w:lang w:eastAsia="zh-CN"/>
        </w:rPr>
        <w:t>”</w:t>
      </w:r>
      <w:r>
        <w:rPr>
          <w:rFonts w:hint="eastAsia" w:ascii="仿宋" w:hAnsi="仿宋" w:eastAsia="仿宋" w:cs="仿宋"/>
          <w:bCs/>
          <w:sz w:val="24"/>
          <w:highlight w:val="none"/>
          <w:lang w:val="en-US" w:eastAsia="zh-CN"/>
        </w:rPr>
        <w:t>中的“</w:t>
      </w:r>
      <w:r>
        <w:rPr>
          <w:rFonts w:hint="eastAsia" w:ascii="仿宋" w:hAnsi="仿宋" w:eastAsia="仿宋" w:cs="仿宋"/>
          <w:bCs/>
          <w:spacing w:val="0"/>
          <w:kern w:val="2"/>
          <w:sz w:val="24"/>
          <w:szCs w:val="24"/>
          <w:highlight w:val="none"/>
          <w:lang w:val="en-US" w:eastAsia="zh-CN"/>
        </w:rPr>
        <w:t>项目</w:t>
      </w:r>
      <w:r>
        <w:rPr>
          <w:rFonts w:hint="eastAsia" w:ascii="仿宋" w:hAnsi="仿宋" w:eastAsia="仿宋" w:cs="仿宋"/>
          <w:bCs/>
          <w:spacing w:val="0"/>
          <w:kern w:val="2"/>
          <w:sz w:val="24"/>
          <w:szCs w:val="24"/>
          <w:highlight w:val="none"/>
        </w:rPr>
        <w:t>质保要</w:t>
      </w:r>
      <w:r>
        <w:rPr>
          <w:rFonts w:hint="eastAsia" w:ascii="仿宋" w:hAnsi="仿宋" w:eastAsia="仿宋" w:cs="仿宋"/>
          <w:bCs/>
          <w:kern w:val="2"/>
          <w:sz w:val="24"/>
          <w:szCs w:val="24"/>
          <w:highlight w:val="none"/>
        </w:rPr>
        <w:t>求</w:t>
      </w:r>
      <w:r>
        <w:rPr>
          <w:rFonts w:hint="eastAsia" w:ascii="仿宋" w:hAnsi="仿宋" w:eastAsia="仿宋" w:cs="仿宋"/>
          <w:bCs/>
          <w:sz w:val="24"/>
          <w:highlight w:val="none"/>
          <w:lang w:val="en-US" w:eastAsia="zh-CN"/>
        </w:rPr>
        <w:t>”的相关要求。</w:t>
      </w:r>
    </w:p>
    <w:p w14:paraId="75AF4CE0">
      <w:pPr>
        <w:snapToGrid w:val="0"/>
        <w:spacing w:line="360" w:lineRule="auto"/>
        <w:ind w:firstLine="482" w:firstLineChars="200"/>
        <w:jc w:val="left"/>
        <w:rPr>
          <w:rFonts w:ascii="仿宋" w:hAnsi="仿宋" w:eastAsia="仿宋" w:cs="仿宋"/>
          <w:b/>
          <w:bCs/>
          <w:sz w:val="24"/>
        </w:rPr>
      </w:pPr>
      <w:r>
        <w:rPr>
          <w:rFonts w:hint="eastAsia" w:ascii="仿宋" w:hAnsi="仿宋" w:eastAsia="仿宋" w:cs="仿宋"/>
          <w:b/>
          <w:bCs/>
          <w:sz w:val="24"/>
        </w:rPr>
        <w:t>三、技术要求</w:t>
      </w:r>
    </w:p>
    <w:bookmarkEnd w:id="12"/>
    <w:bookmarkEnd w:id="13"/>
    <w:p w14:paraId="5AB78A88">
      <w:pPr>
        <w:snapToGrid w:val="0"/>
        <w:spacing w:line="360" w:lineRule="auto"/>
        <w:ind w:firstLine="482" w:firstLineChars="200"/>
        <w:jc w:val="left"/>
        <w:rPr>
          <w:rFonts w:hint="eastAsia" w:ascii="仿宋" w:hAnsi="仿宋" w:eastAsia="仿宋" w:cs="仿宋"/>
          <w:b/>
          <w:bCs/>
          <w:sz w:val="24"/>
        </w:rPr>
      </w:pPr>
      <w:r>
        <w:rPr>
          <w:rFonts w:hint="eastAsia" w:ascii="仿宋" w:hAnsi="仿宋" w:eastAsia="仿宋" w:cs="仿宋"/>
          <w:b/>
          <w:bCs/>
          <w:sz w:val="24"/>
        </w:rPr>
        <w:t>（一）基本要求</w:t>
      </w:r>
    </w:p>
    <w:p w14:paraId="4B716DFD">
      <w:pPr>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采购标的需实现的功能或者目标</w:t>
      </w:r>
    </w:p>
    <w:p w14:paraId="21FBD941">
      <w:pPr>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本次招标为为支撑国家工程研究中心医药临床研究、大队列科研、多源异构数据处理与面向多中心服务等需求，提供高性能、高可靠、国产化兼容的存储支撑体系，以及致力于过敏性疾病药物研发及临床转化，聚焦产研转化和产业赋能，推动药物研发成果的转化与产业化，构建自主可控、稳定兼容的面向临床、科研和转化服务的研究研发一体化协同服务和创新医药应用服务，供应商应根据招标文件所提出的技术规格和服务要求，综合考虑所投货物和软件系统的适用性，选择需要最佳性能价格比的货物和软件系统前来投标。供应商应以先进的技术、优良的服务和优惠的价格，充分显示自己的竞争实力。</w:t>
      </w:r>
    </w:p>
    <w:p w14:paraId="5F0A1B8E">
      <w:pPr>
        <w:spacing w:line="360" w:lineRule="auto"/>
        <w:ind w:firstLine="480" w:firstLineChars="200"/>
        <w:jc w:val="left"/>
        <w:rPr>
          <w:rFonts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、需执行的国家相关标准、行业标准、地方标准或者其他标准、规范</w:t>
      </w:r>
    </w:p>
    <w:p w14:paraId="7F255CE2">
      <w:pPr>
        <w:spacing w:line="360" w:lineRule="auto"/>
        <w:ind w:firstLine="480" w:firstLineChars="200"/>
        <w:jc w:val="left"/>
        <w:rPr>
          <w:rFonts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.1投标产品的包装应符合《财政部等三部门联合印发商品包装和快递包装政府采购需求标准（试行）》（财办库〔2020〕123号）的规定。</w:t>
      </w:r>
    </w:p>
    <w:p w14:paraId="09675CE6">
      <w:pPr>
        <w:spacing w:line="360" w:lineRule="auto"/>
        <w:ind w:firstLine="480" w:firstLineChars="200"/>
        <w:jc w:val="left"/>
        <w:rPr>
          <w:rFonts w:ascii="仿宋" w:hAnsi="仿宋" w:eastAsia="仿宋" w:cs="仿宋"/>
          <w:bCs/>
          <w:sz w:val="24"/>
        </w:rPr>
      </w:pPr>
      <w:r>
        <w:rPr>
          <w:rFonts w:hint="eastAsia" w:ascii="仿宋" w:hAnsi="仿宋" w:eastAsia="仿宋" w:cs="仿宋"/>
          <w:bCs/>
          <w:sz w:val="24"/>
          <w:lang w:val="en-US" w:eastAsia="zh-CN"/>
        </w:rPr>
        <w:t>2</w:t>
      </w:r>
      <w:r>
        <w:rPr>
          <w:rFonts w:hint="eastAsia" w:ascii="仿宋" w:hAnsi="仿宋" w:eastAsia="仿宋" w:cs="仿宋"/>
          <w:bCs/>
          <w:sz w:val="24"/>
        </w:rPr>
        <w:t>.2符合已颁布的现行中华人民共和国认可的国家标准、地方标准和行业标准。如果这些标准内容有矛盾时，应按最高标准的条款执行。</w:t>
      </w:r>
    </w:p>
    <w:p w14:paraId="19E23389">
      <w:pPr>
        <w:snapToGrid w:val="0"/>
        <w:spacing w:line="360" w:lineRule="auto"/>
        <w:ind w:firstLine="482" w:firstLineChars="200"/>
        <w:jc w:val="left"/>
        <w:rPr>
          <w:rFonts w:ascii="仿宋" w:hAnsi="仿宋" w:eastAsia="仿宋" w:cs="仿宋"/>
          <w:b/>
          <w:bCs/>
          <w:sz w:val="24"/>
        </w:rPr>
      </w:pPr>
      <w:bookmarkStart w:id="14" w:name="OLE_LINK64"/>
      <w:bookmarkStart w:id="15" w:name="OLE_LINK73"/>
      <w:r>
        <w:rPr>
          <w:rFonts w:hint="eastAsia" w:ascii="仿宋" w:hAnsi="仿宋" w:eastAsia="仿宋" w:cs="仿宋"/>
          <w:b/>
          <w:bCs/>
          <w:sz w:val="24"/>
        </w:rPr>
        <w:t>（二）服务内容及要求/货物技术要求</w:t>
      </w:r>
    </w:p>
    <w:bookmarkEnd w:id="14"/>
    <w:bookmarkEnd w:id="15"/>
    <w:p w14:paraId="49942195">
      <w:pPr>
        <w:snapToGrid w:val="0"/>
        <w:spacing w:line="360" w:lineRule="auto"/>
        <w:ind w:firstLine="480" w:firstLineChars="200"/>
        <w:jc w:val="left"/>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07FFFE76">
      <w:pPr>
        <w:snapToGrid w:val="0"/>
        <w:spacing w:line="360" w:lineRule="auto"/>
        <w:ind w:firstLine="480" w:firstLineChars="200"/>
        <w:jc w:val="left"/>
        <w:rPr>
          <w:rFonts w:hint="eastAsia" w:ascii="仿宋" w:hAnsi="仿宋" w:eastAsia="仿宋" w:cs="仿宋"/>
          <w:bCs/>
          <w:sz w:val="24"/>
          <w:lang w:val="en-US" w:eastAsia="zh-CN"/>
        </w:rPr>
      </w:pPr>
      <w:bookmarkStart w:id="16" w:name="OLE_LINK298"/>
      <w:bookmarkStart w:id="17" w:name="OLE_LINK53"/>
      <w:bookmarkStart w:id="18" w:name="OLE_LINK297"/>
      <w:r>
        <w:rPr>
          <w:rFonts w:hint="eastAsia" w:ascii="仿宋" w:hAnsi="仿宋" w:eastAsia="仿宋" w:cs="仿宋"/>
          <w:bCs/>
          <w:sz w:val="24"/>
          <w:lang w:val="en-US" w:eastAsia="zh-CN"/>
        </w:rPr>
        <w:t>详见下文。</w:t>
      </w:r>
    </w:p>
    <w:p w14:paraId="687FEDC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bCs/>
          <w:sz w:val="24"/>
        </w:rPr>
      </w:pPr>
      <w:r>
        <w:rPr>
          <w:rFonts w:hint="eastAsia" w:ascii="仿宋" w:hAnsi="仿宋" w:eastAsia="仿宋" w:cs="仿宋"/>
          <w:bCs/>
          <w:sz w:val="24"/>
          <w:lang w:val="en-US" w:eastAsia="zh-CN"/>
        </w:rPr>
        <w:br w:type="page"/>
      </w:r>
      <w:bookmarkEnd w:id="16"/>
      <w:bookmarkEnd w:id="17"/>
      <w:bookmarkEnd w:id="18"/>
      <w:bookmarkStart w:id="19" w:name="OLE_LINK371"/>
      <w:bookmarkStart w:id="20" w:name="OLE_LINK372"/>
    </w:p>
    <w:p w14:paraId="776FD827"/>
    <w:p w14:paraId="2EC7382E">
      <w:pPr>
        <w:pStyle w:val="2"/>
        <w:keepNext/>
        <w:keepLines/>
        <w:pageBreakBefore w:val="0"/>
        <w:widowControl w:val="0"/>
        <w:numPr>
          <w:ilvl w:val="0"/>
          <w:numId w:val="0"/>
        </w:numPr>
        <w:kinsoku/>
        <w:wordWrap/>
        <w:overflowPunct/>
        <w:topLinePunct w:val="0"/>
        <w:autoSpaceDE/>
        <w:autoSpaceDN/>
        <w:bidi w:val="0"/>
        <w:adjustRightInd w:val="0"/>
        <w:snapToGrid/>
        <w:spacing w:before="0" w:after="0" w:line="240" w:lineRule="auto"/>
        <w:textAlignment w:val="baseline"/>
        <w:rPr>
          <w:rFonts w:hint="eastAsia" w:ascii="仿宋" w:hAnsi="仿宋" w:eastAsia="仿宋" w:cs="仿宋"/>
          <w:b/>
          <w:bCs w:val="0"/>
          <w:sz w:val="24"/>
          <w:szCs w:val="24"/>
        </w:rPr>
      </w:pPr>
      <w:bookmarkStart w:id="21" w:name="_Toc21427"/>
      <w:r>
        <w:rPr>
          <w:rFonts w:hint="eastAsia" w:ascii="仿宋" w:hAnsi="仿宋" w:eastAsia="仿宋" w:cs="仿宋"/>
          <w:b/>
          <w:bCs w:val="0"/>
          <w:sz w:val="24"/>
          <w:szCs w:val="24"/>
          <w:lang w:val="en-US" w:eastAsia="zh-CN"/>
        </w:rPr>
        <w:t>一、</w:t>
      </w:r>
      <w:r>
        <w:rPr>
          <w:rFonts w:hint="eastAsia" w:ascii="仿宋" w:hAnsi="仿宋" w:eastAsia="仿宋" w:cs="仿宋"/>
          <w:b/>
          <w:bCs w:val="0"/>
          <w:sz w:val="24"/>
          <w:szCs w:val="24"/>
        </w:rPr>
        <w:t>技术要求</w:t>
      </w:r>
      <w:bookmarkEnd w:id="21"/>
    </w:p>
    <w:p w14:paraId="1065EEAF">
      <w:pPr>
        <w:pStyle w:val="3"/>
        <w:keepNext/>
        <w:keepLines/>
        <w:pageBreakBefore w:val="0"/>
        <w:widowControl w:val="0"/>
        <w:numPr>
          <w:ilvl w:val="0"/>
          <w:numId w:val="0"/>
        </w:numPr>
        <w:kinsoku/>
        <w:wordWrap/>
        <w:overflowPunct/>
        <w:topLinePunct w:val="0"/>
        <w:autoSpaceDE/>
        <w:autoSpaceDN/>
        <w:bidi w:val="0"/>
        <w:adjustRightInd w:val="0"/>
        <w:snapToGrid/>
        <w:spacing w:before="0" w:after="0" w:line="240" w:lineRule="auto"/>
        <w:ind w:firstLine="241" w:firstLineChars="100"/>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智能集群存储系统</w:t>
      </w:r>
    </w:p>
    <w:tbl>
      <w:tblPr>
        <w:tblStyle w:val="9"/>
        <w:tblW w:w="928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
        <w:gridCol w:w="756"/>
        <w:gridCol w:w="6506"/>
        <w:gridCol w:w="1117"/>
      </w:tblGrid>
      <w:tr w14:paraId="44BAB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909" w:type="dxa"/>
            <w:noWrap w:val="0"/>
            <w:vAlign w:val="center"/>
          </w:tcPr>
          <w:p w14:paraId="2BFD255F">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b/>
                <w:sz w:val="24"/>
                <w:szCs w:val="24"/>
              </w:rPr>
            </w:pPr>
            <w:r>
              <w:rPr>
                <w:rFonts w:hint="eastAsia" w:ascii="仿宋" w:hAnsi="仿宋" w:eastAsia="仿宋" w:cs="仿宋"/>
                <w:b/>
                <w:sz w:val="24"/>
                <w:szCs w:val="24"/>
                <w:lang w:bidi="ar"/>
              </w:rPr>
              <w:t>序号</w:t>
            </w:r>
          </w:p>
        </w:tc>
        <w:tc>
          <w:tcPr>
            <w:tcW w:w="0" w:type="auto"/>
            <w:noWrap w:val="0"/>
            <w:vAlign w:val="center"/>
          </w:tcPr>
          <w:p w14:paraId="3486DEF7">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b/>
                <w:sz w:val="24"/>
                <w:szCs w:val="24"/>
              </w:rPr>
            </w:pPr>
            <w:r>
              <w:rPr>
                <w:rFonts w:hint="eastAsia" w:ascii="仿宋" w:hAnsi="仿宋" w:eastAsia="仿宋" w:cs="仿宋"/>
                <w:b/>
                <w:sz w:val="24"/>
                <w:szCs w:val="24"/>
                <w:lang w:bidi="ar"/>
              </w:rPr>
              <w:t>重要性</w:t>
            </w:r>
          </w:p>
        </w:tc>
        <w:tc>
          <w:tcPr>
            <w:tcW w:w="6506" w:type="dxa"/>
            <w:noWrap w:val="0"/>
            <w:vAlign w:val="center"/>
          </w:tcPr>
          <w:p w14:paraId="36BD10D9">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b/>
                <w:sz w:val="24"/>
                <w:szCs w:val="24"/>
              </w:rPr>
            </w:pPr>
            <w:r>
              <w:rPr>
                <w:rFonts w:hint="eastAsia" w:ascii="仿宋" w:hAnsi="仿宋" w:eastAsia="仿宋" w:cs="仿宋"/>
                <w:b/>
                <w:sz w:val="24"/>
                <w:szCs w:val="24"/>
                <w:lang w:bidi="ar"/>
              </w:rPr>
              <w:t>技术规格要求</w:t>
            </w:r>
          </w:p>
        </w:tc>
        <w:tc>
          <w:tcPr>
            <w:tcW w:w="1117" w:type="dxa"/>
            <w:noWrap w:val="0"/>
            <w:vAlign w:val="center"/>
          </w:tcPr>
          <w:p w14:paraId="141E094C">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b/>
                <w:sz w:val="24"/>
                <w:szCs w:val="24"/>
              </w:rPr>
            </w:pPr>
            <w:r>
              <w:rPr>
                <w:rFonts w:hint="eastAsia" w:ascii="仿宋" w:hAnsi="仿宋" w:eastAsia="仿宋" w:cs="仿宋"/>
                <w:b/>
                <w:sz w:val="24"/>
                <w:szCs w:val="24"/>
                <w:lang w:bidi="ar"/>
              </w:rPr>
              <w:t>证明材料要求</w:t>
            </w:r>
          </w:p>
        </w:tc>
      </w:tr>
      <w:tr w14:paraId="0B679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43BD37D0">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1</w:t>
            </w:r>
          </w:p>
        </w:tc>
        <w:tc>
          <w:tcPr>
            <w:tcW w:w="0" w:type="auto"/>
            <w:noWrap w:val="0"/>
            <w:vAlign w:val="center"/>
          </w:tcPr>
          <w:p w14:paraId="2E15F3BE">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w:t>
            </w:r>
          </w:p>
        </w:tc>
        <w:tc>
          <w:tcPr>
            <w:tcW w:w="6506" w:type="dxa"/>
            <w:noWrap w:val="0"/>
            <w:vAlign w:val="center"/>
          </w:tcPr>
          <w:p w14:paraId="0D10435E">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rPr>
            </w:pPr>
            <w:r>
              <w:rPr>
                <w:rFonts w:hint="eastAsia" w:ascii="仿宋" w:hAnsi="仿宋" w:eastAsia="仿宋" w:cs="仿宋"/>
                <w:sz w:val="24"/>
                <w:szCs w:val="24"/>
                <w:lang w:bidi="ar"/>
              </w:rPr>
              <w:t>文件系统要求采用成熟稳定的国产商业版并行文件系统，非OEM产品，具备自主研发能力，不接受开源文件系统，非在Lustre、Ceph、Gluster、GPFS、BeeGFS等软件基础上更改，提供国家版权局颁发的软件著作权登记证书。</w:t>
            </w:r>
          </w:p>
        </w:tc>
        <w:tc>
          <w:tcPr>
            <w:tcW w:w="1117" w:type="dxa"/>
            <w:noWrap w:val="0"/>
            <w:vAlign w:val="center"/>
          </w:tcPr>
          <w:p w14:paraId="2A76720C">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是</w:t>
            </w:r>
          </w:p>
        </w:tc>
      </w:tr>
      <w:tr w14:paraId="09E7F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144B6D77">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2</w:t>
            </w:r>
          </w:p>
        </w:tc>
        <w:tc>
          <w:tcPr>
            <w:tcW w:w="0" w:type="auto"/>
            <w:noWrap w:val="0"/>
            <w:vAlign w:val="center"/>
          </w:tcPr>
          <w:p w14:paraId="47D4A039">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w:t>
            </w:r>
          </w:p>
        </w:tc>
        <w:tc>
          <w:tcPr>
            <w:tcW w:w="6506" w:type="dxa"/>
            <w:noWrap w:val="0"/>
            <w:vAlign w:val="center"/>
          </w:tcPr>
          <w:p w14:paraId="6BB13342">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rPr>
            </w:pPr>
            <w:r>
              <w:rPr>
                <w:rFonts w:hint="eastAsia" w:ascii="仿宋" w:hAnsi="仿宋" w:eastAsia="仿宋" w:cs="仿宋"/>
                <w:sz w:val="24"/>
                <w:szCs w:val="24"/>
                <w:lang w:bidi="ar"/>
              </w:rPr>
              <w:t>基于国产化平台设计，采用标准机架式硬件。</w:t>
            </w:r>
          </w:p>
        </w:tc>
        <w:tc>
          <w:tcPr>
            <w:tcW w:w="1117" w:type="dxa"/>
            <w:noWrap w:val="0"/>
            <w:vAlign w:val="center"/>
          </w:tcPr>
          <w:p w14:paraId="57F37142">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否</w:t>
            </w:r>
          </w:p>
        </w:tc>
      </w:tr>
      <w:tr w14:paraId="6E15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070F9AFD">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3</w:t>
            </w:r>
          </w:p>
        </w:tc>
        <w:tc>
          <w:tcPr>
            <w:tcW w:w="0" w:type="auto"/>
            <w:noWrap w:val="0"/>
            <w:vAlign w:val="center"/>
          </w:tcPr>
          <w:p w14:paraId="4074177A">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w:t>
            </w:r>
          </w:p>
        </w:tc>
        <w:tc>
          <w:tcPr>
            <w:tcW w:w="6506" w:type="dxa"/>
            <w:noWrap w:val="0"/>
            <w:vAlign w:val="center"/>
          </w:tcPr>
          <w:p w14:paraId="3C86013E">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本次配置≥3个全闪集群节点，节点要求如下：</w:t>
            </w:r>
          </w:p>
          <w:p w14:paraId="429AA8FD">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每节点配置2颗处理器，单处理器规格不低于2.6GHz/48核/256MB/350W，处理器支持并配置超线程功能；</w:t>
            </w:r>
          </w:p>
          <w:p w14:paraId="00EEF75D">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每节点≥256GB DDR5内存，配置≥16条 DDR5内存；</w:t>
            </w:r>
          </w:p>
          <w:p w14:paraId="0B354CFF">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每节点配置≥1块4口Gb网卡，≥2块双口25Gbps网卡，并配置光模块；</w:t>
            </w:r>
          </w:p>
          <w:p w14:paraId="63D2E642">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每节点配置≥2块480G SSD硬盘；≥1</w:t>
            </w:r>
            <w:r>
              <w:rPr>
                <w:rFonts w:hint="eastAsia" w:ascii="仿宋" w:hAnsi="仿宋" w:eastAsia="仿宋" w:cs="仿宋"/>
                <w:sz w:val="24"/>
                <w:szCs w:val="24"/>
                <w:lang w:val="en-US" w:eastAsia="zh-CN" w:bidi="ar"/>
              </w:rPr>
              <w:t>5</w:t>
            </w:r>
            <w:r>
              <w:rPr>
                <w:rFonts w:hint="eastAsia" w:ascii="仿宋" w:hAnsi="仿宋" w:eastAsia="仿宋" w:cs="仿宋"/>
                <w:sz w:val="24"/>
                <w:szCs w:val="24"/>
                <w:lang w:bidi="ar"/>
              </w:rPr>
              <w:t>块7.68TB企业级NVMe SSD硬盘；</w:t>
            </w:r>
          </w:p>
          <w:p w14:paraId="450630D6">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每节点配置冗余电源。</w:t>
            </w:r>
          </w:p>
          <w:p w14:paraId="10686001">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本次配置≥</w:t>
            </w:r>
            <w:r>
              <w:rPr>
                <w:rFonts w:hint="eastAsia" w:ascii="仿宋" w:hAnsi="仿宋" w:eastAsia="仿宋" w:cs="仿宋"/>
                <w:sz w:val="24"/>
                <w:szCs w:val="24"/>
                <w:lang w:val="en-US" w:eastAsia="zh-CN" w:bidi="ar"/>
              </w:rPr>
              <w:t>4</w:t>
            </w:r>
            <w:r>
              <w:rPr>
                <w:rFonts w:hint="eastAsia" w:ascii="仿宋" w:hAnsi="仿宋" w:eastAsia="仿宋" w:cs="仿宋"/>
                <w:sz w:val="24"/>
                <w:szCs w:val="24"/>
                <w:lang w:bidi="ar"/>
              </w:rPr>
              <w:t>个混闪集群节点，节点要求如下：</w:t>
            </w:r>
          </w:p>
          <w:p w14:paraId="0A08280D">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每节点配置≥2颗处理器，处理器规格不低于2.5GHz/16核/32MB/190W，处理器支持并配置超线程功能；</w:t>
            </w:r>
          </w:p>
          <w:p w14:paraId="51C1E4A7">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每节点≥256GB DDR5内存，配置≥16条 DDR5内存；</w:t>
            </w:r>
          </w:p>
          <w:p w14:paraId="3093790D">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每节点配置≥1块4口Gb网卡，≥2块双口25Gbps网卡（含光模块）；</w:t>
            </w:r>
          </w:p>
          <w:p w14:paraId="061E8277">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每节点配置≥2块480G SSD硬盘，≥3块3.84TB企业级NVMe SSD缓存盘，≥</w:t>
            </w:r>
            <w:r>
              <w:rPr>
                <w:rFonts w:hint="eastAsia" w:ascii="仿宋" w:hAnsi="仿宋" w:eastAsia="仿宋" w:cs="仿宋"/>
                <w:sz w:val="24"/>
                <w:szCs w:val="24"/>
                <w:lang w:val="en-US" w:eastAsia="zh-CN" w:bidi="ar"/>
              </w:rPr>
              <w:t>12</w:t>
            </w:r>
            <w:r>
              <w:rPr>
                <w:rFonts w:hint="eastAsia" w:ascii="仿宋" w:hAnsi="仿宋" w:eastAsia="仿宋" w:cs="仿宋"/>
                <w:sz w:val="24"/>
                <w:szCs w:val="24"/>
                <w:lang w:bidi="ar"/>
              </w:rPr>
              <w:t>块12 TB SATA HDD数据盘；</w:t>
            </w:r>
          </w:p>
          <w:p w14:paraId="0461C156">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每节点配置冗余电源。</w:t>
            </w:r>
          </w:p>
          <w:p w14:paraId="1669F2C1">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全闪池和混闪池之间</w:t>
            </w:r>
            <w:r>
              <w:rPr>
                <w:rFonts w:hint="eastAsia" w:ascii="仿宋" w:hAnsi="仿宋" w:eastAsia="仿宋" w:cs="仿宋"/>
                <w:sz w:val="24"/>
                <w:szCs w:val="24"/>
                <w:lang w:val="en-US" w:eastAsia="zh-CN" w:bidi="ar"/>
              </w:rPr>
              <w:t>应</w:t>
            </w:r>
            <w:r>
              <w:rPr>
                <w:rFonts w:hint="eastAsia" w:ascii="仿宋" w:hAnsi="仿宋" w:eastAsia="仿宋" w:cs="仿宋"/>
                <w:sz w:val="24"/>
                <w:szCs w:val="24"/>
                <w:lang w:bidi="ar"/>
              </w:rPr>
              <w:t>实现根据策略数据自动冷热分层存储。</w:t>
            </w:r>
          </w:p>
        </w:tc>
        <w:tc>
          <w:tcPr>
            <w:tcW w:w="1117" w:type="dxa"/>
            <w:noWrap w:val="0"/>
            <w:vAlign w:val="center"/>
          </w:tcPr>
          <w:p w14:paraId="1F982837">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否</w:t>
            </w:r>
          </w:p>
        </w:tc>
      </w:tr>
      <w:tr w14:paraId="638E3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5501C24B">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4</w:t>
            </w:r>
          </w:p>
        </w:tc>
        <w:tc>
          <w:tcPr>
            <w:tcW w:w="0" w:type="auto"/>
            <w:noWrap w:val="0"/>
            <w:vAlign w:val="center"/>
          </w:tcPr>
          <w:p w14:paraId="4FB1F40A">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w:t>
            </w:r>
          </w:p>
        </w:tc>
        <w:tc>
          <w:tcPr>
            <w:tcW w:w="6506" w:type="dxa"/>
            <w:noWrap w:val="0"/>
            <w:vAlign w:val="center"/>
          </w:tcPr>
          <w:p w14:paraId="49397539">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处理器安全要求：投标所配备的CPU(中央处理器)内置密码模块或密码协处理器，可实现SM2、SM3和SM4国密算法的硬件加速。提供投标所配备的CPU(中央处理器)具有上述密码技术特性的证明材料。</w:t>
            </w:r>
          </w:p>
        </w:tc>
        <w:tc>
          <w:tcPr>
            <w:tcW w:w="1117" w:type="dxa"/>
            <w:noWrap w:val="0"/>
            <w:vAlign w:val="center"/>
          </w:tcPr>
          <w:p w14:paraId="64AB6319">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是</w:t>
            </w:r>
          </w:p>
        </w:tc>
      </w:tr>
      <w:tr w14:paraId="40B8A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462CAD74">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5</w:t>
            </w:r>
          </w:p>
        </w:tc>
        <w:tc>
          <w:tcPr>
            <w:tcW w:w="0" w:type="auto"/>
            <w:noWrap w:val="0"/>
            <w:vAlign w:val="center"/>
          </w:tcPr>
          <w:p w14:paraId="02D5B0D2">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w:t>
            </w:r>
          </w:p>
        </w:tc>
        <w:tc>
          <w:tcPr>
            <w:tcW w:w="6506" w:type="dxa"/>
            <w:noWrap w:val="0"/>
            <w:vAlign w:val="center"/>
          </w:tcPr>
          <w:p w14:paraId="2010D140">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支持配置副本和纠删码；</w:t>
            </w:r>
          </w:p>
          <w:p w14:paraId="5B7F3D05">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rPr>
            </w:pPr>
            <w:r>
              <w:rPr>
                <w:rFonts w:hint="eastAsia" w:ascii="仿宋" w:hAnsi="仿宋" w:eastAsia="仿宋" w:cs="仿宋"/>
                <w:sz w:val="24"/>
                <w:szCs w:val="24"/>
                <w:lang w:bidi="ar"/>
              </w:rPr>
              <w:t>集群总可用数据容量≥400TB。</w:t>
            </w:r>
          </w:p>
        </w:tc>
        <w:tc>
          <w:tcPr>
            <w:tcW w:w="1117" w:type="dxa"/>
            <w:noWrap w:val="0"/>
            <w:vAlign w:val="center"/>
          </w:tcPr>
          <w:p w14:paraId="069B3B8F">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否</w:t>
            </w:r>
          </w:p>
        </w:tc>
      </w:tr>
      <w:tr w14:paraId="56D1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6380AFE5">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6</w:t>
            </w:r>
          </w:p>
        </w:tc>
        <w:tc>
          <w:tcPr>
            <w:tcW w:w="0" w:type="auto"/>
            <w:noWrap w:val="0"/>
            <w:vAlign w:val="center"/>
          </w:tcPr>
          <w:p w14:paraId="71A499C1">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w:t>
            </w:r>
          </w:p>
        </w:tc>
        <w:tc>
          <w:tcPr>
            <w:tcW w:w="6506" w:type="dxa"/>
            <w:noWrap w:val="0"/>
            <w:vAlign w:val="center"/>
          </w:tcPr>
          <w:p w14:paraId="4E2AF81B">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BMC管理芯片要求采用国产芯片，并且芯片通过安全可靠测评，提供中国信息安全测评中心官网截图证明。</w:t>
            </w:r>
          </w:p>
        </w:tc>
        <w:tc>
          <w:tcPr>
            <w:tcW w:w="1117" w:type="dxa"/>
            <w:noWrap w:val="0"/>
            <w:vAlign w:val="center"/>
          </w:tcPr>
          <w:p w14:paraId="659A1378">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是</w:t>
            </w:r>
          </w:p>
        </w:tc>
      </w:tr>
      <w:tr w14:paraId="61BBB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6EF28B43">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7</w:t>
            </w:r>
          </w:p>
        </w:tc>
        <w:tc>
          <w:tcPr>
            <w:tcW w:w="0" w:type="auto"/>
            <w:noWrap w:val="0"/>
            <w:vAlign w:val="center"/>
          </w:tcPr>
          <w:p w14:paraId="1EB87430">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w:t>
            </w:r>
          </w:p>
        </w:tc>
        <w:tc>
          <w:tcPr>
            <w:tcW w:w="6506" w:type="dxa"/>
            <w:noWrap w:val="0"/>
            <w:vAlign w:val="center"/>
          </w:tcPr>
          <w:p w14:paraId="786D4656">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融合存储：支持在同一存储集群或在同一个池中，同时部署文件，块，对象功能，并同时提供块、文件、对象完整服务。需提供第三方权威评测机构签字盖章的测试报告复印件并加盖原厂公章。</w:t>
            </w:r>
          </w:p>
        </w:tc>
        <w:tc>
          <w:tcPr>
            <w:tcW w:w="1117" w:type="dxa"/>
            <w:noWrap w:val="0"/>
            <w:vAlign w:val="center"/>
          </w:tcPr>
          <w:p w14:paraId="358592B4">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是</w:t>
            </w:r>
          </w:p>
        </w:tc>
      </w:tr>
      <w:tr w14:paraId="2DEA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06A80DD5">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8</w:t>
            </w:r>
          </w:p>
        </w:tc>
        <w:tc>
          <w:tcPr>
            <w:tcW w:w="0" w:type="auto"/>
            <w:noWrap w:val="0"/>
            <w:vAlign w:val="center"/>
          </w:tcPr>
          <w:p w14:paraId="52D530B9">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bidi="ar"/>
              </w:rPr>
            </w:pPr>
          </w:p>
        </w:tc>
        <w:tc>
          <w:tcPr>
            <w:tcW w:w="6506" w:type="dxa"/>
            <w:noWrap w:val="0"/>
            <w:vAlign w:val="center"/>
          </w:tcPr>
          <w:p w14:paraId="306DF403">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重构策略：支持重构流控，支持极致重构，普通重构和自适应重构多种重构策略。</w:t>
            </w:r>
          </w:p>
          <w:p w14:paraId="02754A35">
            <w:pPr>
              <w:keepNext w:val="0"/>
              <w:keepLines w:val="0"/>
              <w:pageBreakBefore w:val="0"/>
              <w:widowControl w:val="0"/>
              <w:kinsoku/>
              <w:wordWrap w:val="0"/>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协议支持：一套存储支持ISCSI/NVMe-oF/NFS/POSIX/S3等多种访问协议，无需配置独立的网关节点。</w:t>
            </w:r>
          </w:p>
          <w:p w14:paraId="5CC3085D">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协议互通：支持NFS/POSIX/S3多种访问协议访问同一文件，避免因访问协议不同造成的数据拷贝，无明显语义损失，无需配置独立的网关节点。</w:t>
            </w:r>
          </w:p>
          <w:p w14:paraId="0737F2DE">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磁盘漫游：支持磁盘漫游功能。</w:t>
            </w:r>
          </w:p>
          <w:p w14:paraId="1901703B">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告警：支持SNMP、短信、邮件告警等各种类型的故障告警，且支持在管理界面进行相关配置。</w:t>
            </w:r>
          </w:p>
        </w:tc>
        <w:tc>
          <w:tcPr>
            <w:tcW w:w="1117" w:type="dxa"/>
            <w:noWrap w:val="0"/>
            <w:vAlign w:val="center"/>
          </w:tcPr>
          <w:p w14:paraId="3F685AAE">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否</w:t>
            </w:r>
          </w:p>
        </w:tc>
      </w:tr>
      <w:tr w14:paraId="78513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6063531C">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9</w:t>
            </w:r>
          </w:p>
        </w:tc>
        <w:tc>
          <w:tcPr>
            <w:tcW w:w="0" w:type="auto"/>
            <w:noWrap w:val="0"/>
            <w:vAlign w:val="center"/>
          </w:tcPr>
          <w:p w14:paraId="258406F8">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p>
        </w:tc>
        <w:tc>
          <w:tcPr>
            <w:tcW w:w="6506" w:type="dxa"/>
            <w:noWrap w:val="0"/>
            <w:vAlign w:val="center"/>
          </w:tcPr>
          <w:p w14:paraId="2CE3779F">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硬件监控：管理界面支持以可视化的视图，展示硬盘基本信息及从属关系，基本信息包括：硬盘所属节点、所属硬盘池、硬盘名称、盘类型、状态、容量、已使用容量、插槽号、序列号、盘类型、硬盘灯状态、接口类型、物理盘类型相关信息。</w:t>
            </w:r>
          </w:p>
          <w:p w14:paraId="77C37145">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存储性能监控：存储系统提供存储IO智能分析系统可视化工具，含容量监控、IO读写分布统计、带宽/IOPS监控等性能监控。</w:t>
            </w:r>
          </w:p>
          <w:p w14:paraId="73CDE6F2">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多集群统一运维：支持纳管多套存储集群，并支持在一个管理界面运维管理多套独立的存储集群。</w:t>
            </w:r>
          </w:p>
        </w:tc>
        <w:tc>
          <w:tcPr>
            <w:tcW w:w="1117" w:type="dxa"/>
            <w:noWrap w:val="0"/>
            <w:vAlign w:val="center"/>
          </w:tcPr>
          <w:p w14:paraId="046B78EB">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否</w:t>
            </w:r>
          </w:p>
        </w:tc>
      </w:tr>
      <w:tr w14:paraId="0334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214D8B2A">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10</w:t>
            </w:r>
          </w:p>
        </w:tc>
        <w:tc>
          <w:tcPr>
            <w:tcW w:w="0" w:type="auto"/>
            <w:noWrap w:val="0"/>
            <w:vAlign w:val="center"/>
          </w:tcPr>
          <w:p w14:paraId="77C6BBD8">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w:t>
            </w:r>
          </w:p>
        </w:tc>
        <w:tc>
          <w:tcPr>
            <w:tcW w:w="6506" w:type="dxa"/>
            <w:noWrap w:val="0"/>
            <w:vAlign w:val="center"/>
          </w:tcPr>
          <w:p w14:paraId="50B6648C">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单卷最大容量：单卷最大支持容量≥512TB。</w:t>
            </w:r>
          </w:p>
        </w:tc>
        <w:tc>
          <w:tcPr>
            <w:tcW w:w="1117" w:type="dxa"/>
            <w:noWrap w:val="0"/>
            <w:vAlign w:val="center"/>
          </w:tcPr>
          <w:p w14:paraId="7285933C">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是</w:t>
            </w:r>
          </w:p>
        </w:tc>
      </w:tr>
      <w:tr w14:paraId="636F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69B6EF00">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11</w:t>
            </w:r>
          </w:p>
        </w:tc>
        <w:tc>
          <w:tcPr>
            <w:tcW w:w="0" w:type="auto"/>
            <w:noWrap w:val="0"/>
            <w:vAlign w:val="center"/>
          </w:tcPr>
          <w:p w14:paraId="00440C4F">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p>
        </w:tc>
        <w:tc>
          <w:tcPr>
            <w:tcW w:w="6506" w:type="dxa"/>
            <w:noWrap w:val="0"/>
            <w:vAlign w:val="center"/>
          </w:tcPr>
          <w:p w14:paraId="68030383">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支持硬盘亚健康检测，支持慢盘检测，并在磁盘损坏前进行隔离并告警；</w:t>
            </w:r>
          </w:p>
          <w:p w14:paraId="53E79BB7">
            <w:pPr>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支持网络亚健康，针对存储节点的网络出现丢包、网络时延大、网口故障故障现象可提供故障告警并隔离。</w:t>
            </w:r>
          </w:p>
        </w:tc>
        <w:tc>
          <w:tcPr>
            <w:tcW w:w="1117" w:type="dxa"/>
            <w:noWrap w:val="0"/>
            <w:vAlign w:val="center"/>
          </w:tcPr>
          <w:p w14:paraId="06FB3C9E">
            <w:pPr>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否</w:t>
            </w:r>
          </w:p>
        </w:tc>
      </w:tr>
    </w:tbl>
    <w:p w14:paraId="6565780A">
      <w:pPr>
        <w:pStyle w:val="3"/>
        <w:keepNext/>
        <w:keepLines/>
        <w:pageBreakBefore w:val="0"/>
        <w:widowControl w:val="0"/>
        <w:numPr>
          <w:ilvl w:val="0"/>
          <w:numId w:val="0"/>
        </w:numPr>
        <w:kinsoku/>
        <w:wordWrap/>
        <w:overflowPunct/>
        <w:topLinePunct w:val="0"/>
        <w:autoSpaceDE/>
        <w:autoSpaceDN/>
        <w:bidi w:val="0"/>
        <w:adjustRightInd w:val="0"/>
        <w:snapToGrid/>
        <w:spacing w:before="0" w:after="0" w:line="360" w:lineRule="auto"/>
        <w:ind w:firstLine="241" w:firstLineChars="100"/>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国产化双活存储系统</w:t>
      </w:r>
    </w:p>
    <w:tbl>
      <w:tblPr>
        <w:tblStyle w:val="9"/>
        <w:tblW w:w="928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
        <w:gridCol w:w="756"/>
        <w:gridCol w:w="6506"/>
        <w:gridCol w:w="1117"/>
      </w:tblGrid>
      <w:tr w14:paraId="57E3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909" w:type="dxa"/>
            <w:noWrap w:val="0"/>
            <w:vAlign w:val="center"/>
          </w:tcPr>
          <w:p w14:paraId="41FE457A">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b/>
                <w:sz w:val="24"/>
                <w:szCs w:val="24"/>
              </w:rPr>
            </w:pPr>
            <w:r>
              <w:rPr>
                <w:rFonts w:hint="eastAsia" w:ascii="仿宋" w:hAnsi="仿宋" w:eastAsia="仿宋" w:cs="仿宋"/>
                <w:b/>
                <w:sz w:val="24"/>
                <w:szCs w:val="24"/>
                <w:lang w:bidi="ar"/>
              </w:rPr>
              <w:t>序号</w:t>
            </w:r>
          </w:p>
        </w:tc>
        <w:tc>
          <w:tcPr>
            <w:tcW w:w="756" w:type="dxa"/>
            <w:noWrap w:val="0"/>
            <w:vAlign w:val="center"/>
          </w:tcPr>
          <w:p w14:paraId="6D5B44C2">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b/>
                <w:sz w:val="24"/>
                <w:szCs w:val="24"/>
              </w:rPr>
            </w:pPr>
            <w:r>
              <w:rPr>
                <w:rFonts w:hint="eastAsia" w:ascii="仿宋" w:hAnsi="仿宋" w:eastAsia="仿宋" w:cs="仿宋"/>
                <w:b/>
                <w:sz w:val="24"/>
                <w:szCs w:val="24"/>
                <w:lang w:bidi="ar"/>
              </w:rPr>
              <w:t>重要性</w:t>
            </w:r>
          </w:p>
        </w:tc>
        <w:tc>
          <w:tcPr>
            <w:tcW w:w="6506" w:type="dxa"/>
            <w:noWrap w:val="0"/>
            <w:vAlign w:val="center"/>
          </w:tcPr>
          <w:p w14:paraId="38E2602A">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b/>
                <w:sz w:val="24"/>
                <w:szCs w:val="24"/>
              </w:rPr>
            </w:pPr>
            <w:r>
              <w:rPr>
                <w:rFonts w:hint="eastAsia" w:ascii="仿宋" w:hAnsi="仿宋" w:eastAsia="仿宋" w:cs="仿宋"/>
                <w:b/>
                <w:sz w:val="24"/>
                <w:szCs w:val="24"/>
                <w:lang w:bidi="ar"/>
              </w:rPr>
              <w:t>技术规格要求</w:t>
            </w:r>
          </w:p>
        </w:tc>
        <w:tc>
          <w:tcPr>
            <w:tcW w:w="1117" w:type="dxa"/>
            <w:noWrap w:val="0"/>
            <w:vAlign w:val="center"/>
          </w:tcPr>
          <w:p w14:paraId="74717157">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b/>
                <w:sz w:val="24"/>
                <w:szCs w:val="24"/>
              </w:rPr>
            </w:pPr>
            <w:r>
              <w:rPr>
                <w:rFonts w:hint="eastAsia" w:ascii="仿宋" w:hAnsi="仿宋" w:eastAsia="仿宋" w:cs="仿宋"/>
                <w:b/>
                <w:sz w:val="24"/>
                <w:szCs w:val="24"/>
                <w:lang w:bidi="ar"/>
              </w:rPr>
              <w:t>证明材料要求</w:t>
            </w:r>
          </w:p>
        </w:tc>
      </w:tr>
      <w:tr w14:paraId="37ED7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4453CEFB">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1</w:t>
            </w:r>
          </w:p>
        </w:tc>
        <w:tc>
          <w:tcPr>
            <w:tcW w:w="756" w:type="dxa"/>
            <w:noWrap w:val="0"/>
            <w:vAlign w:val="center"/>
          </w:tcPr>
          <w:p w14:paraId="1EA7EA01">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w:t>
            </w:r>
          </w:p>
        </w:tc>
        <w:tc>
          <w:tcPr>
            <w:tcW w:w="6506" w:type="dxa"/>
            <w:noWrap w:val="0"/>
            <w:vAlign w:val="center"/>
          </w:tcPr>
          <w:p w14:paraId="1CE5D378">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标准机架式，基于国产化平台设计，采用多控制器架构，主控机柜≥</w:t>
            </w:r>
            <w:r>
              <w:rPr>
                <w:rFonts w:hint="eastAsia" w:ascii="仿宋" w:hAnsi="仿宋" w:eastAsia="仿宋" w:cs="仿宋"/>
                <w:sz w:val="24"/>
                <w:szCs w:val="24"/>
                <w:lang w:val="en-US" w:eastAsia="zh-CN" w:bidi="ar"/>
              </w:rPr>
              <w:t>25</w:t>
            </w:r>
            <w:r>
              <w:rPr>
                <w:rFonts w:hint="eastAsia" w:ascii="仿宋" w:hAnsi="仿宋" w:eastAsia="仿宋" w:cs="仿宋"/>
                <w:sz w:val="24"/>
                <w:szCs w:val="24"/>
                <w:lang w:bidi="ar"/>
              </w:rPr>
              <w:t>盘位（提供相关证明材料，加盖原厂公章）；</w:t>
            </w:r>
          </w:p>
          <w:p w14:paraId="5C8C0E84">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产品证书：投标产品具有</w:t>
            </w:r>
            <w:r>
              <w:rPr>
                <w:rFonts w:hint="eastAsia" w:ascii="仿宋" w:hAnsi="仿宋" w:eastAsia="仿宋" w:cs="仿宋"/>
                <w:sz w:val="24"/>
                <w:szCs w:val="24"/>
                <w:lang w:val="en-US" w:eastAsia="zh-CN" w:bidi="ar"/>
              </w:rPr>
              <w:t>并提供</w:t>
            </w:r>
            <w:r>
              <w:rPr>
                <w:rFonts w:hint="eastAsia" w:ascii="仿宋" w:hAnsi="仿宋" w:eastAsia="仿宋" w:cs="仿宋"/>
                <w:sz w:val="24"/>
                <w:szCs w:val="24"/>
                <w:lang w:bidi="ar"/>
              </w:rPr>
              <w:t>有效期内的《网络关键设备和网络安全专用产品安全认证证书》；（提供证书复印件，加盖原厂公章）。</w:t>
            </w:r>
          </w:p>
        </w:tc>
        <w:tc>
          <w:tcPr>
            <w:tcW w:w="1117" w:type="dxa"/>
            <w:noWrap w:val="0"/>
            <w:vAlign w:val="center"/>
          </w:tcPr>
          <w:p w14:paraId="519F6A4F">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是</w:t>
            </w:r>
          </w:p>
        </w:tc>
      </w:tr>
      <w:tr w14:paraId="0262A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68E37D0F">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2</w:t>
            </w:r>
          </w:p>
        </w:tc>
        <w:tc>
          <w:tcPr>
            <w:tcW w:w="756" w:type="dxa"/>
            <w:noWrap w:val="0"/>
            <w:vAlign w:val="center"/>
          </w:tcPr>
          <w:p w14:paraId="374CFB62">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w:t>
            </w:r>
          </w:p>
        </w:tc>
        <w:tc>
          <w:tcPr>
            <w:tcW w:w="6506" w:type="dxa"/>
            <w:noWrap w:val="0"/>
            <w:vAlign w:val="center"/>
          </w:tcPr>
          <w:p w14:paraId="2B8EF5B3">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‎控制器要求：配置控制器数量≥2，最大可扩展至≥</w:t>
            </w:r>
            <w:r>
              <w:rPr>
                <w:rFonts w:hint="eastAsia" w:ascii="仿宋" w:hAnsi="仿宋" w:eastAsia="仿宋" w:cs="仿宋"/>
                <w:sz w:val="24"/>
                <w:szCs w:val="24"/>
                <w:highlight w:val="none"/>
                <w:lang w:val="en-US" w:eastAsia="zh-CN" w:bidi="ar"/>
              </w:rPr>
              <w:t>32</w:t>
            </w:r>
            <w:r>
              <w:rPr>
                <w:rFonts w:hint="eastAsia" w:ascii="仿宋" w:hAnsi="仿宋" w:eastAsia="仿宋" w:cs="仿宋"/>
                <w:sz w:val="24"/>
                <w:szCs w:val="24"/>
                <w:highlight w:val="none"/>
                <w:lang w:bidi="ar"/>
              </w:rPr>
              <w:t>控</w:t>
            </w:r>
            <w:r>
              <w:rPr>
                <w:rFonts w:hint="eastAsia" w:ascii="仿宋" w:hAnsi="仿宋" w:eastAsia="仿宋" w:cs="仿宋"/>
                <w:sz w:val="24"/>
                <w:szCs w:val="24"/>
                <w:highlight w:val="none"/>
                <w:lang w:eastAsia="zh-CN" w:bidi="ar"/>
              </w:rPr>
              <w:t>；</w:t>
            </w:r>
          </w:p>
          <w:p w14:paraId="30AFC391">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缓存要求：配置缓存≥</w:t>
            </w:r>
            <w:r>
              <w:rPr>
                <w:rFonts w:hint="eastAsia" w:ascii="仿宋" w:hAnsi="仿宋" w:eastAsia="仿宋" w:cs="仿宋"/>
                <w:sz w:val="24"/>
                <w:szCs w:val="24"/>
                <w:highlight w:val="none"/>
                <w:lang w:val="en-US" w:eastAsia="zh-CN" w:bidi="ar"/>
              </w:rPr>
              <w:t>512</w:t>
            </w:r>
            <w:r>
              <w:rPr>
                <w:rFonts w:hint="eastAsia" w:ascii="仿宋" w:hAnsi="仿宋" w:eastAsia="仿宋" w:cs="仿宋"/>
                <w:sz w:val="24"/>
                <w:szCs w:val="24"/>
                <w:highlight w:val="none"/>
                <w:lang w:bidi="ar"/>
              </w:rPr>
              <w:t>GB</w:t>
            </w:r>
            <w:r>
              <w:rPr>
                <w:rFonts w:hint="eastAsia" w:ascii="仿宋" w:hAnsi="仿宋" w:eastAsia="仿宋" w:cs="仿宋"/>
                <w:sz w:val="24"/>
                <w:szCs w:val="24"/>
                <w:highlight w:val="none"/>
                <w:lang w:eastAsia="zh-CN" w:bidi="ar"/>
              </w:rPr>
              <w:t>，</w:t>
            </w:r>
            <w:r>
              <w:rPr>
                <w:rFonts w:hint="eastAsia" w:ascii="仿宋" w:hAnsi="仿宋" w:eastAsia="仿宋" w:cs="仿宋"/>
                <w:sz w:val="24"/>
                <w:szCs w:val="24"/>
                <w:highlight w:val="none"/>
                <w:lang w:bidi="ar"/>
              </w:rPr>
              <w:t>缓存不包括SCM、SSD磁盘、闪存、NAS机头的内存等。</w:t>
            </w:r>
          </w:p>
        </w:tc>
        <w:tc>
          <w:tcPr>
            <w:tcW w:w="1117" w:type="dxa"/>
            <w:noWrap w:val="0"/>
            <w:vAlign w:val="center"/>
          </w:tcPr>
          <w:p w14:paraId="201BE26C">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否</w:t>
            </w:r>
          </w:p>
        </w:tc>
      </w:tr>
      <w:tr w14:paraId="70EF1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00E86731">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3</w:t>
            </w:r>
          </w:p>
        </w:tc>
        <w:tc>
          <w:tcPr>
            <w:tcW w:w="756" w:type="dxa"/>
            <w:noWrap w:val="0"/>
            <w:vAlign w:val="center"/>
          </w:tcPr>
          <w:p w14:paraId="33101A82">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w:t>
            </w:r>
          </w:p>
        </w:tc>
        <w:tc>
          <w:tcPr>
            <w:tcW w:w="6506" w:type="dxa"/>
            <w:noWrap w:val="0"/>
            <w:vAlign w:val="center"/>
          </w:tcPr>
          <w:p w14:paraId="498E1BFB">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‎端口要求：</w:t>
            </w:r>
            <w:r>
              <w:rPr>
                <w:rFonts w:hint="eastAsia" w:ascii="仿宋" w:hAnsi="仿宋" w:eastAsia="仿宋" w:cs="仿宋"/>
                <w:sz w:val="24"/>
                <w:szCs w:val="24"/>
                <w:highlight w:val="none"/>
                <w:lang w:val="en-US" w:eastAsia="zh-CN" w:bidi="ar"/>
              </w:rPr>
              <w:t>单台</w:t>
            </w:r>
            <w:r>
              <w:rPr>
                <w:rFonts w:hint="eastAsia" w:ascii="仿宋" w:hAnsi="仿宋" w:eastAsia="仿宋" w:cs="仿宋"/>
                <w:sz w:val="24"/>
                <w:szCs w:val="24"/>
                <w:highlight w:val="none"/>
                <w:lang w:bidi="ar"/>
              </w:rPr>
              <w:t>配置≥</w:t>
            </w:r>
            <w:r>
              <w:rPr>
                <w:rFonts w:hint="eastAsia" w:ascii="仿宋" w:hAnsi="仿宋" w:eastAsia="仿宋" w:cs="仿宋"/>
                <w:sz w:val="24"/>
                <w:szCs w:val="24"/>
                <w:highlight w:val="none"/>
                <w:lang w:val="en-US" w:eastAsia="zh-CN" w:bidi="ar"/>
              </w:rPr>
              <w:t>2</w:t>
            </w:r>
            <w:r>
              <w:rPr>
                <w:rFonts w:hint="eastAsia" w:ascii="仿宋" w:hAnsi="仿宋" w:eastAsia="仿宋" w:cs="仿宋"/>
                <w:sz w:val="24"/>
                <w:szCs w:val="24"/>
                <w:highlight w:val="none"/>
                <w:lang w:bidi="ar"/>
              </w:rPr>
              <w:t>个GE接口，≥8个10GE接口（含光模块），≥8个32Gb FC接口。</w:t>
            </w:r>
          </w:p>
          <w:p w14:paraId="327AA85C">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硬盘要求：</w:t>
            </w:r>
            <w:r>
              <w:rPr>
                <w:rFonts w:hint="eastAsia" w:ascii="仿宋" w:hAnsi="仿宋" w:eastAsia="仿宋" w:cs="仿宋"/>
                <w:sz w:val="24"/>
                <w:szCs w:val="24"/>
                <w:highlight w:val="none"/>
                <w:lang w:val="en-US" w:eastAsia="zh-CN" w:bidi="ar"/>
              </w:rPr>
              <w:t>单台</w:t>
            </w:r>
            <w:r>
              <w:rPr>
                <w:rFonts w:hint="eastAsia" w:ascii="仿宋" w:hAnsi="仿宋" w:eastAsia="仿宋" w:cs="仿宋"/>
                <w:sz w:val="24"/>
                <w:szCs w:val="24"/>
                <w:highlight w:val="none"/>
                <w:lang w:bidi="ar"/>
              </w:rPr>
              <w:t xml:space="preserve">配置≥12块7.68TB </w:t>
            </w:r>
            <w:r>
              <w:rPr>
                <w:rFonts w:hint="eastAsia" w:ascii="仿宋" w:hAnsi="仿宋" w:eastAsia="仿宋" w:cs="仿宋"/>
                <w:sz w:val="24"/>
                <w:szCs w:val="24"/>
                <w:highlight w:val="none"/>
                <w:lang w:val="en-US" w:eastAsia="zh-CN" w:bidi="ar"/>
              </w:rPr>
              <w:t>NVMe</w:t>
            </w:r>
            <w:r>
              <w:rPr>
                <w:rFonts w:hint="eastAsia" w:ascii="仿宋" w:hAnsi="仿宋" w:eastAsia="仿宋" w:cs="仿宋"/>
                <w:sz w:val="24"/>
                <w:szCs w:val="24"/>
                <w:highlight w:val="none"/>
                <w:lang w:bidi="ar"/>
              </w:rPr>
              <w:t xml:space="preserve"> SSD企业级硬盘。</w:t>
            </w:r>
          </w:p>
        </w:tc>
        <w:tc>
          <w:tcPr>
            <w:tcW w:w="1117" w:type="dxa"/>
            <w:noWrap w:val="0"/>
            <w:vAlign w:val="center"/>
          </w:tcPr>
          <w:p w14:paraId="3AC9AC5A">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否</w:t>
            </w:r>
          </w:p>
        </w:tc>
      </w:tr>
      <w:tr w14:paraId="75F06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0C7D8D07">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4</w:t>
            </w:r>
          </w:p>
        </w:tc>
        <w:tc>
          <w:tcPr>
            <w:tcW w:w="756" w:type="dxa"/>
            <w:noWrap w:val="0"/>
            <w:vAlign w:val="center"/>
          </w:tcPr>
          <w:p w14:paraId="1CF00C5D">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w:t>
            </w:r>
          </w:p>
        </w:tc>
        <w:tc>
          <w:tcPr>
            <w:tcW w:w="6506" w:type="dxa"/>
            <w:noWrap w:val="0"/>
            <w:vAlign w:val="center"/>
          </w:tcPr>
          <w:p w14:paraId="326C3E5E">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rPr>
            </w:pPr>
            <w:r>
              <w:rPr>
                <w:rFonts w:hint="eastAsia" w:ascii="仿宋" w:hAnsi="仿宋" w:eastAsia="仿宋" w:cs="仿宋"/>
                <w:sz w:val="24"/>
                <w:szCs w:val="24"/>
                <w:lang w:bidi="ar"/>
              </w:rPr>
              <w:t>RAID要求：支持RAID 0、1、5、6、10、50、60及RAID</w:t>
            </w:r>
            <w:r>
              <w:rPr>
                <w:rFonts w:hint="eastAsia" w:ascii="仿宋" w:hAnsi="仿宋" w:eastAsia="仿宋" w:cs="仿宋"/>
                <w:sz w:val="24"/>
                <w:szCs w:val="24"/>
                <w:lang w:val="en-US" w:eastAsia="zh-CN" w:bidi="ar"/>
              </w:rPr>
              <w:t>-X</w:t>
            </w:r>
            <w:r>
              <w:rPr>
                <w:rFonts w:hint="eastAsia" w:ascii="仿宋" w:hAnsi="仿宋" w:eastAsia="仿宋" w:cs="仿宋"/>
                <w:sz w:val="24"/>
                <w:szCs w:val="24"/>
                <w:lang w:bidi="ar"/>
              </w:rPr>
              <w:t>的RAID方式（提供界面功能截图，加盖原厂公章）。</w:t>
            </w:r>
          </w:p>
        </w:tc>
        <w:tc>
          <w:tcPr>
            <w:tcW w:w="1117" w:type="dxa"/>
            <w:noWrap w:val="0"/>
            <w:vAlign w:val="center"/>
          </w:tcPr>
          <w:p w14:paraId="412447B6">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是</w:t>
            </w:r>
          </w:p>
        </w:tc>
      </w:tr>
      <w:tr w14:paraId="5B96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5CF3945E">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5</w:t>
            </w:r>
          </w:p>
        </w:tc>
        <w:tc>
          <w:tcPr>
            <w:tcW w:w="756" w:type="dxa"/>
            <w:noWrap w:val="0"/>
            <w:vAlign w:val="center"/>
          </w:tcPr>
          <w:p w14:paraId="7268ECB6">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w:t>
            </w:r>
          </w:p>
        </w:tc>
        <w:tc>
          <w:tcPr>
            <w:tcW w:w="6506" w:type="dxa"/>
            <w:noWrap w:val="0"/>
            <w:vAlign w:val="center"/>
          </w:tcPr>
          <w:p w14:paraId="3725D126">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sz w:val="24"/>
                <w:szCs w:val="24"/>
                <w:lang w:bidi="ar"/>
              </w:rPr>
              <w:t>‎配置全容量许可精简功能，精简粒度4K、8K、16K、32K、64K、128K、256K、512K、1M可调节，后续扩容无需额外购买许可</w:t>
            </w:r>
            <w:r>
              <w:rPr>
                <w:rFonts w:hint="eastAsia" w:ascii="仿宋" w:hAnsi="仿宋" w:eastAsia="仿宋" w:cs="仿宋"/>
                <w:sz w:val="24"/>
                <w:szCs w:val="24"/>
                <w:lang w:eastAsia="zh-CN" w:bidi="ar"/>
              </w:rPr>
              <w:t>。</w:t>
            </w:r>
            <w:r>
              <w:rPr>
                <w:rFonts w:hint="eastAsia" w:ascii="仿宋" w:hAnsi="仿宋" w:eastAsia="仿宋" w:cs="仿宋"/>
                <w:sz w:val="24"/>
                <w:szCs w:val="24"/>
                <w:lang w:bidi="ar"/>
              </w:rPr>
              <w:t>需提供第三方权威评测机构签字盖章的测试报告复印件并加盖原厂公章。</w:t>
            </w:r>
          </w:p>
        </w:tc>
        <w:tc>
          <w:tcPr>
            <w:tcW w:w="1117" w:type="dxa"/>
            <w:noWrap w:val="0"/>
            <w:vAlign w:val="center"/>
          </w:tcPr>
          <w:p w14:paraId="2DB30686">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val="en-US" w:eastAsia="zh-CN" w:bidi="ar"/>
              </w:rPr>
              <w:t>是</w:t>
            </w:r>
          </w:p>
        </w:tc>
      </w:tr>
      <w:tr w14:paraId="3EDEB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06F258AA">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6</w:t>
            </w:r>
          </w:p>
        </w:tc>
        <w:tc>
          <w:tcPr>
            <w:tcW w:w="756" w:type="dxa"/>
            <w:noWrap w:val="0"/>
            <w:vAlign w:val="center"/>
          </w:tcPr>
          <w:p w14:paraId="40115FF7">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w:t>
            </w:r>
          </w:p>
        </w:tc>
        <w:tc>
          <w:tcPr>
            <w:tcW w:w="6506" w:type="dxa"/>
            <w:noWrap w:val="0"/>
            <w:vAlign w:val="center"/>
          </w:tcPr>
          <w:p w14:paraId="5407C5BF">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rPr>
            </w:pPr>
            <w:r>
              <w:rPr>
                <w:rFonts w:hint="eastAsia" w:ascii="仿宋" w:hAnsi="仿宋" w:eastAsia="仿宋" w:cs="仿宋"/>
                <w:sz w:val="24"/>
                <w:szCs w:val="24"/>
                <w:lang w:bidi="ar"/>
              </w:rPr>
              <w:t>‎</w:t>
            </w:r>
            <w:r>
              <w:rPr>
                <w:rFonts w:hint="eastAsia" w:ascii="仿宋" w:hAnsi="仿宋" w:eastAsia="仿宋" w:cs="仿宋"/>
                <w:sz w:val="24"/>
                <w:szCs w:val="24"/>
                <w:lang w:val="en-US" w:eastAsia="zh-CN" w:bidi="ar"/>
              </w:rPr>
              <w:t>双活</w:t>
            </w:r>
            <w:r>
              <w:rPr>
                <w:rFonts w:hint="eastAsia" w:ascii="仿宋" w:hAnsi="仿宋" w:eastAsia="仿宋" w:cs="仿宋"/>
                <w:sz w:val="24"/>
                <w:szCs w:val="24"/>
                <w:lang w:bidi="ar"/>
              </w:rPr>
              <w:t>功能：配置</w:t>
            </w:r>
            <w:r>
              <w:rPr>
                <w:rFonts w:hint="eastAsia" w:ascii="仿宋" w:hAnsi="仿宋" w:eastAsia="仿宋" w:cs="仿宋"/>
                <w:sz w:val="24"/>
                <w:szCs w:val="24"/>
                <w:lang w:val="en-US" w:eastAsia="zh-CN" w:bidi="ar"/>
              </w:rPr>
              <w:t>双活</w:t>
            </w:r>
            <w:r>
              <w:rPr>
                <w:rFonts w:hint="eastAsia" w:ascii="仿宋" w:hAnsi="仿宋" w:eastAsia="仿宋" w:cs="仿宋"/>
                <w:sz w:val="24"/>
                <w:szCs w:val="24"/>
                <w:lang w:bidi="ar"/>
              </w:rPr>
              <w:t>功能，支持双活LUN 在线扩容，容量修改在单端完成，对端容量信息同步修改，对双活的状态无任何影响，主机无感知</w:t>
            </w:r>
            <w:r>
              <w:rPr>
                <w:rFonts w:hint="eastAsia" w:ascii="仿宋" w:hAnsi="仿宋" w:eastAsia="仿宋" w:cs="仿宋"/>
                <w:sz w:val="24"/>
                <w:szCs w:val="24"/>
                <w:lang w:eastAsia="zh-CN" w:bidi="ar"/>
              </w:rPr>
              <w:t>。</w:t>
            </w:r>
            <w:r>
              <w:rPr>
                <w:rFonts w:hint="eastAsia" w:ascii="仿宋" w:hAnsi="仿宋" w:eastAsia="仿宋" w:cs="仿宋"/>
                <w:sz w:val="24"/>
                <w:szCs w:val="24"/>
                <w:lang w:bidi="ar"/>
              </w:rPr>
              <w:t>需提供第三方权威评测机构签字盖章的测试报告复印件并加盖原厂公章。</w:t>
            </w:r>
          </w:p>
        </w:tc>
        <w:tc>
          <w:tcPr>
            <w:tcW w:w="1117" w:type="dxa"/>
            <w:noWrap w:val="0"/>
            <w:vAlign w:val="center"/>
          </w:tcPr>
          <w:p w14:paraId="1518F814">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是</w:t>
            </w:r>
          </w:p>
        </w:tc>
      </w:tr>
      <w:tr w14:paraId="7362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0688B023">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val="en-US" w:eastAsia="zh-CN" w:bidi="ar"/>
              </w:rPr>
            </w:pPr>
            <w:r>
              <w:rPr>
                <w:rFonts w:hint="eastAsia" w:ascii="仿宋" w:hAnsi="仿宋" w:eastAsia="仿宋" w:cs="仿宋"/>
                <w:sz w:val="24"/>
                <w:szCs w:val="24"/>
                <w:lang w:val="en-US" w:eastAsia="zh-CN" w:bidi="ar"/>
              </w:rPr>
              <w:t>7</w:t>
            </w:r>
          </w:p>
        </w:tc>
        <w:tc>
          <w:tcPr>
            <w:tcW w:w="756" w:type="dxa"/>
            <w:noWrap w:val="0"/>
            <w:vAlign w:val="center"/>
          </w:tcPr>
          <w:p w14:paraId="15FB9F7C">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w:t>
            </w:r>
          </w:p>
        </w:tc>
        <w:tc>
          <w:tcPr>
            <w:tcW w:w="6506" w:type="dxa"/>
            <w:noWrap w:val="0"/>
            <w:vAlign w:val="center"/>
          </w:tcPr>
          <w:p w14:paraId="50AC774B">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val="en-US" w:eastAsia="zh-CN" w:bidi="ar"/>
              </w:rPr>
            </w:pPr>
            <w:r>
              <w:rPr>
                <w:rFonts w:hint="eastAsia" w:ascii="仿宋" w:hAnsi="仿宋" w:eastAsia="仿宋" w:cs="仿宋"/>
                <w:sz w:val="24"/>
                <w:szCs w:val="24"/>
                <w:lang w:val="en-US" w:eastAsia="zh-CN" w:bidi="ar"/>
              </w:rPr>
              <w:t>快照功能：配置快照功能，支持</w:t>
            </w:r>
            <w:r>
              <w:rPr>
                <w:rFonts w:hint="eastAsia" w:ascii="仿宋" w:hAnsi="仿宋" w:eastAsia="仿宋" w:cs="仿宋"/>
                <w:sz w:val="24"/>
                <w:szCs w:val="24"/>
                <w:lang w:bidi="ar"/>
              </w:rPr>
              <w:t>在快照基础上再次创建快照，同时支持级联快照的跨级回滚，以保障快照数据安全；支持对快照设置保护周期，在保护周期内快照无法删除，无法篡改快照中的数据</w:t>
            </w:r>
            <w:r>
              <w:rPr>
                <w:rFonts w:hint="eastAsia" w:ascii="仿宋" w:hAnsi="仿宋" w:eastAsia="仿宋" w:cs="仿宋"/>
                <w:sz w:val="24"/>
                <w:szCs w:val="24"/>
                <w:lang w:eastAsia="zh-CN" w:bidi="ar"/>
              </w:rPr>
              <w:t>。</w:t>
            </w:r>
            <w:r>
              <w:rPr>
                <w:rFonts w:hint="eastAsia" w:ascii="仿宋" w:hAnsi="仿宋" w:eastAsia="仿宋" w:cs="仿宋"/>
                <w:sz w:val="24"/>
                <w:szCs w:val="24"/>
                <w:lang w:bidi="ar"/>
              </w:rPr>
              <w:t>需提供第三方权威评测机构签字盖章的测试报告复印件并加盖原厂公章。</w:t>
            </w:r>
          </w:p>
        </w:tc>
        <w:tc>
          <w:tcPr>
            <w:tcW w:w="1117" w:type="dxa"/>
            <w:noWrap w:val="0"/>
            <w:vAlign w:val="center"/>
          </w:tcPr>
          <w:p w14:paraId="1432CA99">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val="en-US" w:eastAsia="zh-CN" w:bidi="ar"/>
              </w:rPr>
            </w:pPr>
            <w:r>
              <w:rPr>
                <w:rFonts w:hint="eastAsia" w:ascii="仿宋" w:hAnsi="仿宋" w:eastAsia="仿宋" w:cs="仿宋"/>
                <w:sz w:val="24"/>
                <w:szCs w:val="24"/>
                <w:lang w:val="en-US" w:eastAsia="zh-CN" w:bidi="ar"/>
              </w:rPr>
              <w:t>是</w:t>
            </w:r>
          </w:p>
        </w:tc>
      </w:tr>
      <w:tr w14:paraId="1840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21B268E6">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bidi="ar"/>
              </w:rPr>
            </w:pPr>
            <w:r>
              <w:rPr>
                <w:rFonts w:hint="eastAsia" w:ascii="仿宋" w:hAnsi="仿宋" w:eastAsia="仿宋" w:cs="仿宋"/>
                <w:sz w:val="24"/>
                <w:szCs w:val="24"/>
                <w:lang w:val="en-US" w:eastAsia="zh-CN" w:bidi="ar"/>
              </w:rPr>
              <w:t>8</w:t>
            </w:r>
          </w:p>
        </w:tc>
        <w:tc>
          <w:tcPr>
            <w:tcW w:w="756" w:type="dxa"/>
            <w:noWrap w:val="0"/>
            <w:vAlign w:val="center"/>
          </w:tcPr>
          <w:p w14:paraId="0B09931B">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p>
        </w:tc>
        <w:tc>
          <w:tcPr>
            <w:tcW w:w="6506" w:type="dxa"/>
            <w:noWrap w:val="0"/>
            <w:vAlign w:val="center"/>
          </w:tcPr>
          <w:p w14:paraId="405B89C7">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支持A-A文件系统，每个控制器都可以提供NAS业务访问，非主备模式</w:t>
            </w:r>
            <w:r>
              <w:rPr>
                <w:rFonts w:hint="eastAsia" w:ascii="仿宋" w:hAnsi="仿宋" w:eastAsia="仿宋" w:cs="仿宋"/>
                <w:sz w:val="24"/>
                <w:szCs w:val="24"/>
                <w:lang w:eastAsia="zh-CN" w:bidi="ar"/>
              </w:rPr>
              <w:t>；</w:t>
            </w:r>
          </w:p>
        </w:tc>
        <w:tc>
          <w:tcPr>
            <w:tcW w:w="1117" w:type="dxa"/>
            <w:noWrap w:val="0"/>
            <w:vAlign w:val="center"/>
          </w:tcPr>
          <w:p w14:paraId="171172B5">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否</w:t>
            </w:r>
          </w:p>
        </w:tc>
      </w:tr>
      <w:tr w14:paraId="61C74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52453CAD">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val="en-US" w:eastAsia="zh-CN" w:bidi="ar"/>
              </w:rPr>
            </w:pPr>
            <w:r>
              <w:rPr>
                <w:rFonts w:hint="eastAsia" w:ascii="仿宋" w:hAnsi="仿宋" w:eastAsia="仿宋" w:cs="仿宋"/>
                <w:sz w:val="24"/>
                <w:szCs w:val="24"/>
                <w:lang w:val="en-US" w:eastAsia="zh-CN" w:bidi="ar"/>
              </w:rPr>
              <w:t>9</w:t>
            </w:r>
          </w:p>
        </w:tc>
        <w:tc>
          <w:tcPr>
            <w:tcW w:w="756" w:type="dxa"/>
            <w:noWrap w:val="0"/>
            <w:vAlign w:val="center"/>
          </w:tcPr>
          <w:p w14:paraId="03EBA474">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w:t>
            </w:r>
          </w:p>
        </w:tc>
        <w:tc>
          <w:tcPr>
            <w:tcW w:w="6506" w:type="dxa"/>
            <w:noWrap w:val="0"/>
            <w:vAlign w:val="center"/>
          </w:tcPr>
          <w:p w14:paraId="42888EB8">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eastAsia="zh-CN" w:bidi="ar"/>
              </w:rPr>
            </w:pPr>
            <w:r>
              <w:rPr>
                <w:rFonts w:hint="eastAsia" w:ascii="仿宋" w:hAnsi="仿宋" w:eastAsia="仿宋" w:cs="仿宋"/>
                <w:kern w:val="0"/>
                <w:sz w:val="24"/>
                <w:szCs w:val="24"/>
                <w:lang w:val="en-US" w:eastAsia="zh-CN" w:bidi="ar"/>
              </w:rPr>
              <w:t>支持</w:t>
            </w:r>
            <w:r>
              <w:rPr>
                <w:rFonts w:hint="eastAsia" w:ascii="仿宋" w:hAnsi="仿宋" w:eastAsia="仿宋" w:cs="仿宋"/>
                <w:kern w:val="0"/>
                <w:sz w:val="24"/>
                <w:szCs w:val="24"/>
                <w:lang w:bidi="ar"/>
              </w:rPr>
              <w:t>NAS双活功能，实现NAS文件系统的数据保护，任意一个站点设备故障，NAS业务不中断</w:t>
            </w:r>
            <w:r>
              <w:rPr>
                <w:rFonts w:hint="eastAsia" w:ascii="仿宋" w:hAnsi="仿宋" w:eastAsia="仿宋" w:cs="仿宋"/>
                <w:kern w:val="0"/>
                <w:sz w:val="24"/>
                <w:szCs w:val="24"/>
                <w:lang w:eastAsia="zh-CN" w:bidi="ar"/>
              </w:rPr>
              <w:t>。</w:t>
            </w:r>
            <w:r>
              <w:rPr>
                <w:rFonts w:hint="eastAsia" w:ascii="仿宋" w:hAnsi="仿宋" w:eastAsia="仿宋" w:cs="仿宋"/>
                <w:sz w:val="24"/>
                <w:szCs w:val="24"/>
                <w:lang w:bidi="ar"/>
              </w:rPr>
              <w:t>需提供第三方权威评测机构签字盖章的测试报告复印件并加盖原厂公章。</w:t>
            </w:r>
          </w:p>
        </w:tc>
        <w:tc>
          <w:tcPr>
            <w:tcW w:w="1117" w:type="dxa"/>
            <w:noWrap w:val="0"/>
            <w:vAlign w:val="center"/>
          </w:tcPr>
          <w:p w14:paraId="2D1D5152">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val="en-US" w:eastAsia="zh-CN" w:bidi="ar"/>
              </w:rPr>
            </w:pPr>
            <w:r>
              <w:rPr>
                <w:rFonts w:hint="eastAsia" w:ascii="仿宋" w:hAnsi="仿宋" w:eastAsia="仿宋" w:cs="仿宋"/>
                <w:sz w:val="24"/>
                <w:szCs w:val="24"/>
                <w:lang w:val="en-US" w:eastAsia="zh-CN" w:bidi="ar"/>
              </w:rPr>
              <w:t>是</w:t>
            </w:r>
          </w:p>
        </w:tc>
      </w:tr>
      <w:tr w14:paraId="08F0D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9" w:type="dxa"/>
            <w:noWrap w:val="0"/>
            <w:vAlign w:val="center"/>
          </w:tcPr>
          <w:p w14:paraId="73803F96">
            <w:pPr>
              <w:keepNext/>
              <w:pageBreakBefore w:val="0"/>
              <w:wordWrap/>
              <w:overflowPunct/>
              <w:topLinePunct w:val="0"/>
              <w:bidi w:val="0"/>
              <w:snapToGrid w:val="0"/>
              <w:spacing w:line="240" w:lineRule="auto"/>
              <w:ind w:left="0" w:leftChars="0" w:right="0" w:rightChars="0" w:firstLine="0" w:firstLineChars="0"/>
              <w:jc w:val="center"/>
              <w:textAlignment w:val="center"/>
              <w:rPr>
                <w:rFonts w:hint="default" w:ascii="仿宋" w:hAnsi="仿宋" w:eastAsia="仿宋" w:cs="仿宋"/>
                <w:sz w:val="24"/>
                <w:szCs w:val="24"/>
                <w:lang w:val="en-US" w:eastAsia="zh-CN" w:bidi="ar"/>
              </w:rPr>
            </w:pPr>
            <w:r>
              <w:rPr>
                <w:rFonts w:hint="eastAsia" w:ascii="仿宋" w:hAnsi="仿宋" w:eastAsia="仿宋" w:cs="仿宋"/>
                <w:sz w:val="24"/>
                <w:szCs w:val="24"/>
                <w:lang w:val="en-US" w:eastAsia="zh-CN" w:bidi="ar"/>
              </w:rPr>
              <w:t>10</w:t>
            </w:r>
          </w:p>
        </w:tc>
        <w:tc>
          <w:tcPr>
            <w:tcW w:w="756" w:type="dxa"/>
            <w:noWrap w:val="0"/>
            <w:vAlign w:val="center"/>
          </w:tcPr>
          <w:p w14:paraId="5CA2EED7">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val="en-US" w:eastAsia="zh-CN" w:bidi="ar-SA"/>
              </w:rPr>
            </w:pPr>
          </w:p>
        </w:tc>
        <w:tc>
          <w:tcPr>
            <w:tcW w:w="6506" w:type="dxa"/>
            <w:noWrap w:val="0"/>
            <w:vAlign w:val="center"/>
          </w:tcPr>
          <w:p w14:paraId="131E97A0">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val="en-US" w:eastAsia="zh-CN" w:bidi="ar"/>
              </w:rPr>
            </w:pPr>
            <w:r>
              <w:rPr>
                <w:rFonts w:hint="eastAsia" w:ascii="仿宋" w:hAnsi="仿宋" w:eastAsia="仿宋" w:cs="仿宋"/>
                <w:sz w:val="24"/>
                <w:szCs w:val="24"/>
                <w:lang w:bidi="ar"/>
              </w:rPr>
              <w:t>持缓存保护，并配置电池保护模组，支撑整机掉电数据保护，保证掉电时Cache数据可安全写入SSD永久保存，确保掉电后业务快速恢复。</w:t>
            </w:r>
          </w:p>
        </w:tc>
        <w:tc>
          <w:tcPr>
            <w:tcW w:w="1117" w:type="dxa"/>
            <w:noWrap w:val="0"/>
            <w:vAlign w:val="center"/>
          </w:tcPr>
          <w:p w14:paraId="77517D3E">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val="en-US" w:eastAsia="zh-CN" w:bidi="ar"/>
              </w:rPr>
            </w:pPr>
            <w:r>
              <w:rPr>
                <w:rFonts w:hint="eastAsia" w:ascii="仿宋" w:hAnsi="仿宋" w:eastAsia="仿宋" w:cs="仿宋"/>
                <w:sz w:val="24"/>
                <w:szCs w:val="24"/>
                <w:lang w:bidi="ar"/>
              </w:rPr>
              <w:t>否</w:t>
            </w:r>
          </w:p>
        </w:tc>
      </w:tr>
    </w:tbl>
    <w:p w14:paraId="564027A2">
      <w:pPr>
        <w:pStyle w:val="3"/>
        <w:keepNext/>
        <w:keepLines/>
        <w:pageBreakBefore w:val="0"/>
        <w:widowControl w:val="0"/>
        <w:numPr>
          <w:ilvl w:val="0"/>
          <w:numId w:val="0"/>
        </w:numPr>
        <w:kinsoku/>
        <w:wordWrap/>
        <w:overflowPunct/>
        <w:topLinePunct w:val="0"/>
        <w:autoSpaceDE/>
        <w:autoSpaceDN/>
        <w:bidi w:val="0"/>
        <w:adjustRightInd w:val="0"/>
        <w:snapToGrid/>
        <w:spacing w:before="0" w:after="0" w:line="360" w:lineRule="auto"/>
        <w:ind w:firstLine="241" w:firstLineChars="100"/>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备份容灾系统</w:t>
      </w:r>
    </w:p>
    <w:tbl>
      <w:tblPr>
        <w:tblStyle w:val="9"/>
        <w:tblW w:w="928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8"/>
        <w:gridCol w:w="677"/>
        <w:gridCol w:w="6587"/>
        <w:gridCol w:w="1116"/>
      </w:tblGrid>
      <w:tr w14:paraId="0A22D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908" w:type="dxa"/>
            <w:noWrap w:val="0"/>
            <w:vAlign w:val="center"/>
          </w:tcPr>
          <w:p w14:paraId="7A210EC7">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b/>
                <w:sz w:val="24"/>
                <w:szCs w:val="24"/>
              </w:rPr>
            </w:pPr>
            <w:r>
              <w:rPr>
                <w:rFonts w:hint="eastAsia" w:ascii="仿宋" w:hAnsi="仿宋" w:eastAsia="仿宋" w:cs="仿宋"/>
                <w:b/>
                <w:sz w:val="24"/>
                <w:szCs w:val="24"/>
                <w:lang w:bidi="ar"/>
              </w:rPr>
              <w:t>序号</w:t>
            </w:r>
          </w:p>
        </w:tc>
        <w:tc>
          <w:tcPr>
            <w:tcW w:w="677" w:type="dxa"/>
            <w:noWrap w:val="0"/>
            <w:vAlign w:val="center"/>
          </w:tcPr>
          <w:p w14:paraId="42854C9A">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b/>
                <w:sz w:val="24"/>
                <w:szCs w:val="24"/>
              </w:rPr>
            </w:pPr>
            <w:r>
              <w:rPr>
                <w:rFonts w:hint="eastAsia" w:ascii="仿宋" w:hAnsi="仿宋" w:eastAsia="仿宋" w:cs="仿宋"/>
                <w:b/>
                <w:sz w:val="24"/>
                <w:szCs w:val="24"/>
                <w:lang w:bidi="ar"/>
              </w:rPr>
              <w:t>重要性</w:t>
            </w:r>
          </w:p>
        </w:tc>
        <w:tc>
          <w:tcPr>
            <w:tcW w:w="6587" w:type="dxa"/>
            <w:noWrap w:val="0"/>
            <w:vAlign w:val="center"/>
          </w:tcPr>
          <w:p w14:paraId="5007A584">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b/>
                <w:sz w:val="24"/>
                <w:szCs w:val="24"/>
              </w:rPr>
            </w:pPr>
            <w:r>
              <w:rPr>
                <w:rFonts w:hint="eastAsia" w:ascii="仿宋" w:hAnsi="仿宋" w:eastAsia="仿宋" w:cs="仿宋"/>
                <w:b/>
                <w:sz w:val="24"/>
                <w:szCs w:val="24"/>
                <w:lang w:bidi="ar"/>
              </w:rPr>
              <w:t>技术规格要求</w:t>
            </w:r>
          </w:p>
        </w:tc>
        <w:tc>
          <w:tcPr>
            <w:tcW w:w="1116" w:type="dxa"/>
            <w:noWrap w:val="0"/>
            <w:vAlign w:val="center"/>
          </w:tcPr>
          <w:p w14:paraId="07E4EBF8">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b/>
                <w:sz w:val="24"/>
                <w:szCs w:val="24"/>
              </w:rPr>
            </w:pPr>
            <w:r>
              <w:rPr>
                <w:rFonts w:hint="eastAsia" w:ascii="仿宋" w:hAnsi="仿宋" w:eastAsia="仿宋" w:cs="仿宋"/>
                <w:b/>
                <w:sz w:val="24"/>
                <w:szCs w:val="24"/>
                <w:lang w:bidi="ar"/>
              </w:rPr>
              <w:t>证明材料要求</w:t>
            </w:r>
          </w:p>
        </w:tc>
      </w:tr>
      <w:tr w14:paraId="7E0C0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8" w:type="dxa"/>
            <w:noWrap w:val="0"/>
            <w:vAlign w:val="center"/>
          </w:tcPr>
          <w:p w14:paraId="40BBF99B">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1</w:t>
            </w:r>
          </w:p>
        </w:tc>
        <w:tc>
          <w:tcPr>
            <w:tcW w:w="677" w:type="dxa"/>
            <w:noWrap w:val="0"/>
            <w:vAlign w:val="center"/>
          </w:tcPr>
          <w:p w14:paraId="0C211681">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w:t>
            </w:r>
          </w:p>
        </w:tc>
        <w:tc>
          <w:tcPr>
            <w:tcW w:w="6587" w:type="dxa"/>
            <w:noWrap w:val="0"/>
            <w:vAlign w:val="center"/>
          </w:tcPr>
          <w:p w14:paraId="7C90E7B0">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基于国产化平台设计，采用标准机架式服务器架构，配置≥2颗处理器，处理器核心数≥</w:t>
            </w:r>
            <w:r>
              <w:rPr>
                <w:rFonts w:hint="eastAsia" w:ascii="仿宋" w:hAnsi="仿宋" w:eastAsia="仿宋" w:cs="仿宋"/>
                <w:sz w:val="24"/>
                <w:szCs w:val="24"/>
                <w:lang w:val="en-US" w:eastAsia="zh-CN" w:bidi="ar"/>
              </w:rPr>
              <w:t>24</w:t>
            </w:r>
            <w:r>
              <w:rPr>
                <w:rFonts w:hint="eastAsia" w:ascii="仿宋" w:hAnsi="仿宋" w:eastAsia="仿宋" w:cs="仿宋"/>
                <w:sz w:val="24"/>
                <w:szCs w:val="24"/>
                <w:lang w:bidi="ar"/>
              </w:rPr>
              <w:t>，主频≥2.</w:t>
            </w:r>
            <w:r>
              <w:rPr>
                <w:rFonts w:hint="eastAsia" w:ascii="仿宋" w:hAnsi="仿宋" w:eastAsia="仿宋" w:cs="仿宋"/>
                <w:sz w:val="24"/>
                <w:szCs w:val="24"/>
                <w:lang w:val="en-US" w:eastAsia="zh-CN" w:bidi="ar"/>
              </w:rPr>
              <w:t>4</w:t>
            </w:r>
            <w:r>
              <w:rPr>
                <w:rFonts w:hint="eastAsia" w:ascii="仿宋" w:hAnsi="仿宋" w:eastAsia="仿宋" w:cs="仿宋"/>
                <w:sz w:val="24"/>
                <w:szCs w:val="24"/>
                <w:lang w:bidi="ar"/>
              </w:rPr>
              <w:t>GHz，支持并配置超线程功能。</w:t>
            </w:r>
          </w:p>
        </w:tc>
        <w:tc>
          <w:tcPr>
            <w:tcW w:w="1116" w:type="dxa"/>
            <w:noWrap w:val="0"/>
            <w:vAlign w:val="center"/>
          </w:tcPr>
          <w:p w14:paraId="652FC4E9">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否</w:t>
            </w:r>
          </w:p>
        </w:tc>
      </w:tr>
      <w:tr w14:paraId="2CFA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8" w:type="dxa"/>
            <w:noWrap w:val="0"/>
            <w:vAlign w:val="center"/>
          </w:tcPr>
          <w:p w14:paraId="32062D16">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val="en-US" w:eastAsia="zh-CN" w:bidi="ar"/>
              </w:rPr>
            </w:pPr>
            <w:r>
              <w:rPr>
                <w:rFonts w:hint="eastAsia" w:ascii="仿宋" w:hAnsi="仿宋" w:eastAsia="仿宋" w:cs="仿宋"/>
                <w:sz w:val="24"/>
                <w:szCs w:val="24"/>
                <w:lang w:val="en-US" w:eastAsia="zh-CN" w:bidi="ar"/>
              </w:rPr>
              <w:t>2</w:t>
            </w:r>
          </w:p>
        </w:tc>
        <w:tc>
          <w:tcPr>
            <w:tcW w:w="677" w:type="dxa"/>
            <w:noWrap w:val="0"/>
            <w:vAlign w:val="center"/>
          </w:tcPr>
          <w:p w14:paraId="596CF35F">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val="en-US" w:eastAsia="zh-CN" w:bidi="ar"/>
              </w:rPr>
            </w:pPr>
            <w:r>
              <w:rPr>
                <w:rFonts w:hint="eastAsia" w:ascii="仿宋" w:hAnsi="仿宋" w:eastAsia="仿宋" w:cs="仿宋"/>
                <w:sz w:val="24"/>
                <w:szCs w:val="24"/>
              </w:rPr>
              <w:t>▲</w:t>
            </w:r>
          </w:p>
        </w:tc>
        <w:tc>
          <w:tcPr>
            <w:tcW w:w="6587" w:type="dxa"/>
            <w:noWrap w:val="0"/>
            <w:vAlign w:val="center"/>
          </w:tcPr>
          <w:p w14:paraId="400943D2">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val="en-US" w:eastAsia="zh-CN" w:bidi="ar"/>
              </w:rPr>
            </w:pPr>
            <w:r>
              <w:rPr>
                <w:rFonts w:hint="eastAsia" w:ascii="仿宋" w:hAnsi="仿宋" w:eastAsia="仿宋" w:cs="仿宋"/>
                <w:sz w:val="24"/>
                <w:szCs w:val="24"/>
                <w:lang w:bidi="ar"/>
              </w:rPr>
              <w:t>处理器安全要求：投标所配备的CPU(中央处理器)需通过“安全可靠测评结果公告（2024年第1号）的安全可靠测评。（提供承诺函并加盖</w:t>
            </w:r>
            <w:r>
              <w:rPr>
                <w:rFonts w:hint="eastAsia" w:ascii="仿宋" w:hAnsi="仿宋" w:eastAsia="仿宋" w:cs="仿宋"/>
                <w:sz w:val="24"/>
                <w:szCs w:val="24"/>
                <w:lang w:val="en-US" w:eastAsia="zh-CN" w:bidi="ar"/>
              </w:rPr>
              <w:t>投标设备原厂</w:t>
            </w:r>
            <w:r>
              <w:rPr>
                <w:rFonts w:hint="eastAsia" w:ascii="仿宋" w:hAnsi="仿宋" w:eastAsia="仿宋" w:cs="仿宋"/>
                <w:sz w:val="24"/>
                <w:szCs w:val="24"/>
                <w:lang w:bidi="ar"/>
              </w:rPr>
              <w:t>公章）。</w:t>
            </w:r>
          </w:p>
        </w:tc>
        <w:tc>
          <w:tcPr>
            <w:tcW w:w="1116" w:type="dxa"/>
            <w:noWrap w:val="0"/>
            <w:vAlign w:val="center"/>
          </w:tcPr>
          <w:p w14:paraId="0E2DCEE1">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val="en-US" w:eastAsia="zh-CN" w:bidi="ar"/>
              </w:rPr>
            </w:pPr>
            <w:r>
              <w:rPr>
                <w:rFonts w:hint="eastAsia" w:ascii="仿宋" w:hAnsi="仿宋" w:eastAsia="仿宋" w:cs="仿宋"/>
                <w:sz w:val="24"/>
                <w:szCs w:val="24"/>
                <w:lang w:val="en-US" w:eastAsia="zh-CN" w:bidi="ar"/>
              </w:rPr>
              <w:t>是</w:t>
            </w:r>
          </w:p>
        </w:tc>
      </w:tr>
      <w:tr w14:paraId="0E2F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8" w:type="dxa"/>
            <w:noWrap w:val="0"/>
            <w:vAlign w:val="center"/>
          </w:tcPr>
          <w:p w14:paraId="7401B32D">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bidi="ar"/>
              </w:rPr>
              <w:t>3</w:t>
            </w:r>
          </w:p>
        </w:tc>
        <w:tc>
          <w:tcPr>
            <w:tcW w:w="677" w:type="dxa"/>
            <w:noWrap w:val="0"/>
            <w:vAlign w:val="center"/>
          </w:tcPr>
          <w:p w14:paraId="4C845F17">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w:t>
            </w:r>
          </w:p>
        </w:tc>
        <w:tc>
          <w:tcPr>
            <w:tcW w:w="6587" w:type="dxa"/>
            <w:noWrap w:val="0"/>
            <w:vAlign w:val="center"/>
          </w:tcPr>
          <w:p w14:paraId="78A1717D">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‎配置≥256GB DDR5 内存，配置≥2块480GB SSD盘用于系统盘（支持RAID1），配置≥12块16TB企业级SATA HDD；</w:t>
            </w:r>
          </w:p>
          <w:p w14:paraId="29863E76">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可用数据容量≥130TB。</w:t>
            </w:r>
          </w:p>
        </w:tc>
        <w:tc>
          <w:tcPr>
            <w:tcW w:w="1116" w:type="dxa"/>
            <w:noWrap w:val="0"/>
            <w:vAlign w:val="center"/>
          </w:tcPr>
          <w:p w14:paraId="710AC55F">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否</w:t>
            </w:r>
          </w:p>
        </w:tc>
      </w:tr>
      <w:tr w14:paraId="3205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8" w:type="dxa"/>
            <w:noWrap w:val="0"/>
            <w:vAlign w:val="center"/>
          </w:tcPr>
          <w:p w14:paraId="36FC260B">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bidi="ar"/>
              </w:rPr>
              <w:t>4</w:t>
            </w:r>
          </w:p>
        </w:tc>
        <w:tc>
          <w:tcPr>
            <w:tcW w:w="677" w:type="dxa"/>
            <w:noWrap w:val="0"/>
            <w:vAlign w:val="center"/>
          </w:tcPr>
          <w:p w14:paraId="7CA29877">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p>
        </w:tc>
        <w:tc>
          <w:tcPr>
            <w:tcW w:w="6587" w:type="dxa"/>
            <w:noWrap w:val="0"/>
            <w:vAlign w:val="center"/>
          </w:tcPr>
          <w:p w14:paraId="4921A72E">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‎配置≥</w:t>
            </w:r>
            <w:r>
              <w:rPr>
                <w:rFonts w:hint="eastAsia" w:ascii="仿宋" w:hAnsi="仿宋" w:eastAsia="仿宋" w:cs="仿宋"/>
                <w:sz w:val="24"/>
                <w:szCs w:val="24"/>
                <w:lang w:val="en-US" w:eastAsia="zh-CN" w:bidi="ar"/>
              </w:rPr>
              <w:t>4</w:t>
            </w:r>
            <w:r>
              <w:rPr>
                <w:rFonts w:hint="eastAsia" w:ascii="仿宋" w:hAnsi="仿宋" w:eastAsia="仿宋" w:cs="仿宋"/>
                <w:sz w:val="24"/>
                <w:szCs w:val="24"/>
                <w:lang w:bidi="ar"/>
              </w:rPr>
              <w:t>个10GbE接口（含光模块），配置冗余可热插拔电源和风扇。</w:t>
            </w:r>
          </w:p>
        </w:tc>
        <w:tc>
          <w:tcPr>
            <w:tcW w:w="1116" w:type="dxa"/>
            <w:noWrap w:val="0"/>
            <w:vAlign w:val="center"/>
          </w:tcPr>
          <w:p w14:paraId="1B5EA6CE">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否</w:t>
            </w:r>
          </w:p>
        </w:tc>
      </w:tr>
      <w:tr w14:paraId="439A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8" w:type="dxa"/>
            <w:noWrap w:val="0"/>
            <w:vAlign w:val="center"/>
          </w:tcPr>
          <w:p w14:paraId="39BF024E">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bidi="ar"/>
              </w:rPr>
              <w:t>5</w:t>
            </w:r>
          </w:p>
        </w:tc>
        <w:tc>
          <w:tcPr>
            <w:tcW w:w="677" w:type="dxa"/>
            <w:noWrap w:val="0"/>
            <w:vAlign w:val="center"/>
          </w:tcPr>
          <w:p w14:paraId="28B807AF">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w:t>
            </w:r>
          </w:p>
        </w:tc>
        <w:tc>
          <w:tcPr>
            <w:tcW w:w="6587" w:type="dxa"/>
            <w:noWrap w:val="0"/>
            <w:vAlign w:val="center"/>
          </w:tcPr>
          <w:p w14:paraId="63FAB016">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rPr>
            </w:pPr>
            <w:r>
              <w:rPr>
                <w:rFonts w:hint="eastAsia" w:ascii="仿宋" w:hAnsi="仿宋" w:eastAsia="仿宋" w:cs="仿宋"/>
                <w:sz w:val="24"/>
                <w:szCs w:val="24"/>
                <w:lang w:bidi="ar"/>
              </w:rPr>
              <w:t>‎软件授权：配置≥1</w:t>
            </w:r>
            <w:r>
              <w:rPr>
                <w:rFonts w:hint="eastAsia" w:ascii="仿宋" w:hAnsi="仿宋" w:eastAsia="仿宋" w:cs="仿宋"/>
                <w:sz w:val="24"/>
                <w:szCs w:val="24"/>
                <w:lang w:val="en-US" w:eastAsia="zh-CN" w:bidi="ar"/>
              </w:rPr>
              <w:t>3</w:t>
            </w:r>
            <w:r>
              <w:rPr>
                <w:rFonts w:hint="eastAsia" w:ascii="仿宋" w:hAnsi="仿宋" w:eastAsia="仿宋" w:cs="仿宋"/>
                <w:sz w:val="24"/>
                <w:szCs w:val="24"/>
                <w:lang w:bidi="ar"/>
              </w:rPr>
              <w:t>0TB后端存储容量授权，软件全功能开放。</w:t>
            </w:r>
          </w:p>
        </w:tc>
        <w:tc>
          <w:tcPr>
            <w:tcW w:w="1116" w:type="dxa"/>
            <w:noWrap w:val="0"/>
            <w:vAlign w:val="center"/>
          </w:tcPr>
          <w:p w14:paraId="3CBFCA9F">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lang w:bidi="ar"/>
              </w:rPr>
              <w:t>否</w:t>
            </w:r>
          </w:p>
        </w:tc>
      </w:tr>
      <w:tr w14:paraId="018B8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8" w:type="dxa"/>
            <w:noWrap w:val="0"/>
            <w:vAlign w:val="center"/>
          </w:tcPr>
          <w:p w14:paraId="326EDA6E">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bidi="ar"/>
              </w:rPr>
              <w:t>6</w:t>
            </w:r>
          </w:p>
        </w:tc>
        <w:tc>
          <w:tcPr>
            <w:tcW w:w="677" w:type="dxa"/>
            <w:noWrap w:val="0"/>
            <w:vAlign w:val="center"/>
          </w:tcPr>
          <w:p w14:paraId="29F4EC12">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p>
        </w:tc>
        <w:tc>
          <w:tcPr>
            <w:tcW w:w="6587" w:type="dxa"/>
            <w:noWrap w:val="0"/>
            <w:vAlign w:val="center"/>
          </w:tcPr>
          <w:p w14:paraId="66F1B0FB">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‎数据库保护服务：支持主流的数据库在线备份恢复，包括：PostgreSQL、Caché</w:t>
            </w:r>
            <w:r>
              <w:rPr>
                <w:rFonts w:hint="eastAsia" w:ascii="仿宋" w:hAnsi="仿宋" w:eastAsia="仿宋" w:cs="仿宋"/>
                <w:sz w:val="24"/>
                <w:szCs w:val="24"/>
                <w:lang w:eastAsia="zh-CN" w:bidi="ar"/>
              </w:rPr>
              <w:t>、</w:t>
            </w:r>
            <w:r>
              <w:rPr>
                <w:rFonts w:hint="eastAsia" w:ascii="仿宋" w:hAnsi="仿宋" w:eastAsia="仿宋" w:cs="仿宋"/>
                <w:color w:val="000000"/>
                <w:sz w:val="24"/>
                <w:szCs w:val="24"/>
              </w:rPr>
              <w:t>DM</w:t>
            </w:r>
            <w:r>
              <w:rPr>
                <w:rFonts w:hint="eastAsia" w:ascii="仿宋" w:hAnsi="仿宋" w:eastAsia="仿宋" w:cs="仿宋"/>
                <w:sz w:val="24"/>
                <w:szCs w:val="24"/>
                <w:lang w:bidi="ar"/>
              </w:rPr>
              <w:t>等主流数据库应用。</w:t>
            </w:r>
          </w:p>
          <w:p w14:paraId="136949E4">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rPr>
            </w:pPr>
            <w:r>
              <w:rPr>
                <w:rFonts w:hint="eastAsia" w:ascii="仿宋" w:hAnsi="仿宋" w:eastAsia="仿宋" w:cs="仿宋"/>
                <w:sz w:val="24"/>
                <w:szCs w:val="24"/>
                <w:lang w:bidi="ar"/>
              </w:rPr>
              <w:t>LAN-Free功能要求：支持采用LAN-Free方式对文件、数据库、操作系统和虚拟化平台进行数据备份。LAN-Free的网络协议必须能支持iSCSI和FC。</w:t>
            </w:r>
          </w:p>
        </w:tc>
        <w:tc>
          <w:tcPr>
            <w:tcW w:w="1116" w:type="dxa"/>
            <w:noWrap w:val="0"/>
            <w:vAlign w:val="center"/>
          </w:tcPr>
          <w:p w14:paraId="051BEC66">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否</w:t>
            </w:r>
          </w:p>
        </w:tc>
      </w:tr>
      <w:tr w14:paraId="21D1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8" w:type="dxa"/>
            <w:noWrap w:val="0"/>
            <w:vAlign w:val="center"/>
          </w:tcPr>
          <w:p w14:paraId="2BAAF7AF">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bidi="ar"/>
              </w:rPr>
              <w:t>7</w:t>
            </w:r>
          </w:p>
        </w:tc>
        <w:tc>
          <w:tcPr>
            <w:tcW w:w="677" w:type="dxa"/>
            <w:noWrap w:val="0"/>
            <w:vAlign w:val="center"/>
          </w:tcPr>
          <w:p w14:paraId="5C376B2C">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p>
        </w:tc>
        <w:tc>
          <w:tcPr>
            <w:tcW w:w="6587" w:type="dxa"/>
            <w:noWrap w:val="0"/>
            <w:vAlign w:val="center"/>
          </w:tcPr>
          <w:p w14:paraId="603C0969">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rPr>
            </w:pPr>
            <w:r>
              <w:rPr>
                <w:rFonts w:hint="eastAsia" w:ascii="仿宋" w:hAnsi="仿宋" w:eastAsia="仿宋" w:cs="仿宋"/>
                <w:sz w:val="24"/>
                <w:szCs w:val="24"/>
                <w:lang w:bidi="ar"/>
              </w:rPr>
              <w:t>‎平台兼容性：备份客户端支持部署在Linux、AIX、Solaris、HP-UX等操作系统，以及基于龙芯、飞腾、海光、兆芯、申威、华为鲲鹏处理器架构下的银河麒麟和统信UOS操作系统等国产操作系统。</w:t>
            </w:r>
          </w:p>
        </w:tc>
        <w:tc>
          <w:tcPr>
            <w:tcW w:w="1116" w:type="dxa"/>
            <w:noWrap w:val="0"/>
            <w:vAlign w:val="center"/>
          </w:tcPr>
          <w:p w14:paraId="2589C610">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否</w:t>
            </w:r>
          </w:p>
        </w:tc>
      </w:tr>
      <w:tr w14:paraId="579A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8" w:type="dxa"/>
            <w:noWrap w:val="0"/>
            <w:vAlign w:val="center"/>
          </w:tcPr>
          <w:p w14:paraId="5CC973F5">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bidi="ar"/>
              </w:rPr>
              <w:t>8</w:t>
            </w:r>
          </w:p>
        </w:tc>
        <w:tc>
          <w:tcPr>
            <w:tcW w:w="677" w:type="dxa"/>
            <w:noWrap w:val="0"/>
            <w:vAlign w:val="center"/>
          </w:tcPr>
          <w:p w14:paraId="4DC3E47E">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p>
        </w:tc>
        <w:tc>
          <w:tcPr>
            <w:tcW w:w="6587" w:type="dxa"/>
            <w:noWrap w:val="0"/>
            <w:vAlign w:val="center"/>
          </w:tcPr>
          <w:p w14:paraId="7AE72A79">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管理与运维：支持通过图形化向导管理界面按设定好的步骤完成备份管理服务端的账号生成、存储池创建、系统自备份的配置，客户端注册和客户端权限划分等功能的开通，减少服务端部署的初始化复杂度。</w:t>
            </w:r>
          </w:p>
          <w:p w14:paraId="7F052ADB">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文件与操作系统保护服务：支持在线文件备份，包含：全量备份、增量备份与合成备份。支持对Linux、UNIX平台单文件/目录进行细颗粒度的合成备份和恢复。备份支持通过名称或通配符进行文件过滤，排除操作系统文件和一些指定扩展名的文件类型。支持全量备份、增量备份、合成备份生成的备份数据集通过挂载方式进行快速恢复。</w:t>
            </w:r>
          </w:p>
          <w:p w14:paraId="6562B837">
            <w:pPr>
              <w:keepNext/>
              <w:pageBreakBefore w:val="0"/>
              <w:wordWrap/>
              <w:overflowPunct/>
              <w:topLinePunct w:val="0"/>
              <w:bidi w:val="0"/>
              <w:snapToGrid w:val="0"/>
              <w:spacing w:line="240" w:lineRule="auto"/>
              <w:ind w:left="0" w:leftChars="0" w:right="0" w:rightChars="0" w:firstLine="0" w:firstLineChars="0"/>
              <w:jc w:val="left"/>
              <w:textAlignment w:val="center"/>
              <w:rPr>
                <w:rFonts w:hint="eastAsia" w:ascii="仿宋" w:hAnsi="仿宋" w:eastAsia="仿宋" w:cs="仿宋"/>
                <w:sz w:val="24"/>
                <w:szCs w:val="24"/>
                <w:lang w:bidi="ar"/>
              </w:rPr>
            </w:pPr>
            <w:r>
              <w:rPr>
                <w:rFonts w:hint="eastAsia" w:ascii="仿宋" w:hAnsi="仿宋" w:eastAsia="仿宋" w:cs="仿宋"/>
                <w:sz w:val="24"/>
                <w:szCs w:val="24"/>
                <w:lang w:bidi="ar"/>
              </w:rPr>
              <w:t>备份管理服务端自保护：备份管理服务端支持手动和自动周期的进行自备份操作，将备份管理服务端的Catalog信息存档，并支持复制到异地进行保存。</w:t>
            </w:r>
          </w:p>
        </w:tc>
        <w:tc>
          <w:tcPr>
            <w:tcW w:w="1116" w:type="dxa"/>
            <w:noWrap w:val="0"/>
            <w:vAlign w:val="center"/>
          </w:tcPr>
          <w:p w14:paraId="2EC7BC20">
            <w:pPr>
              <w:keepNext/>
              <w:pageBreakBefore w:val="0"/>
              <w:wordWrap/>
              <w:overflowPunct/>
              <w:topLinePunct w:val="0"/>
              <w:bidi w:val="0"/>
              <w:snapToGrid w:val="0"/>
              <w:spacing w:line="240" w:lineRule="auto"/>
              <w:ind w:left="0" w:leftChars="0" w:right="0" w:rightChars="0" w:firstLine="0" w:firstLineChars="0"/>
              <w:jc w:val="center"/>
              <w:textAlignment w:val="center"/>
              <w:rPr>
                <w:rFonts w:hint="eastAsia" w:ascii="仿宋" w:hAnsi="仿宋" w:eastAsia="仿宋" w:cs="仿宋"/>
                <w:sz w:val="24"/>
                <w:szCs w:val="24"/>
              </w:rPr>
            </w:pPr>
            <w:r>
              <w:rPr>
                <w:rFonts w:hint="eastAsia" w:ascii="仿宋" w:hAnsi="仿宋" w:eastAsia="仿宋" w:cs="仿宋"/>
                <w:sz w:val="24"/>
                <w:szCs w:val="24"/>
              </w:rPr>
              <w:t>否</w:t>
            </w:r>
          </w:p>
        </w:tc>
      </w:tr>
    </w:tbl>
    <w:p w14:paraId="4549DDFA">
      <w:pPr>
        <w:pStyle w:val="3"/>
        <w:keepNext/>
        <w:keepLines/>
        <w:pageBreakBefore w:val="0"/>
        <w:widowControl w:val="0"/>
        <w:numPr>
          <w:ilvl w:val="0"/>
          <w:numId w:val="0"/>
        </w:numPr>
        <w:kinsoku/>
        <w:wordWrap/>
        <w:overflowPunct/>
        <w:topLinePunct w:val="0"/>
        <w:autoSpaceDE/>
        <w:autoSpaceDN/>
        <w:bidi w:val="0"/>
        <w:adjustRightInd w:val="0"/>
        <w:snapToGrid/>
        <w:spacing w:before="0" w:after="0" w:line="360" w:lineRule="auto"/>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4、</w:t>
      </w:r>
      <w:r>
        <w:rPr>
          <w:rFonts w:hint="eastAsia" w:ascii="仿宋" w:hAnsi="仿宋" w:eastAsia="仿宋" w:cs="仿宋"/>
          <w:sz w:val="24"/>
          <w:szCs w:val="24"/>
        </w:rPr>
        <w:t>医疗数据资产管理协同+使用端系统</w:t>
      </w:r>
    </w:p>
    <w:tbl>
      <w:tblPr>
        <w:tblStyle w:val="9"/>
        <w:tblW w:w="928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752"/>
        <w:gridCol w:w="763"/>
        <w:gridCol w:w="1070"/>
        <w:gridCol w:w="707"/>
        <w:gridCol w:w="4011"/>
        <w:gridCol w:w="1104"/>
      </w:tblGrid>
      <w:tr w14:paraId="50ED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881" w:type="dxa"/>
            <w:noWrap w:val="0"/>
            <w:vAlign w:val="center"/>
          </w:tcPr>
          <w:p w14:paraId="40CD0C1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平台</w:t>
            </w:r>
          </w:p>
        </w:tc>
        <w:tc>
          <w:tcPr>
            <w:tcW w:w="752" w:type="dxa"/>
            <w:noWrap w:val="0"/>
            <w:vAlign w:val="center"/>
          </w:tcPr>
          <w:p w14:paraId="0C449C9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一级标号</w:t>
            </w:r>
          </w:p>
        </w:tc>
        <w:tc>
          <w:tcPr>
            <w:tcW w:w="763" w:type="dxa"/>
            <w:noWrap w:val="0"/>
            <w:vAlign w:val="center"/>
          </w:tcPr>
          <w:p w14:paraId="7AE41590">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一级功能</w:t>
            </w:r>
          </w:p>
        </w:tc>
        <w:tc>
          <w:tcPr>
            <w:tcW w:w="1070" w:type="dxa"/>
            <w:noWrap w:val="0"/>
            <w:vAlign w:val="center"/>
          </w:tcPr>
          <w:p w14:paraId="4092C78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二级标号</w:t>
            </w:r>
          </w:p>
        </w:tc>
        <w:tc>
          <w:tcPr>
            <w:tcW w:w="707" w:type="dxa"/>
            <w:noWrap w:val="0"/>
            <w:vAlign w:val="center"/>
          </w:tcPr>
          <w:p w14:paraId="5E90F728">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二级功能</w:t>
            </w:r>
          </w:p>
        </w:tc>
        <w:tc>
          <w:tcPr>
            <w:tcW w:w="4011" w:type="dxa"/>
            <w:noWrap w:val="0"/>
            <w:vAlign w:val="center"/>
          </w:tcPr>
          <w:p w14:paraId="03E2299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功能描述</w:t>
            </w:r>
          </w:p>
        </w:tc>
        <w:tc>
          <w:tcPr>
            <w:tcW w:w="1104" w:type="dxa"/>
            <w:noWrap w:val="0"/>
            <w:vAlign w:val="center"/>
          </w:tcPr>
          <w:p w14:paraId="2245A4F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证明材料</w:t>
            </w:r>
          </w:p>
        </w:tc>
      </w:tr>
      <w:tr w14:paraId="4582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restart"/>
            <w:noWrap w:val="0"/>
            <w:vAlign w:val="center"/>
          </w:tcPr>
          <w:p w14:paraId="62B32269">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4医疗数据资产管理协同+使用端系统</w:t>
            </w:r>
          </w:p>
        </w:tc>
        <w:tc>
          <w:tcPr>
            <w:tcW w:w="752" w:type="dxa"/>
            <w:noWrap w:val="0"/>
            <w:vAlign w:val="center"/>
          </w:tcPr>
          <w:p w14:paraId="507C97E2">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4.0 </w:t>
            </w:r>
          </w:p>
        </w:tc>
        <w:tc>
          <w:tcPr>
            <w:tcW w:w="763" w:type="dxa"/>
            <w:noWrap w:val="0"/>
            <w:vAlign w:val="center"/>
          </w:tcPr>
          <w:p w14:paraId="27D7CC45">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★整体需求</w:t>
            </w:r>
          </w:p>
        </w:tc>
        <w:tc>
          <w:tcPr>
            <w:tcW w:w="1070" w:type="dxa"/>
            <w:noWrap w:val="0"/>
            <w:vAlign w:val="center"/>
          </w:tcPr>
          <w:p w14:paraId="0258C05D">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4.0 </w:t>
            </w:r>
          </w:p>
        </w:tc>
        <w:tc>
          <w:tcPr>
            <w:tcW w:w="707" w:type="dxa"/>
            <w:noWrap w:val="0"/>
            <w:vAlign w:val="center"/>
          </w:tcPr>
          <w:p w14:paraId="1B6E1FDE">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w:t>
            </w:r>
          </w:p>
        </w:tc>
        <w:tc>
          <w:tcPr>
            <w:tcW w:w="4011" w:type="dxa"/>
            <w:noWrap w:val="0"/>
            <w:vAlign w:val="center"/>
          </w:tcPr>
          <w:p w14:paraId="6D0FCEC6">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投标人需</w:t>
            </w:r>
            <w:r>
              <w:rPr>
                <w:rFonts w:hint="eastAsia" w:ascii="仿宋" w:hAnsi="仿宋" w:eastAsia="仿宋" w:cs="仿宋"/>
                <w:color w:val="000000"/>
                <w:sz w:val="24"/>
                <w:szCs w:val="24"/>
                <w:lang w:val="en-US" w:eastAsia="zh-CN"/>
              </w:rPr>
              <w:t>按要求</w:t>
            </w:r>
            <w:r>
              <w:rPr>
                <w:rFonts w:hint="eastAsia" w:ascii="仿宋" w:hAnsi="仿宋" w:eastAsia="仿宋" w:cs="仿宋"/>
                <w:color w:val="000000"/>
                <w:sz w:val="24"/>
                <w:szCs w:val="24"/>
              </w:rPr>
              <w:t>交付医疗数据资产管理协同+使用端系统；并能够整合联通链接医疗数据应用协同系统。</w:t>
            </w:r>
          </w:p>
        </w:tc>
        <w:tc>
          <w:tcPr>
            <w:tcW w:w="1104" w:type="dxa"/>
            <w:noWrap/>
            <w:vAlign w:val="center"/>
          </w:tcPr>
          <w:p w14:paraId="6E12117B">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BA47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7D38947F">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restart"/>
            <w:noWrap w:val="0"/>
            <w:vAlign w:val="center"/>
          </w:tcPr>
          <w:p w14:paraId="12D29BA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4.1</w:t>
            </w:r>
          </w:p>
        </w:tc>
        <w:tc>
          <w:tcPr>
            <w:tcW w:w="763" w:type="dxa"/>
            <w:vMerge w:val="restart"/>
            <w:noWrap w:val="0"/>
            <w:vAlign w:val="center"/>
          </w:tcPr>
          <w:p w14:paraId="0C16379A">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可信多源异构数据开发管理</w:t>
            </w:r>
          </w:p>
        </w:tc>
        <w:tc>
          <w:tcPr>
            <w:tcW w:w="1070" w:type="dxa"/>
            <w:vMerge w:val="restart"/>
            <w:noWrap w:val="0"/>
            <w:vAlign w:val="center"/>
          </w:tcPr>
          <w:p w14:paraId="4077B6F8">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4.1.1</w:t>
            </w:r>
          </w:p>
        </w:tc>
        <w:tc>
          <w:tcPr>
            <w:tcW w:w="707" w:type="dxa"/>
            <w:vMerge w:val="restart"/>
            <w:noWrap w:val="0"/>
            <w:vAlign w:val="center"/>
          </w:tcPr>
          <w:p w14:paraId="37E5F02F">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支持数据源管理</w:t>
            </w:r>
          </w:p>
        </w:tc>
        <w:tc>
          <w:tcPr>
            <w:tcW w:w="4011" w:type="dxa"/>
            <w:vMerge w:val="restart"/>
            <w:noWrap w:val="0"/>
            <w:vAlign w:val="center"/>
          </w:tcPr>
          <w:p w14:paraId="31FC0CEF">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支持数据元注册与接入、数据连接测试以及数据采集任务。</w:t>
            </w:r>
          </w:p>
          <w:p w14:paraId="0A44B783">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支持采集任务监控。</w:t>
            </w:r>
          </w:p>
        </w:tc>
        <w:tc>
          <w:tcPr>
            <w:tcW w:w="1104" w:type="dxa"/>
            <w:noWrap/>
            <w:vAlign w:val="center"/>
          </w:tcPr>
          <w:p w14:paraId="0E26B85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3AB6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6BB4666E">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continue"/>
            <w:noWrap w:val="0"/>
            <w:vAlign w:val="center"/>
          </w:tcPr>
          <w:p w14:paraId="10DCE4C9">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63" w:type="dxa"/>
            <w:vMerge w:val="continue"/>
            <w:noWrap w:val="0"/>
            <w:vAlign w:val="center"/>
          </w:tcPr>
          <w:p w14:paraId="59BFDFA1">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70" w:type="dxa"/>
            <w:vMerge w:val="continue"/>
            <w:noWrap w:val="0"/>
            <w:vAlign w:val="center"/>
          </w:tcPr>
          <w:p w14:paraId="25A0AF5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07" w:type="dxa"/>
            <w:vMerge w:val="continue"/>
            <w:noWrap w:val="0"/>
            <w:vAlign w:val="center"/>
          </w:tcPr>
          <w:p w14:paraId="1D3722D0">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4011" w:type="dxa"/>
            <w:vMerge w:val="continue"/>
            <w:noWrap w:val="0"/>
            <w:vAlign w:val="center"/>
          </w:tcPr>
          <w:p w14:paraId="7D0349A1">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104" w:type="dxa"/>
            <w:noWrap/>
            <w:vAlign w:val="center"/>
          </w:tcPr>
          <w:p w14:paraId="12800FDE">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8BB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0C948C0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continue"/>
            <w:noWrap w:val="0"/>
            <w:vAlign w:val="center"/>
          </w:tcPr>
          <w:p w14:paraId="5DEC9274">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63" w:type="dxa"/>
            <w:vMerge w:val="continue"/>
            <w:noWrap w:val="0"/>
            <w:vAlign w:val="center"/>
          </w:tcPr>
          <w:p w14:paraId="08087746">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70" w:type="dxa"/>
            <w:noWrap/>
            <w:vAlign w:val="center"/>
          </w:tcPr>
          <w:p w14:paraId="7BB3A11E">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4.1.2</w:t>
            </w:r>
          </w:p>
        </w:tc>
        <w:tc>
          <w:tcPr>
            <w:tcW w:w="707" w:type="dxa"/>
            <w:noWrap w:val="0"/>
            <w:vAlign w:val="center"/>
          </w:tcPr>
          <w:p w14:paraId="48BC6A9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数据同步管理</w:t>
            </w:r>
          </w:p>
        </w:tc>
        <w:tc>
          <w:tcPr>
            <w:tcW w:w="4011" w:type="dxa"/>
            <w:noWrap w:val="0"/>
            <w:vAlign w:val="center"/>
          </w:tcPr>
          <w:p w14:paraId="086409E5">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支持DB数据，文件数据等数据同步。</w:t>
            </w:r>
          </w:p>
        </w:tc>
        <w:tc>
          <w:tcPr>
            <w:tcW w:w="1104" w:type="dxa"/>
            <w:noWrap/>
            <w:vAlign w:val="center"/>
          </w:tcPr>
          <w:p w14:paraId="168E365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6C8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881" w:type="dxa"/>
            <w:vMerge w:val="continue"/>
            <w:noWrap w:val="0"/>
            <w:vAlign w:val="center"/>
          </w:tcPr>
          <w:p w14:paraId="63F5957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continue"/>
            <w:noWrap w:val="0"/>
            <w:vAlign w:val="center"/>
          </w:tcPr>
          <w:p w14:paraId="091F12D0">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63" w:type="dxa"/>
            <w:vMerge w:val="continue"/>
            <w:noWrap w:val="0"/>
            <w:vAlign w:val="center"/>
          </w:tcPr>
          <w:p w14:paraId="20FDBC2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70" w:type="dxa"/>
            <w:noWrap/>
            <w:vAlign w:val="center"/>
          </w:tcPr>
          <w:p w14:paraId="5F591D83">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4.1.3</w:t>
            </w:r>
          </w:p>
        </w:tc>
        <w:tc>
          <w:tcPr>
            <w:tcW w:w="707" w:type="dxa"/>
            <w:noWrap w:val="0"/>
            <w:vAlign w:val="center"/>
          </w:tcPr>
          <w:p w14:paraId="4835DB5C">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数据开发工作流</w:t>
            </w:r>
          </w:p>
        </w:tc>
        <w:tc>
          <w:tcPr>
            <w:tcW w:w="4011" w:type="dxa"/>
            <w:noWrap w:val="0"/>
            <w:vAlign w:val="center"/>
          </w:tcPr>
          <w:p w14:paraId="71D00CF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支持可视化工作流编排。</w:t>
            </w:r>
          </w:p>
        </w:tc>
        <w:tc>
          <w:tcPr>
            <w:tcW w:w="1104" w:type="dxa"/>
            <w:noWrap/>
            <w:vAlign w:val="center"/>
          </w:tcPr>
          <w:p w14:paraId="2BA20E68">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D43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4A1E48D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continue"/>
            <w:noWrap w:val="0"/>
            <w:vAlign w:val="center"/>
          </w:tcPr>
          <w:p w14:paraId="7CA6A6D0">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63" w:type="dxa"/>
            <w:vMerge w:val="continue"/>
            <w:noWrap w:val="0"/>
            <w:vAlign w:val="center"/>
          </w:tcPr>
          <w:p w14:paraId="083B006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70" w:type="dxa"/>
            <w:noWrap/>
            <w:vAlign w:val="center"/>
          </w:tcPr>
          <w:p w14:paraId="2F49C178">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4.1.4</w:t>
            </w:r>
          </w:p>
        </w:tc>
        <w:tc>
          <w:tcPr>
            <w:tcW w:w="707" w:type="dxa"/>
            <w:noWrap w:val="0"/>
            <w:vAlign w:val="center"/>
          </w:tcPr>
          <w:p w14:paraId="7306D890">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支持数据处理规则管理</w:t>
            </w:r>
          </w:p>
        </w:tc>
        <w:tc>
          <w:tcPr>
            <w:tcW w:w="4011" w:type="dxa"/>
            <w:noWrap w:val="0"/>
            <w:vAlign w:val="center"/>
          </w:tcPr>
          <w:p w14:paraId="331AE32B">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4.1.4.1</w:t>
            </w:r>
            <w:r>
              <w:rPr>
                <w:rFonts w:hint="eastAsia" w:ascii="仿宋" w:hAnsi="仿宋" w:eastAsia="仿宋" w:cs="仿宋"/>
                <w:color w:val="000000"/>
                <w:sz w:val="24"/>
                <w:szCs w:val="24"/>
              </w:rPr>
              <w:t>支持数据处理规则的完整生命周期管理；</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lang w:val="en-US" w:eastAsia="zh-CN"/>
              </w:rPr>
              <w:t>4.1.4.2</w:t>
            </w:r>
            <w:r>
              <w:rPr>
                <w:rFonts w:hint="eastAsia" w:ascii="仿宋" w:hAnsi="仿宋" w:eastAsia="仿宋" w:cs="仿宋"/>
                <w:color w:val="000000"/>
                <w:sz w:val="24"/>
                <w:szCs w:val="24"/>
              </w:rPr>
              <w:t>支持规则的新建、编辑、版本管理和删除，可定义基于SQL、Python等多种语言的规则脚本。</w:t>
            </w:r>
          </w:p>
        </w:tc>
        <w:tc>
          <w:tcPr>
            <w:tcW w:w="1104" w:type="dxa"/>
            <w:noWrap/>
            <w:vAlign w:val="center"/>
          </w:tcPr>
          <w:p w14:paraId="3C6A3253">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否</w:t>
            </w:r>
          </w:p>
        </w:tc>
      </w:tr>
      <w:tr w14:paraId="266A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5004AB5D">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restart"/>
            <w:noWrap w:val="0"/>
            <w:vAlign w:val="center"/>
          </w:tcPr>
          <w:p w14:paraId="3E47FBE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4.2</w:t>
            </w:r>
          </w:p>
        </w:tc>
        <w:tc>
          <w:tcPr>
            <w:tcW w:w="763" w:type="dxa"/>
            <w:vMerge w:val="restart"/>
            <w:noWrap w:val="0"/>
            <w:vAlign w:val="center"/>
          </w:tcPr>
          <w:p w14:paraId="4A054E44">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实时质控管理</w:t>
            </w:r>
          </w:p>
        </w:tc>
        <w:tc>
          <w:tcPr>
            <w:tcW w:w="1070" w:type="dxa"/>
            <w:noWrap/>
            <w:vAlign w:val="center"/>
          </w:tcPr>
          <w:p w14:paraId="17F1833B">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4.2.1</w:t>
            </w:r>
          </w:p>
        </w:tc>
        <w:tc>
          <w:tcPr>
            <w:tcW w:w="707" w:type="dxa"/>
            <w:noWrap w:val="0"/>
            <w:vAlign w:val="center"/>
          </w:tcPr>
          <w:p w14:paraId="34BDE772">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支持数据质量任务管理</w:t>
            </w:r>
          </w:p>
        </w:tc>
        <w:tc>
          <w:tcPr>
            <w:tcW w:w="4011" w:type="dxa"/>
            <w:noWrap w:val="0"/>
            <w:vAlign w:val="center"/>
          </w:tcPr>
          <w:p w14:paraId="651E981C">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支持任务创建，质量规则配置和任务结果查看。</w:t>
            </w:r>
          </w:p>
        </w:tc>
        <w:tc>
          <w:tcPr>
            <w:tcW w:w="1104" w:type="dxa"/>
            <w:noWrap/>
            <w:vAlign w:val="center"/>
          </w:tcPr>
          <w:p w14:paraId="03B17C3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F41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593BCB50">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continue"/>
            <w:noWrap w:val="0"/>
            <w:vAlign w:val="center"/>
          </w:tcPr>
          <w:p w14:paraId="77A6F769">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63" w:type="dxa"/>
            <w:vMerge w:val="continue"/>
            <w:noWrap w:val="0"/>
            <w:vAlign w:val="center"/>
          </w:tcPr>
          <w:p w14:paraId="153CB1B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70" w:type="dxa"/>
            <w:noWrap/>
            <w:vAlign w:val="center"/>
          </w:tcPr>
          <w:p w14:paraId="154EAFC9">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4.2.2</w:t>
            </w:r>
          </w:p>
        </w:tc>
        <w:tc>
          <w:tcPr>
            <w:tcW w:w="707" w:type="dxa"/>
            <w:noWrap w:val="0"/>
            <w:vAlign w:val="center"/>
          </w:tcPr>
          <w:p w14:paraId="587651B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支持数据质量规则配置</w:t>
            </w:r>
          </w:p>
        </w:tc>
        <w:tc>
          <w:tcPr>
            <w:tcW w:w="4011" w:type="dxa"/>
            <w:noWrap w:val="0"/>
            <w:vAlign w:val="center"/>
          </w:tcPr>
          <w:p w14:paraId="6FCB195C">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支持表级，字段级数据质量规则的配置，包括不限于：完整性，一致性，有效性，唯一性规则的配置。</w:t>
            </w:r>
          </w:p>
        </w:tc>
        <w:tc>
          <w:tcPr>
            <w:tcW w:w="1104" w:type="dxa"/>
            <w:noWrap/>
            <w:vAlign w:val="center"/>
          </w:tcPr>
          <w:p w14:paraId="5079EB8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9AA2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1" w:type="dxa"/>
            <w:vMerge w:val="continue"/>
            <w:noWrap w:val="0"/>
            <w:vAlign w:val="center"/>
          </w:tcPr>
          <w:p w14:paraId="3BA7449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restart"/>
            <w:noWrap w:val="0"/>
            <w:vAlign w:val="center"/>
          </w:tcPr>
          <w:p w14:paraId="25D7366E">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4.3</w:t>
            </w:r>
          </w:p>
        </w:tc>
        <w:tc>
          <w:tcPr>
            <w:tcW w:w="763" w:type="dxa"/>
            <w:vMerge w:val="restart"/>
            <w:noWrap w:val="0"/>
            <w:vAlign w:val="center"/>
          </w:tcPr>
          <w:p w14:paraId="0BAB4A97">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元数据模型管理</w:t>
            </w:r>
          </w:p>
        </w:tc>
        <w:tc>
          <w:tcPr>
            <w:tcW w:w="1070" w:type="dxa"/>
            <w:noWrap/>
            <w:vAlign w:val="center"/>
          </w:tcPr>
          <w:p w14:paraId="7DE210F9">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4.3.1</w:t>
            </w:r>
          </w:p>
        </w:tc>
        <w:tc>
          <w:tcPr>
            <w:tcW w:w="707" w:type="dxa"/>
            <w:noWrap w:val="0"/>
            <w:vAlign w:val="center"/>
          </w:tcPr>
          <w:p w14:paraId="706CB1C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元数据采集</w:t>
            </w:r>
          </w:p>
        </w:tc>
        <w:tc>
          <w:tcPr>
            <w:tcW w:w="4011" w:type="dxa"/>
            <w:noWrap w:val="0"/>
            <w:vAlign w:val="center"/>
          </w:tcPr>
          <w:p w14:paraId="688B9D0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支持技术元数据自动采集和业务元数据关联。</w:t>
            </w:r>
          </w:p>
        </w:tc>
        <w:tc>
          <w:tcPr>
            <w:tcW w:w="1104" w:type="dxa"/>
            <w:noWrap/>
            <w:vAlign w:val="center"/>
          </w:tcPr>
          <w:p w14:paraId="3D034B8E">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9E2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235E3479">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continue"/>
            <w:noWrap w:val="0"/>
            <w:vAlign w:val="center"/>
          </w:tcPr>
          <w:p w14:paraId="6F6D21DE">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63" w:type="dxa"/>
            <w:vMerge w:val="continue"/>
            <w:noWrap w:val="0"/>
            <w:vAlign w:val="center"/>
          </w:tcPr>
          <w:p w14:paraId="46240D14">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70" w:type="dxa"/>
            <w:vMerge w:val="restart"/>
            <w:noWrap w:val="0"/>
            <w:vAlign w:val="center"/>
          </w:tcPr>
          <w:p w14:paraId="4D8B63E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4.3.2</w:t>
            </w:r>
          </w:p>
        </w:tc>
        <w:tc>
          <w:tcPr>
            <w:tcW w:w="707" w:type="dxa"/>
            <w:vMerge w:val="restart"/>
            <w:noWrap w:val="0"/>
            <w:vAlign w:val="center"/>
          </w:tcPr>
          <w:p w14:paraId="072B46A8">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自动化注释</w:t>
            </w:r>
          </w:p>
        </w:tc>
        <w:tc>
          <w:tcPr>
            <w:tcW w:w="4011" w:type="dxa"/>
            <w:noWrap w:val="0"/>
            <w:vAlign w:val="center"/>
          </w:tcPr>
          <w:p w14:paraId="28D1935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4.3.2.1</w:t>
            </w:r>
            <w:r>
              <w:rPr>
                <w:rFonts w:hint="eastAsia" w:ascii="仿宋" w:hAnsi="仿宋" w:eastAsia="仿宋" w:cs="仿宋"/>
                <w:color w:val="000000"/>
                <w:sz w:val="24"/>
                <w:szCs w:val="24"/>
              </w:rPr>
              <w:t>支持AI自动化注释，产品厂商3年内需依据业务需求提供免费定制化迭代优化。</w:t>
            </w:r>
          </w:p>
        </w:tc>
        <w:tc>
          <w:tcPr>
            <w:tcW w:w="1104" w:type="dxa"/>
            <w:noWrap/>
            <w:vAlign w:val="center"/>
          </w:tcPr>
          <w:p w14:paraId="1349D33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lang w:val="en-US" w:eastAsia="zh-CN"/>
              </w:rPr>
            </w:pPr>
            <w:r>
              <w:rPr>
                <w:rFonts w:hint="eastAsia" w:ascii="仿宋" w:eastAsia="仿宋"/>
                <w:sz w:val="24"/>
                <w:lang w:val="en-US" w:eastAsia="zh-CN"/>
              </w:rPr>
              <w:t>否</w:t>
            </w:r>
          </w:p>
        </w:tc>
      </w:tr>
      <w:tr w14:paraId="4D4FA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0D1BEC62">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continue"/>
            <w:noWrap w:val="0"/>
            <w:vAlign w:val="center"/>
          </w:tcPr>
          <w:p w14:paraId="357D796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63" w:type="dxa"/>
            <w:vMerge w:val="continue"/>
            <w:noWrap w:val="0"/>
            <w:vAlign w:val="center"/>
          </w:tcPr>
          <w:p w14:paraId="016A07DB">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70" w:type="dxa"/>
            <w:vMerge w:val="continue"/>
            <w:noWrap w:val="0"/>
            <w:vAlign w:val="center"/>
          </w:tcPr>
          <w:p w14:paraId="3AD8CD40">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07" w:type="dxa"/>
            <w:vMerge w:val="continue"/>
            <w:noWrap w:val="0"/>
            <w:vAlign w:val="center"/>
          </w:tcPr>
          <w:p w14:paraId="3F25193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4011" w:type="dxa"/>
            <w:noWrap/>
            <w:vAlign w:val="center"/>
          </w:tcPr>
          <w:p w14:paraId="52781015">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4.3.2.2</w:t>
            </w:r>
            <w:r>
              <w:rPr>
                <w:rFonts w:hint="eastAsia" w:ascii="仿宋" w:hAnsi="仿宋" w:eastAsia="仿宋" w:cs="仿宋"/>
                <w:color w:val="000000"/>
                <w:sz w:val="24"/>
                <w:szCs w:val="24"/>
              </w:rPr>
              <w:t>支持对AI生成的注释内容进行人工审核和纠偏。</w:t>
            </w:r>
          </w:p>
        </w:tc>
        <w:tc>
          <w:tcPr>
            <w:tcW w:w="1104" w:type="dxa"/>
            <w:noWrap/>
            <w:vAlign w:val="center"/>
          </w:tcPr>
          <w:p w14:paraId="75560D1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6C4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2B9E189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continue"/>
            <w:noWrap w:val="0"/>
            <w:vAlign w:val="center"/>
          </w:tcPr>
          <w:p w14:paraId="6F5D20B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63" w:type="dxa"/>
            <w:vMerge w:val="continue"/>
            <w:noWrap w:val="0"/>
            <w:vAlign w:val="center"/>
          </w:tcPr>
          <w:p w14:paraId="2CE8AA72">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70" w:type="dxa"/>
            <w:noWrap w:val="0"/>
            <w:vAlign w:val="center"/>
          </w:tcPr>
          <w:p w14:paraId="19B32FC2">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4.3.3</w:t>
            </w:r>
          </w:p>
        </w:tc>
        <w:tc>
          <w:tcPr>
            <w:tcW w:w="707" w:type="dxa"/>
            <w:noWrap w:val="0"/>
            <w:vAlign w:val="center"/>
          </w:tcPr>
          <w:p w14:paraId="0E2ECAA7">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元数据检索</w:t>
            </w:r>
          </w:p>
        </w:tc>
        <w:tc>
          <w:tcPr>
            <w:tcW w:w="4011" w:type="dxa"/>
            <w:noWrap w:val="0"/>
            <w:vAlign w:val="center"/>
          </w:tcPr>
          <w:p w14:paraId="442B299B">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提供跨数据源、全范围的元数据关键字模糊检索；</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支持在全部、术语、表等不同范围内按关键字进行元数据检索；</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支持结果筛选与逐级下钻。</w:t>
            </w:r>
          </w:p>
        </w:tc>
        <w:tc>
          <w:tcPr>
            <w:tcW w:w="1104" w:type="dxa"/>
            <w:noWrap/>
            <w:vAlign w:val="center"/>
          </w:tcPr>
          <w:p w14:paraId="578CCE4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435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5F88D09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restart"/>
            <w:noWrap w:val="0"/>
            <w:vAlign w:val="center"/>
          </w:tcPr>
          <w:p w14:paraId="6D87CEB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4.4</w:t>
            </w:r>
          </w:p>
        </w:tc>
        <w:tc>
          <w:tcPr>
            <w:tcW w:w="763" w:type="dxa"/>
            <w:vMerge w:val="restart"/>
            <w:noWrap w:val="0"/>
            <w:vAlign w:val="center"/>
          </w:tcPr>
          <w:p w14:paraId="0091CDC1">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可信多源标准管理</w:t>
            </w:r>
          </w:p>
        </w:tc>
        <w:tc>
          <w:tcPr>
            <w:tcW w:w="1070" w:type="dxa"/>
            <w:noWrap w:val="0"/>
            <w:vAlign w:val="center"/>
          </w:tcPr>
          <w:p w14:paraId="61CD36CF">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4.4.1</w:t>
            </w:r>
          </w:p>
        </w:tc>
        <w:tc>
          <w:tcPr>
            <w:tcW w:w="707" w:type="dxa"/>
            <w:noWrap w:val="0"/>
            <w:vAlign w:val="center"/>
          </w:tcPr>
          <w:p w14:paraId="50688991">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数据标准管理</w:t>
            </w:r>
          </w:p>
        </w:tc>
        <w:tc>
          <w:tcPr>
            <w:tcW w:w="4011" w:type="dxa"/>
            <w:noWrap w:val="0"/>
            <w:vAlign w:val="center"/>
          </w:tcPr>
          <w:p w14:paraId="7C2C0E6B">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▲提供全面灵活的数据标准设置功能和多模态医疗数据模型；</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支持根据医疗行业特性、专业领域需求、数据清洗规则、参考字典和编码规范等多个维度制定数据标准；</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支持字段级和非字段级标准创建。</w:t>
            </w:r>
          </w:p>
        </w:tc>
        <w:tc>
          <w:tcPr>
            <w:tcW w:w="1104" w:type="dxa"/>
            <w:noWrap/>
            <w:vAlign w:val="center"/>
          </w:tcPr>
          <w:p w14:paraId="780D2B3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否</w:t>
            </w:r>
          </w:p>
        </w:tc>
      </w:tr>
      <w:tr w14:paraId="1E0A8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1" w:type="dxa"/>
            <w:vMerge w:val="continue"/>
            <w:noWrap w:val="0"/>
            <w:vAlign w:val="center"/>
          </w:tcPr>
          <w:p w14:paraId="4FE6109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continue"/>
            <w:noWrap w:val="0"/>
            <w:vAlign w:val="center"/>
          </w:tcPr>
          <w:p w14:paraId="2D8E940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63" w:type="dxa"/>
            <w:vMerge w:val="continue"/>
            <w:noWrap w:val="0"/>
            <w:vAlign w:val="center"/>
          </w:tcPr>
          <w:p w14:paraId="0E761200">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70" w:type="dxa"/>
            <w:vMerge w:val="restart"/>
            <w:noWrap/>
            <w:vAlign w:val="center"/>
          </w:tcPr>
          <w:p w14:paraId="2AB069B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4.4.2</w:t>
            </w:r>
          </w:p>
        </w:tc>
        <w:tc>
          <w:tcPr>
            <w:tcW w:w="707" w:type="dxa"/>
            <w:vMerge w:val="restart"/>
            <w:noWrap w:val="0"/>
            <w:vAlign w:val="center"/>
          </w:tcPr>
          <w:p w14:paraId="5266194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数据标准代码</w:t>
            </w:r>
          </w:p>
        </w:tc>
        <w:tc>
          <w:tcPr>
            <w:tcW w:w="4011" w:type="dxa"/>
            <w:noWrap w:val="0"/>
            <w:vAlign w:val="center"/>
          </w:tcPr>
          <w:p w14:paraId="5AF78CEA">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支持标准码表管理；</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支持维护医疗行业通用编码体系，如ICD-10疾病分类编码、手术操作分类编码、药品编码、科室编码等。</w:t>
            </w:r>
          </w:p>
          <w:p w14:paraId="33A27482">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支持数据标准引用已维护的标准码表，建立数据标准与代码表之间的关联关系，在数据质量校验过程中自动调用对应码表进行枚举值合法性验证。</w:t>
            </w:r>
          </w:p>
        </w:tc>
        <w:tc>
          <w:tcPr>
            <w:tcW w:w="1104" w:type="dxa"/>
            <w:noWrap/>
            <w:vAlign w:val="center"/>
          </w:tcPr>
          <w:p w14:paraId="283F18C7">
            <w:pPr>
              <w:keepNext/>
              <w:pageBreakBefore w:val="0"/>
              <w:wordWrap/>
              <w:overflowPunct/>
              <w:topLinePunct w:val="0"/>
              <w:bidi w:val="0"/>
              <w:snapToGrid w:val="0"/>
              <w:spacing w:line="240" w:lineRule="auto"/>
              <w:ind w:left="0" w:leftChars="0" w:right="0" w:rightChars="0" w:firstLine="0" w:firstLineChars="0"/>
              <w:jc w:val="both"/>
              <w:rPr>
                <w:rFonts w:hint="eastAsia" w:ascii="仿宋" w:hAnsi="仿宋" w:eastAsia="仿宋" w:cs="仿宋"/>
                <w:color w:val="000000"/>
                <w:sz w:val="24"/>
                <w:szCs w:val="24"/>
              </w:rPr>
            </w:pPr>
          </w:p>
          <w:p w14:paraId="2F566988">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C0B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9" w:hRule="atLeast"/>
        </w:trPr>
        <w:tc>
          <w:tcPr>
            <w:tcW w:w="881" w:type="dxa"/>
            <w:vMerge w:val="continue"/>
            <w:noWrap w:val="0"/>
            <w:vAlign w:val="center"/>
          </w:tcPr>
          <w:p w14:paraId="06549B22">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restart"/>
            <w:noWrap w:val="0"/>
            <w:vAlign w:val="center"/>
          </w:tcPr>
          <w:p w14:paraId="5514F7FB">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4.5</w:t>
            </w:r>
          </w:p>
        </w:tc>
        <w:tc>
          <w:tcPr>
            <w:tcW w:w="763" w:type="dxa"/>
            <w:vMerge w:val="restart"/>
            <w:noWrap w:val="0"/>
            <w:vAlign w:val="center"/>
          </w:tcPr>
          <w:p w14:paraId="1193AED1">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可信数据溯源</w:t>
            </w:r>
          </w:p>
        </w:tc>
        <w:tc>
          <w:tcPr>
            <w:tcW w:w="1070" w:type="dxa"/>
            <w:vMerge w:val="restart"/>
            <w:noWrap w:val="0"/>
            <w:vAlign w:val="center"/>
          </w:tcPr>
          <w:p w14:paraId="436EE24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4.5.1</w:t>
            </w:r>
          </w:p>
        </w:tc>
        <w:tc>
          <w:tcPr>
            <w:tcW w:w="707" w:type="dxa"/>
            <w:noWrap w:val="0"/>
            <w:vAlign w:val="center"/>
          </w:tcPr>
          <w:p w14:paraId="328E4FE4">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数据血缘分析</w:t>
            </w:r>
          </w:p>
        </w:tc>
        <w:tc>
          <w:tcPr>
            <w:tcW w:w="4011" w:type="dxa"/>
            <w:noWrap w:val="0"/>
            <w:vAlign w:val="center"/>
          </w:tcPr>
          <w:p w14:paraId="2D3B153C">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基于数据处理任务、ETL脚本、SQL执行记录，实现基于区块链的自动解析和构建从原始数据源到最终数据产品的完整血缘链路，无需人工配置。</w:t>
            </w:r>
          </w:p>
          <w:p w14:paraId="3D2EA43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数据支持按调用路径方式查看数据血缘关系，以可视化图形展示指定数据表或字段的上下游依赖关系。</w:t>
            </w:r>
          </w:p>
        </w:tc>
        <w:tc>
          <w:tcPr>
            <w:tcW w:w="1104" w:type="dxa"/>
            <w:noWrap/>
            <w:vAlign w:val="center"/>
          </w:tcPr>
          <w:p w14:paraId="7F70BB2F">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2F2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63EE428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restart"/>
            <w:noWrap w:val="0"/>
            <w:vAlign w:val="center"/>
          </w:tcPr>
          <w:p w14:paraId="1F6A12F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4.6</w:t>
            </w:r>
          </w:p>
        </w:tc>
        <w:tc>
          <w:tcPr>
            <w:tcW w:w="763" w:type="dxa"/>
            <w:vMerge w:val="restart"/>
            <w:noWrap w:val="0"/>
            <w:vAlign w:val="center"/>
          </w:tcPr>
          <w:p w14:paraId="6E7DF946">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智能标签平台</w:t>
            </w:r>
          </w:p>
        </w:tc>
        <w:tc>
          <w:tcPr>
            <w:tcW w:w="1070" w:type="dxa"/>
            <w:vMerge w:val="restart"/>
            <w:noWrap w:val="0"/>
            <w:vAlign w:val="center"/>
          </w:tcPr>
          <w:p w14:paraId="03B3CC4B">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4.6.1</w:t>
            </w:r>
          </w:p>
        </w:tc>
        <w:tc>
          <w:tcPr>
            <w:tcW w:w="707" w:type="dxa"/>
            <w:noWrap w:val="0"/>
            <w:vAlign w:val="center"/>
          </w:tcPr>
          <w:p w14:paraId="5CCC174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标签管理</w:t>
            </w:r>
          </w:p>
        </w:tc>
        <w:tc>
          <w:tcPr>
            <w:tcW w:w="4011" w:type="dxa"/>
            <w:noWrap w:val="0"/>
            <w:vAlign w:val="center"/>
          </w:tcPr>
          <w:p w14:paraId="67D281B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4.6.1.1</w:t>
            </w:r>
            <w:r>
              <w:rPr>
                <w:rFonts w:hint="eastAsia" w:ascii="仿宋" w:hAnsi="仿宋" w:eastAsia="仿宋" w:cs="仿宋"/>
                <w:color w:val="000000"/>
                <w:sz w:val="24"/>
                <w:szCs w:val="24"/>
              </w:rPr>
              <w:t>提供标签体系的层级化管理功能；支持创建标签类目和标签，可基于医疗业务场景构建患者特征标签体系，多维度标签分类体系。</w:t>
            </w:r>
          </w:p>
        </w:tc>
        <w:tc>
          <w:tcPr>
            <w:tcW w:w="1104" w:type="dxa"/>
            <w:noWrap/>
            <w:vAlign w:val="center"/>
          </w:tcPr>
          <w:p w14:paraId="11F7AFD0">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F6E1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5DE5D614">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continue"/>
            <w:noWrap w:val="0"/>
            <w:vAlign w:val="center"/>
          </w:tcPr>
          <w:p w14:paraId="64FDC96F">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63" w:type="dxa"/>
            <w:vMerge w:val="continue"/>
            <w:noWrap w:val="0"/>
            <w:vAlign w:val="center"/>
          </w:tcPr>
          <w:p w14:paraId="49C17257">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70" w:type="dxa"/>
            <w:vMerge w:val="continue"/>
            <w:noWrap w:val="0"/>
            <w:vAlign w:val="center"/>
          </w:tcPr>
          <w:p w14:paraId="2762871B">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07" w:type="dxa"/>
            <w:noWrap w:val="0"/>
            <w:vAlign w:val="center"/>
          </w:tcPr>
          <w:p w14:paraId="383F5DE4">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标签视图与市场</w:t>
            </w:r>
          </w:p>
        </w:tc>
        <w:tc>
          <w:tcPr>
            <w:tcW w:w="4011" w:type="dxa"/>
            <w:noWrap/>
            <w:vAlign w:val="center"/>
          </w:tcPr>
          <w:p w14:paraId="7249611A">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4.6.1.2</w:t>
            </w:r>
            <w:r>
              <w:rPr>
                <w:rFonts w:hint="eastAsia" w:ascii="仿宋" w:hAnsi="仿宋" w:eastAsia="仿宋" w:cs="仿宋"/>
                <w:color w:val="000000"/>
                <w:sz w:val="24"/>
                <w:szCs w:val="24"/>
              </w:rPr>
              <w:t>支持标签值配置与标签分析和检索。</w:t>
            </w:r>
          </w:p>
        </w:tc>
        <w:tc>
          <w:tcPr>
            <w:tcW w:w="1104" w:type="dxa"/>
            <w:noWrap/>
            <w:vAlign w:val="center"/>
          </w:tcPr>
          <w:p w14:paraId="69A3B08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4CE5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7" w:hRule="atLeast"/>
        </w:trPr>
        <w:tc>
          <w:tcPr>
            <w:tcW w:w="881" w:type="dxa"/>
            <w:vMerge w:val="continue"/>
            <w:noWrap w:val="0"/>
            <w:vAlign w:val="center"/>
          </w:tcPr>
          <w:p w14:paraId="7C741FDF">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restart"/>
            <w:noWrap w:val="0"/>
            <w:vAlign w:val="center"/>
          </w:tcPr>
          <w:p w14:paraId="335AE4E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4.7</w:t>
            </w:r>
          </w:p>
        </w:tc>
        <w:tc>
          <w:tcPr>
            <w:tcW w:w="763" w:type="dxa"/>
            <w:vMerge w:val="restart"/>
            <w:noWrap w:val="0"/>
            <w:vAlign w:val="center"/>
          </w:tcPr>
          <w:p w14:paraId="493EC523">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术语管理</w:t>
            </w:r>
          </w:p>
        </w:tc>
        <w:tc>
          <w:tcPr>
            <w:tcW w:w="1070" w:type="dxa"/>
            <w:noWrap w:val="0"/>
            <w:vAlign w:val="center"/>
          </w:tcPr>
          <w:p w14:paraId="796D72B9">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4.7.1</w:t>
            </w:r>
          </w:p>
        </w:tc>
        <w:tc>
          <w:tcPr>
            <w:tcW w:w="707" w:type="dxa"/>
            <w:noWrap w:val="0"/>
            <w:vAlign w:val="center"/>
          </w:tcPr>
          <w:p w14:paraId="58ACAEB0">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支持术语库建设</w:t>
            </w:r>
          </w:p>
        </w:tc>
        <w:tc>
          <w:tcPr>
            <w:tcW w:w="4011" w:type="dxa"/>
            <w:noWrap w:val="0"/>
            <w:vAlign w:val="center"/>
          </w:tcPr>
          <w:p w14:paraId="4666CEF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支持术语管理；</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支持创建多级术语类目，建立覆盖医疗业务全域的术语分类体系。支持基于字段数据特征（如身份证、手机号、邮箱等格式特征）定义通用特征规则。</w:t>
            </w:r>
          </w:p>
        </w:tc>
        <w:tc>
          <w:tcPr>
            <w:tcW w:w="1104" w:type="dxa"/>
            <w:noWrap/>
            <w:vAlign w:val="center"/>
          </w:tcPr>
          <w:p w14:paraId="0976B0E8">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p w14:paraId="07F9907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AFA0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2982A2B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continue"/>
            <w:noWrap w:val="0"/>
            <w:vAlign w:val="center"/>
          </w:tcPr>
          <w:p w14:paraId="4D850B3D">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63" w:type="dxa"/>
            <w:vMerge w:val="continue"/>
            <w:noWrap w:val="0"/>
            <w:vAlign w:val="center"/>
          </w:tcPr>
          <w:p w14:paraId="3AFB3AE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70" w:type="dxa"/>
            <w:noWrap/>
            <w:vAlign w:val="center"/>
          </w:tcPr>
          <w:p w14:paraId="2BE5D01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4.7.2</w:t>
            </w:r>
          </w:p>
        </w:tc>
        <w:tc>
          <w:tcPr>
            <w:tcW w:w="707" w:type="dxa"/>
            <w:noWrap w:val="0"/>
            <w:vAlign w:val="center"/>
          </w:tcPr>
          <w:p w14:paraId="10B9F074">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支持术语分类自动打标</w:t>
            </w:r>
          </w:p>
        </w:tc>
        <w:tc>
          <w:tcPr>
            <w:tcW w:w="4011" w:type="dxa"/>
            <w:noWrap w:val="0"/>
            <w:vAlign w:val="center"/>
          </w:tcPr>
          <w:p w14:paraId="6A2E7513">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支持基于术语规则的自动化分类任务，通过预设的术语规则对元数据字段进行自动化分类打标。</w:t>
            </w:r>
          </w:p>
        </w:tc>
        <w:tc>
          <w:tcPr>
            <w:tcW w:w="1104" w:type="dxa"/>
            <w:noWrap/>
            <w:vAlign w:val="center"/>
          </w:tcPr>
          <w:p w14:paraId="632907E9">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4A66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05D9CACC">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continue"/>
            <w:noWrap w:val="0"/>
            <w:vAlign w:val="center"/>
          </w:tcPr>
          <w:p w14:paraId="23E5609D">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63" w:type="dxa"/>
            <w:vMerge w:val="continue"/>
            <w:noWrap w:val="0"/>
            <w:vAlign w:val="center"/>
          </w:tcPr>
          <w:p w14:paraId="0919B2E8">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70" w:type="dxa"/>
            <w:noWrap/>
            <w:vAlign w:val="center"/>
          </w:tcPr>
          <w:p w14:paraId="00D93800">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4.7.3</w:t>
            </w:r>
          </w:p>
        </w:tc>
        <w:tc>
          <w:tcPr>
            <w:tcW w:w="707" w:type="dxa"/>
            <w:noWrap w:val="0"/>
            <w:vAlign w:val="center"/>
          </w:tcPr>
          <w:p w14:paraId="41AFF005">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术语视图</w:t>
            </w:r>
          </w:p>
        </w:tc>
        <w:tc>
          <w:tcPr>
            <w:tcW w:w="4011" w:type="dxa"/>
            <w:noWrap w:val="0"/>
            <w:vAlign w:val="center"/>
          </w:tcPr>
          <w:p w14:paraId="685AEC74">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支持通过术语视角查看元数据分类情况，以可视化形式展示术语与元数据之间的关联关系。</w:t>
            </w:r>
          </w:p>
        </w:tc>
        <w:tc>
          <w:tcPr>
            <w:tcW w:w="1104" w:type="dxa"/>
            <w:noWrap/>
            <w:vAlign w:val="center"/>
          </w:tcPr>
          <w:p w14:paraId="2D5516A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EAF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422FDFF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restart"/>
            <w:noWrap w:val="0"/>
            <w:vAlign w:val="center"/>
          </w:tcPr>
          <w:p w14:paraId="036823D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4.8</w:t>
            </w:r>
          </w:p>
        </w:tc>
        <w:tc>
          <w:tcPr>
            <w:tcW w:w="763" w:type="dxa"/>
            <w:vMerge w:val="restart"/>
            <w:noWrap w:val="0"/>
            <w:vAlign w:val="center"/>
          </w:tcPr>
          <w:p w14:paraId="622C718E">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智能指标管理</w:t>
            </w:r>
          </w:p>
        </w:tc>
        <w:tc>
          <w:tcPr>
            <w:tcW w:w="1070" w:type="dxa"/>
            <w:vMerge w:val="restart"/>
            <w:noWrap/>
            <w:vAlign w:val="center"/>
          </w:tcPr>
          <w:p w14:paraId="1417682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4.8.1</w:t>
            </w:r>
          </w:p>
        </w:tc>
        <w:tc>
          <w:tcPr>
            <w:tcW w:w="707" w:type="dxa"/>
            <w:vMerge w:val="restart"/>
            <w:noWrap w:val="0"/>
            <w:vAlign w:val="center"/>
          </w:tcPr>
          <w:p w14:paraId="428D11EC">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支持数据集管理</w:t>
            </w:r>
          </w:p>
        </w:tc>
        <w:tc>
          <w:tcPr>
            <w:tcW w:w="4011" w:type="dxa"/>
            <w:noWrap w:val="0"/>
            <w:vAlign w:val="center"/>
          </w:tcPr>
          <w:p w14:paraId="392973E6">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提供图形化的数据集创建界面；</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支持通过可视化拖拽方式进行跨源、跨库的数据表关联。</w:t>
            </w:r>
          </w:p>
          <w:p w14:paraId="7C308E92">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支持通过自定义SQL语句创建数据集，满足复杂查询逻辑需求；</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提供SQL编辑器和执行功能；</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支持查看字段信息和数据血缘关系。</w:t>
            </w:r>
          </w:p>
        </w:tc>
        <w:tc>
          <w:tcPr>
            <w:tcW w:w="1104" w:type="dxa"/>
            <w:noWrap/>
            <w:vAlign w:val="center"/>
          </w:tcPr>
          <w:p w14:paraId="5CB0746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3B14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3" w:hRule="atLeast"/>
        </w:trPr>
        <w:tc>
          <w:tcPr>
            <w:tcW w:w="881" w:type="dxa"/>
            <w:vMerge w:val="continue"/>
            <w:noWrap w:val="0"/>
            <w:vAlign w:val="center"/>
          </w:tcPr>
          <w:p w14:paraId="59154212">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continue"/>
            <w:noWrap w:val="0"/>
            <w:vAlign w:val="center"/>
          </w:tcPr>
          <w:p w14:paraId="1967AFA2">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63" w:type="dxa"/>
            <w:vMerge w:val="continue"/>
            <w:noWrap w:val="0"/>
            <w:vAlign w:val="center"/>
          </w:tcPr>
          <w:p w14:paraId="4F55D3EE">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70" w:type="dxa"/>
            <w:vMerge w:val="restart"/>
            <w:noWrap/>
            <w:vAlign w:val="center"/>
          </w:tcPr>
          <w:p w14:paraId="4F5274D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4.8.2</w:t>
            </w:r>
          </w:p>
        </w:tc>
        <w:tc>
          <w:tcPr>
            <w:tcW w:w="707" w:type="dxa"/>
            <w:vMerge w:val="restart"/>
            <w:noWrap w:val="0"/>
            <w:vAlign w:val="center"/>
          </w:tcPr>
          <w:p w14:paraId="7A42C7B1">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支持指标定义</w:t>
            </w:r>
          </w:p>
        </w:tc>
        <w:tc>
          <w:tcPr>
            <w:tcW w:w="4011" w:type="dxa"/>
            <w:noWrap w:val="0"/>
            <w:vAlign w:val="center"/>
          </w:tcPr>
          <w:p w14:paraId="21A9F4D6">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支持原子指标，派生指标和复合指标的新建，编辑，查看，删除和排序功能。</w:t>
            </w:r>
          </w:p>
          <w:p w14:paraId="67FEA79E">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提供指标详情查看功能；</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支持查看指标的基本信息、指标探索视图和指标血缘关系，可追踪指标从数据集到业务展示的完整链路。</w:t>
            </w:r>
          </w:p>
        </w:tc>
        <w:tc>
          <w:tcPr>
            <w:tcW w:w="1104" w:type="dxa"/>
            <w:noWrap/>
            <w:vAlign w:val="center"/>
          </w:tcPr>
          <w:p w14:paraId="7C8A2B74">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06E8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64EA5F6F">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restart"/>
            <w:noWrap w:val="0"/>
            <w:vAlign w:val="center"/>
          </w:tcPr>
          <w:p w14:paraId="09D56BB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4.9</w:t>
            </w:r>
          </w:p>
        </w:tc>
        <w:tc>
          <w:tcPr>
            <w:tcW w:w="763" w:type="dxa"/>
            <w:vMerge w:val="restart"/>
            <w:noWrap w:val="0"/>
            <w:vAlign w:val="center"/>
          </w:tcPr>
          <w:p w14:paraId="6837F15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分布式数据管理</w:t>
            </w:r>
          </w:p>
        </w:tc>
        <w:tc>
          <w:tcPr>
            <w:tcW w:w="1070" w:type="dxa"/>
            <w:noWrap/>
            <w:vAlign w:val="center"/>
          </w:tcPr>
          <w:p w14:paraId="330CD47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4.9.1</w:t>
            </w:r>
          </w:p>
        </w:tc>
        <w:tc>
          <w:tcPr>
            <w:tcW w:w="707" w:type="dxa"/>
            <w:noWrap w:val="0"/>
            <w:vAlign w:val="center"/>
          </w:tcPr>
          <w:p w14:paraId="2D57081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支持数据资产地图</w:t>
            </w:r>
          </w:p>
        </w:tc>
        <w:tc>
          <w:tcPr>
            <w:tcW w:w="4011" w:type="dxa"/>
            <w:noWrap w:val="0"/>
            <w:vAlign w:val="center"/>
          </w:tcPr>
          <w:p w14:paraId="0B40A621">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通过可视化方式呈现医院数据资产全貌，以地图形式展示各类数据资产的分布状况、关联关系和使用热度。</w:t>
            </w:r>
          </w:p>
        </w:tc>
        <w:tc>
          <w:tcPr>
            <w:tcW w:w="1104" w:type="dxa"/>
            <w:noWrap/>
            <w:vAlign w:val="center"/>
          </w:tcPr>
          <w:p w14:paraId="6627CA4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84A0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459AAB9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continue"/>
            <w:noWrap w:val="0"/>
            <w:vAlign w:val="center"/>
          </w:tcPr>
          <w:p w14:paraId="1873637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63" w:type="dxa"/>
            <w:vMerge w:val="continue"/>
            <w:noWrap w:val="0"/>
            <w:vAlign w:val="center"/>
          </w:tcPr>
          <w:p w14:paraId="1867A7D1">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70" w:type="dxa"/>
            <w:vMerge w:val="restart"/>
            <w:noWrap/>
            <w:vAlign w:val="center"/>
          </w:tcPr>
          <w:p w14:paraId="4EA03D6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4.9.</w:t>
            </w:r>
            <w:r>
              <w:rPr>
                <w:rFonts w:hint="eastAsia" w:ascii="仿宋" w:hAnsi="仿宋" w:eastAsia="仿宋" w:cs="仿宋"/>
                <w:color w:val="000000"/>
                <w:sz w:val="24"/>
                <w:szCs w:val="24"/>
                <w:lang w:val="en-US" w:eastAsia="zh-CN"/>
              </w:rPr>
              <w:t>2</w:t>
            </w:r>
          </w:p>
        </w:tc>
        <w:tc>
          <w:tcPr>
            <w:tcW w:w="707" w:type="dxa"/>
            <w:vMerge w:val="restart"/>
            <w:noWrap w:val="0"/>
            <w:vAlign w:val="center"/>
          </w:tcPr>
          <w:p w14:paraId="2348A05C">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分布式数据权限</w:t>
            </w:r>
          </w:p>
        </w:tc>
        <w:tc>
          <w:tcPr>
            <w:tcW w:w="4011" w:type="dxa"/>
            <w:noWrap w:val="0"/>
            <w:vAlign w:val="center"/>
          </w:tcPr>
          <w:p w14:paraId="40D4E634">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提供数据权限、用户权限、应用权限及接口权限的多维管理能力；</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支持基于角色的精细化权限控制。</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租户隔离，提供多租户数据隔离机制，确保不同租户之间的数据严格隔离，在数据中台中只有授权给租户用户的数据才能被访问使用，防止数据越界访问，保障各租户的数据安全与隐私。</w:t>
            </w:r>
          </w:p>
        </w:tc>
        <w:tc>
          <w:tcPr>
            <w:tcW w:w="1104" w:type="dxa"/>
            <w:noWrap/>
            <w:vAlign w:val="center"/>
          </w:tcPr>
          <w:p w14:paraId="129441C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883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160BEF7E">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continue"/>
            <w:noWrap w:val="0"/>
            <w:vAlign w:val="center"/>
          </w:tcPr>
          <w:p w14:paraId="6A0300D8">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63" w:type="dxa"/>
            <w:vMerge w:val="continue"/>
            <w:noWrap w:val="0"/>
            <w:vAlign w:val="center"/>
          </w:tcPr>
          <w:p w14:paraId="584ED066">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70" w:type="dxa"/>
            <w:noWrap/>
            <w:vAlign w:val="center"/>
          </w:tcPr>
          <w:p w14:paraId="46820A4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4.9.</w:t>
            </w:r>
            <w:r>
              <w:rPr>
                <w:rFonts w:hint="eastAsia" w:ascii="仿宋" w:hAnsi="仿宋" w:eastAsia="仿宋" w:cs="仿宋"/>
                <w:color w:val="000000"/>
                <w:sz w:val="24"/>
                <w:szCs w:val="24"/>
                <w:lang w:val="en-US" w:eastAsia="zh-CN"/>
              </w:rPr>
              <w:t>3</w:t>
            </w:r>
          </w:p>
        </w:tc>
        <w:tc>
          <w:tcPr>
            <w:tcW w:w="707" w:type="dxa"/>
            <w:noWrap w:val="0"/>
            <w:vAlign w:val="center"/>
          </w:tcPr>
          <w:p w14:paraId="1DC64914">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数据生命周期管理</w:t>
            </w:r>
          </w:p>
        </w:tc>
        <w:tc>
          <w:tcPr>
            <w:tcW w:w="4011" w:type="dxa"/>
            <w:noWrap w:val="0"/>
            <w:vAlign w:val="center"/>
          </w:tcPr>
          <w:p w14:paraId="3A463BC2">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▲支持数据全生命周期管控，对医疗数据资产进行监控,定期执行质量评估任务，生成数据质量评分报告，并以可视化大屏形式展示医院数据质量状况。</w:t>
            </w:r>
          </w:p>
        </w:tc>
        <w:tc>
          <w:tcPr>
            <w:tcW w:w="1104" w:type="dxa"/>
            <w:noWrap/>
            <w:vAlign w:val="center"/>
          </w:tcPr>
          <w:p w14:paraId="6A8837F3">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否</w:t>
            </w:r>
          </w:p>
        </w:tc>
      </w:tr>
      <w:tr w14:paraId="5C0E7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732EE63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restart"/>
            <w:noWrap w:val="0"/>
            <w:vAlign w:val="center"/>
          </w:tcPr>
          <w:p w14:paraId="1C50C94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4.10 </w:t>
            </w:r>
          </w:p>
        </w:tc>
        <w:tc>
          <w:tcPr>
            <w:tcW w:w="763" w:type="dxa"/>
            <w:vMerge w:val="restart"/>
            <w:noWrap w:val="0"/>
            <w:vAlign w:val="center"/>
          </w:tcPr>
          <w:p w14:paraId="2B81242F">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数据资产管理</w:t>
            </w:r>
          </w:p>
        </w:tc>
        <w:tc>
          <w:tcPr>
            <w:tcW w:w="1070" w:type="dxa"/>
            <w:vMerge w:val="restart"/>
            <w:noWrap/>
            <w:vAlign w:val="center"/>
          </w:tcPr>
          <w:p w14:paraId="167EEF3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4.10.</w:t>
            </w:r>
            <w:r>
              <w:rPr>
                <w:rFonts w:hint="eastAsia" w:ascii="仿宋" w:hAnsi="仿宋" w:eastAsia="仿宋" w:cs="仿宋"/>
                <w:color w:val="000000"/>
                <w:sz w:val="24"/>
                <w:szCs w:val="24"/>
                <w:lang w:val="en-US" w:eastAsia="zh-CN"/>
              </w:rPr>
              <w:t>1</w:t>
            </w:r>
          </w:p>
        </w:tc>
        <w:tc>
          <w:tcPr>
            <w:tcW w:w="707" w:type="dxa"/>
            <w:vMerge w:val="restart"/>
            <w:noWrap w:val="0"/>
            <w:vAlign w:val="center"/>
          </w:tcPr>
          <w:p w14:paraId="6CC7DAAC">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数据服务管理</w:t>
            </w:r>
          </w:p>
        </w:tc>
        <w:tc>
          <w:tcPr>
            <w:tcW w:w="4011" w:type="dxa"/>
            <w:noWrap w:val="0"/>
            <w:vAlign w:val="center"/>
          </w:tcPr>
          <w:p w14:paraId="1BA96B12">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支持API数据服务的创建，编辑，删除，发布功能。</w:t>
            </w:r>
          </w:p>
          <w:p w14:paraId="41615151">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支持服务订阅，和在线调试与调用情况查看，业务部门或开发人员可浏览并订阅所需数据服务，管理员可配置订阅审核流程，确保数据服务使用的规范性；</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支持用户可查询已订阅服务并管理相关配置。</w:t>
            </w:r>
          </w:p>
        </w:tc>
        <w:tc>
          <w:tcPr>
            <w:tcW w:w="1104" w:type="dxa"/>
            <w:noWrap/>
            <w:vAlign w:val="center"/>
          </w:tcPr>
          <w:p w14:paraId="734A03C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4E0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534847B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vMerge w:val="continue"/>
            <w:noWrap w:val="0"/>
            <w:vAlign w:val="center"/>
          </w:tcPr>
          <w:p w14:paraId="285842E4">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63" w:type="dxa"/>
            <w:vMerge w:val="continue"/>
            <w:noWrap w:val="0"/>
            <w:vAlign w:val="center"/>
          </w:tcPr>
          <w:p w14:paraId="369B472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70" w:type="dxa"/>
            <w:noWrap/>
            <w:vAlign w:val="center"/>
          </w:tcPr>
          <w:p w14:paraId="7FCAE5DF">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4.10.</w:t>
            </w:r>
            <w:r>
              <w:rPr>
                <w:rFonts w:hint="eastAsia" w:ascii="仿宋" w:hAnsi="仿宋" w:eastAsia="仿宋" w:cs="仿宋"/>
                <w:color w:val="000000"/>
                <w:sz w:val="24"/>
                <w:szCs w:val="24"/>
                <w:lang w:val="en-US" w:eastAsia="zh-CN"/>
              </w:rPr>
              <w:t>2</w:t>
            </w:r>
          </w:p>
        </w:tc>
        <w:tc>
          <w:tcPr>
            <w:tcW w:w="707" w:type="dxa"/>
            <w:noWrap w:val="0"/>
            <w:vAlign w:val="center"/>
          </w:tcPr>
          <w:p w14:paraId="269B5D7A">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数据资产盘点</w:t>
            </w:r>
          </w:p>
        </w:tc>
        <w:tc>
          <w:tcPr>
            <w:tcW w:w="4011" w:type="dxa"/>
            <w:noWrap w:val="0"/>
            <w:vAlign w:val="center"/>
          </w:tcPr>
          <w:p w14:paraId="64070BF2">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自动绘制数据资产图谱，通过技术手段自动识别和分类医院内各种数据资产，包括结构化数据和非结构化数据（检验报告、影像文件），自动形成数据资产全景视图。</w:t>
            </w:r>
          </w:p>
        </w:tc>
        <w:tc>
          <w:tcPr>
            <w:tcW w:w="1104" w:type="dxa"/>
            <w:noWrap/>
            <w:vAlign w:val="center"/>
          </w:tcPr>
          <w:p w14:paraId="7497C68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9F80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81" w:type="dxa"/>
            <w:vMerge w:val="continue"/>
            <w:noWrap w:val="0"/>
            <w:vAlign w:val="center"/>
          </w:tcPr>
          <w:p w14:paraId="0A409A0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52" w:type="dxa"/>
            <w:noWrap w:val="0"/>
            <w:vAlign w:val="center"/>
          </w:tcPr>
          <w:p w14:paraId="61C680A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4.11</w:t>
            </w:r>
          </w:p>
        </w:tc>
        <w:tc>
          <w:tcPr>
            <w:tcW w:w="763" w:type="dxa"/>
            <w:noWrap w:val="0"/>
            <w:vAlign w:val="center"/>
          </w:tcPr>
          <w:p w14:paraId="03EA97CE">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分布式数据同步</w:t>
            </w:r>
          </w:p>
        </w:tc>
        <w:tc>
          <w:tcPr>
            <w:tcW w:w="1070" w:type="dxa"/>
            <w:noWrap w:val="0"/>
            <w:vAlign w:val="center"/>
          </w:tcPr>
          <w:p w14:paraId="781D7C8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4.11.</w:t>
            </w:r>
            <w:r>
              <w:rPr>
                <w:rFonts w:hint="eastAsia" w:ascii="仿宋" w:hAnsi="仿宋" w:eastAsia="仿宋" w:cs="仿宋"/>
                <w:color w:val="000000"/>
                <w:sz w:val="24"/>
                <w:szCs w:val="24"/>
                <w:lang w:val="en-US" w:eastAsia="zh-CN"/>
              </w:rPr>
              <w:t>1</w:t>
            </w:r>
          </w:p>
        </w:tc>
        <w:tc>
          <w:tcPr>
            <w:tcW w:w="707" w:type="dxa"/>
            <w:noWrap w:val="0"/>
            <w:vAlign w:val="center"/>
          </w:tcPr>
          <w:p w14:paraId="2994A16E">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数据同步机制</w:t>
            </w:r>
          </w:p>
        </w:tc>
        <w:tc>
          <w:tcPr>
            <w:tcW w:w="4011" w:type="dxa"/>
            <w:noWrap w:val="0"/>
            <w:vAlign w:val="center"/>
          </w:tcPr>
          <w:p w14:paraId="632FA338">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提供分布式架构下的多节点数据同步能力；</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支持中心数据中台与各分院、各科室分布式节点之间的数据双向同步。</w:t>
            </w:r>
          </w:p>
          <w:p w14:paraId="6963879F">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支持全量和增量数据同步。</w:t>
            </w:r>
          </w:p>
          <w:p w14:paraId="152DFCBB">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支持对分布式数据同步任务进行实时状态监控。</w:t>
            </w:r>
          </w:p>
        </w:tc>
        <w:tc>
          <w:tcPr>
            <w:tcW w:w="1104" w:type="dxa"/>
            <w:noWrap/>
            <w:vAlign w:val="center"/>
          </w:tcPr>
          <w:p w14:paraId="0AF4107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bl>
    <w:p w14:paraId="3871CDA8">
      <w:pPr>
        <w:pageBreakBefore w:val="0"/>
        <w:wordWrap/>
        <w:overflowPunct/>
        <w:topLinePunct w:val="0"/>
        <w:bidi w:val="0"/>
        <w:spacing w:line="360" w:lineRule="auto"/>
        <w:rPr>
          <w:rFonts w:hint="eastAsia" w:ascii="仿宋" w:hAnsi="仿宋" w:eastAsia="仿宋" w:cs="仿宋"/>
          <w:sz w:val="24"/>
          <w:szCs w:val="24"/>
        </w:rPr>
      </w:pPr>
    </w:p>
    <w:tbl>
      <w:tblPr>
        <w:tblStyle w:val="9"/>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0"/>
        <w:gridCol w:w="789"/>
        <w:gridCol w:w="800"/>
        <w:gridCol w:w="1044"/>
        <w:gridCol w:w="722"/>
        <w:gridCol w:w="4012"/>
        <w:gridCol w:w="991"/>
      </w:tblGrid>
      <w:tr w14:paraId="5570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930" w:type="dxa"/>
            <w:noWrap w:val="0"/>
            <w:vAlign w:val="center"/>
          </w:tcPr>
          <w:p w14:paraId="19960230">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平台</w:t>
            </w:r>
          </w:p>
        </w:tc>
        <w:tc>
          <w:tcPr>
            <w:tcW w:w="789" w:type="dxa"/>
            <w:noWrap w:val="0"/>
            <w:vAlign w:val="center"/>
          </w:tcPr>
          <w:p w14:paraId="0A24B47C">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一级标号</w:t>
            </w:r>
          </w:p>
        </w:tc>
        <w:tc>
          <w:tcPr>
            <w:tcW w:w="800" w:type="dxa"/>
            <w:noWrap w:val="0"/>
            <w:vAlign w:val="center"/>
          </w:tcPr>
          <w:p w14:paraId="512FEF75">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一级功能</w:t>
            </w:r>
          </w:p>
        </w:tc>
        <w:tc>
          <w:tcPr>
            <w:tcW w:w="1044" w:type="dxa"/>
            <w:noWrap w:val="0"/>
            <w:vAlign w:val="center"/>
          </w:tcPr>
          <w:p w14:paraId="671EF952">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二级标号</w:t>
            </w:r>
          </w:p>
        </w:tc>
        <w:tc>
          <w:tcPr>
            <w:tcW w:w="722" w:type="dxa"/>
            <w:noWrap w:val="0"/>
            <w:vAlign w:val="center"/>
          </w:tcPr>
          <w:p w14:paraId="382425BE">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二级功能</w:t>
            </w:r>
          </w:p>
        </w:tc>
        <w:tc>
          <w:tcPr>
            <w:tcW w:w="4012" w:type="dxa"/>
            <w:noWrap w:val="0"/>
            <w:vAlign w:val="center"/>
          </w:tcPr>
          <w:p w14:paraId="2D0BEF20">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功能描述</w:t>
            </w:r>
          </w:p>
        </w:tc>
        <w:tc>
          <w:tcPr>
            <w:tcW w:w="991" w:type="dxa"/>
            <w:noWrap w:val="0"/>
            <w:vAlign w:val="center"/>
          </w:tcPr>
          <w:p w14:paraId="6775E5AE">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证明材料</w:t>
            </w:r>
          </w:p>
        </w:tc>
      </w:tr>
      <w:tr w14:paraId="4071A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0" w:type="dxa"/>
            <w:vMerge w:val="restart"/>
            <w:noWrap w:val="0"/>
            <w:vAlign w:val="center"/>
          </w:tcPr>
          <w:p w14:paraId="16A19958">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统一认证平台</w:t>
            </w:r>
          </w:p>
        </w:tc>
        <w:tc>
          <w:tcPr>
            <w:tcW w:w="789" w:type="dxa"/>
            <w:noWrap/>
            <w:vAlign w:val="center"/>
          </w:tcPr>
          <w:p w14:paraId="2B7A09DB">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w:t>
            </w:r>
          </w:p>
        </w:tc>
        <w:tc>
          <w:tcPr>
            <w:tcW w:w="800" w:type="dxa"/>
            <w:noWrap w:val="0"/>
            <w:vAlign w:val="center"/>
          </w:tcPr>
          <w:p w14:paraId="7FD8C5E6">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★整体需求</w:t>
            </w:r>
          </w:p>
        </w:tc>
        <w:tc>
          <w:tcPr>
            <w:tcW w:w="1044" w:type="dxa"/>
            <w:noWrap/>
            <w:vAlign w:val="center"/>
          </w:tcPr>
          <w:p w14:paraId="2057EFAF">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w:t>
            </w:r>
          </w:p>
        </w:tc>
        <w:tc>
          <w:tcPr>
            <w:tcW w:w="722" w:type="dxa"/>
            <w:noWrap/>
            <w:vAlign w:val="center"/>
          </w:tcPr>
          <w:p w14:paraId="66BBE421">
            <w:pPr>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w:t>
            </w:r>
          </w:p>
        </w:tc>
        <w:tc>
          <w:tcPr>
            <w:tcW w:w="4012" w:type="dxa"/>
            <w:noWrap/>
            <w:vAlign w:val="center"/>
          </w:tcPr>
          <w:p w14:paraId="7ED3C84B">
            <w:pPr>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★投标人需要交付统一认证平台；并能够整合联通所有业务系统。</w:t>
            </w:r>
          </w:p>
        </w:tc>
        <w:tc>
          <w:tcPr>
            <w:tcW w:w="991" w:type="dxa"/>
            <w:noWrap/>
            <w:vAlign w:val="center"/>
          </w:tcPr>
          <w:p w14:paraId="7595F3EC">
            <w:pPr>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是，需要提供统一认证平台开发交付承诺函。</w:t>
            </w:r>
          </w:p>
        </w:tc>
      </w:tr>
      <w:tr w14:paraId="286B9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0" w:type="dxa"/>
            <w:vMerge w:val="continue"/>
            <w:noWrap w:val="0"/>
            <w:vAlign w:val="center"/>
          </w:tcPr>
          <w:p w14:paraId="444EE949">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89" w:type="dxa"/>
            <w:noWrap/>
            <w:vAlign w:val="center"/>
          </w:tcPr>
          <w:p w14:paraId="487262DB">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w:t>
            </w:r>
          </w:p>
        </w:tc>
        <w:tc>
          <w:tcPr>
            <w:tcW w:w="800" w:type="dxa"/>
            <w:noWrap w:val="0"/>
            <w:vAlign w:val="center"/>
          </w:tcPr>
          <w:p w14:paraId="68A191D2">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组织机构</w:t>
            </w:r>
          </w:p>
        </w:tc>
        <w:tc>
          <w:tcPr>
            <w:tcW w:w="1044" w:type="dxa"/>
            <w:noWrap/>
            <w:vAlign w:val="center"/>
          </w:tcPr>
          <w:p w14:paraId="05F953FC">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1.1</w:t>
            </w:r>
          </w:p>
        </w:tc>
        <w:tc>
          <w:tcPr>
            <w:tcW w:w="722" w:type="dxa"/>
            <w:noWrap w:val="0"/>
            <w:vAlign w:val="center"/>
          </w:tcPr>
          <w:p w14:paraId="5903FD7D">
            <w:pPr>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组织机构列及检索</w:t>
            </w:r>
          </w:p>
        </w:tc>
        <w:tc>
          <w:tcPr>
            <w:tcW w:w="4012" w:type="dxa"/>
            <w:noWrap w:val="0"/>
            <w:vAlign w:val="center"/>
          </w:tcPr>
          <w:p w14:paraId="4C698191">
            <w:pPr>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支持组织机构查看和检索，可以新增，编辑和备注；支持子项的新增编辑与删除。</w:t>
            </w:r>
          </w:p>
        </w:tc>
        <w:tc>
          <w:tcPr>
            <w:tcW w:w="991" w:type="dxa"/>
            <w:noWrap w:val="0"/>
            <w:vAlign w:val="center"/>
          </w:tcPr>
          <w:p w14:paraId="6E65043B">
            <w:pPr>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75FD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0" w:type="dxa"/>
            <w:vMerge w:val="continue"/>
            <w:noWrap w:val="0"/>
            <w:vAlign w:val="center"/>
          </w:tcPr>
          <w:p w14:paraId="7D2A01E5">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89" w:type="dxa"/>
            <w:noWrap/>
            <w:vAlign w:val="center"/>
          </w:tcPr>
          <w:p w14:paraId="15453CF2">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2</w:t>
            </w:r>
          </w:p>
        </w:tc>
        <w:tc>
          <w:tcPr>
            <w:tcW w:w="800" w:type="dxa"/>
            <w:noWrap w:val="0"/>
            <w:vAlign w:val="center"/>
          </w:tcPr>
          <w:p w14:paraId="12491142">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用户管理</w:t>
            </w:r>
          </w:p>
        </w:tc>
        <w:tc>
          <w:tcPr>
            <w:tcW w:w="1044" w:type="dxa"/>
            <w:noWrap/>
            <w:vAlign w:val="center"/>
          </w:tcPr>
          <w:p w14:paraId="3B58470F">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1.2</w:t>
            </w:r>
          </w:p>
        </w:tc>
        <w:tc>
          <w:tcPr>
            <w:tcW w:w="722" w:type="dxa"/>
            <w:noWrap w:val="0"/>
            <w:vAlign w:val="center"/>
          </w:tcPr>
          <w:p w14:paraId="3B3FBAF8">
            <w:pPr>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用户管理</w:t>
            </w:r>
          </w:p>
        </w:tc>
        <w:tc>
          <w:tcPr>
            <w:tcW w:w="4012" w:type="dxa"/>
            <w:noWrap w:val="0"/>
            <w:vAlign w:val="center"/>
          </w:tcPr>
          <w:p w14:paraId="09EA4F48">
            <w:pPr>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支持用户账号的新增，编辑，查看，可以重置密码和删除账号。</w:t>
            </w:r>
          </w:p>
        </w:tc>
        <w:tc>
          <w:tcPr>
            <w:tcW w:w="991" w:type="dxa"/>
            <w:noWrap w:val="0"/>
            <w:vAlign w:val="center"/>
          </w:tcPr>
          <w:p w14:paraId="6550F463">
            <w:pPr>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3A45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0" w:type="dxa"/>
            <w:vMerge w:val="continue"/>
            <w:noWrap w:val="0"/>
            <w:vAlign w:val="center"/>
          </w:tcPr>
          <w:p w14:paraId="615CFE06">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89" w:type="dxa"/>
            <w:noWrap/>
            <w:vAlign w:val="center"/>
          </w:tcPr>
          <w:p w14:paraId="3C4A4101">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3</w:t>
            </w:r>
          </w:p>
        </w:tc>
        <w:tc>
          <w:tcPr>
            <w:tcW w:w="800" w:type="dxa"/>
            <w:noWrap w:val="0"/>
            <w:vAlign w:val="center"/>
          </w:tcPr>
          <w:p w14:paraId="2467530D">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应用管理</w:t>
            </w:r>
          </w:p>
        </w:tc>
        <w:tc>
          <w:tcPr>
            <w:tcW w:w="1044" w:type="dxa"/>
            <w:noWrap/>
            <w:vAlign w:val="center"/>
          </w:tcPr>
          <w:p w14:paraId="4C20D683">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1.3</w:t>
            </w:r>
          </w:p>
        </w:tc>
        <w:tc>
          <w:tcPr>
            <w:tcW w:w="722" w:type="dxa"/>
            <w:noWrap w:val="0"/>
            <w:vAlign w:val="center"/>
          </w:tcPr>
          <w:p w14:paraId="0EF82E74">
            <w:pPr>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应用管理</w:t>
            </w:r>
          </w:p>
        </w:tc>
        <w:tc>
          <w:tcPr>
            <w:tcW w:w="4012" w:type="dxa"/>
            <w:noWrap w:val="0"/>
            <w:vAlign w:val="center"/>
          </w:tcPr>
          <w:p w14:paraId="1A904A82">
            <w:pPr>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支持应用配置与管理。</w:t>
            </w:r>
          </w:p>
        </w:tc>
        <w:tc>
          <w:tcPr>
            <w:tcW w:w="991" w:type="dxa"/>
            <w:noWrap w:val="0"/>
            <w:vAlign w:val="center"/>
          </w:tcPr>
          <w:p w14:paraId="54F859DA">
            <w:pPr>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835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0" w:type="dxa"/>
            <w:vMerge w:val="continue"/>
            <w:noWrap w:val="0"/>
            <w:vAlign w:val="center"/>
          </w:tcPr>
          <w:p w14:paraId="19ED6426">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89" w:type="dxa"/>
            <w:noWrap/>
            <w:vAlign w:val="center"/>
          </w:tcPr>
          <w:p w14:paraId="5C913DA2">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4</w:t>
            </w:r>
          </w:p>
        </w:tc>
        <w:tc>
          <w:tcPr>
            <w:tcW w:w="800" w:type="dxa"/>
            <w:noWrap/>
            <w:vAlign w:val="center"/>
          </w:tcPr>
          <w:p w14:paraId="74F42F23">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登录/退出</w:t>
            </w:r>
          </w:p>
        </w:tc>
        <w:tc>
          <w:tcPr>
            <w:tcW w:w="1044" w:type="dxa"/>
            <w:noWrap/>
            <w:vAlign w:val="center"/>
          </w:tcPr>
          <w:p w14:paraId="1C640D3C">
            <w:pPr>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1.4</w:t>
            </w:r>
          </w:p>
        </w:tc>
        <w:tc>
          <w:tcPr>
            <w:tcW w:w="722" w:type="dxa"/>
            <w:noWrap/>
            <w:vAlign w:val="center"/>
          </w:tcPr>
          <w:p w14:paraId="61648BD5">
            <w:pPr>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登录/退出</w:t>
            </w:r>
          </w:p>
        </w:tc>
        <w:tc>
          <w:tcPr>
            <w:tcW w:w="4012" w:type="dxa"/>
            <w:noWrap/>
            <w:vAlign w:val="center"/>
          </w:tcPr>
          <w:p w14:paraId="10BCA6F0">
            <w:pPr>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可以统一入口进行登录和退出切换。</w:t>
            </w:r>
          </w:p>
        </w:tc>
        <w:tc>
          <w:tcPr>
            <w:tcW w:w="991" w:type="dxa"/>
            <w:noWrap w:val="0"/>
            <w:vAlign w:val="center"/>
          </w:tcPr>
          <w:p w14:paraId="154D4BD3">
            <w:pPr>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bl>
    <w:p w14:paraId="1177E243">
      <w:pPr>
        <w:pageBreakBefore w:val="0"/>
        <w:wordWrap/>
        <w:overflowPunct/>
        <w:topLinePunct w:val="0"/>
        <w:bidi w:val="0"/>
        <w:spacing w:line="360" w:lineRule="auto"/>
        <w:rPr>
          <w:rFonts w:hint="eastAsia" w:ascii="仿宋" w:hAnsi="仿宋" w:eastAsia="仿宋" w:cs="仿宋"/>
          <w:sz w:val="24"/>
          <w:szCs w:val="24"/>
        </w:rPr>
      </w:pPr>
    </w:p>
    <w:p w14:paraId="2413DC52">
      <w:pPr>
        <w:pStyle w:val="3"/>
        <w:keepNext/>
        <w:keepLines/>
        <w:pageBreakBefore w:val="0"/>
        <w:widowControl w:val="0"/>
        <w:numPr>
          <w:ilvl w:val="0"/>
          <w:numId w:val="0"/>
        </w:numPr>
        <w:kinsoku/>
        <w:wordWrap/>
        <w:overflowPunct/>
        <w:topLinePunct w:val="0"/>
        <w:autoSpaceDE/>
        <w:autoSpaceDN/>
        <w:bidi w:val="0"/>
        <w:adjustRightInd w:val="0"/>
        <w:snapToGrid/>
        <w:spacing w:before="0" w:after="0" w:line="360" w:lineRule="auto"/>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5、</w:t>
      </w:r>
      <w:r>
        <w:rPr>
          <w:rFonts w:hint="eastAsia" w:ascii="仿宋" w:hAnsi="仿宋" w:eastAsia="仿宋" w:cs="仿宋"/>
          <w:sz w:val="24"/>
          <w:szCs w:val="24"/>
        </w:rPr>
        <w:t>医疗数据应用协同+应用使用端系统</w:t>
      </w:r>
    </w:p>
    <w:tbl>
      <w:tblPr>
        <w:tblStyle w:val="9"/>
        <w:tblW w:w="94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3"/>
        <w:gridCol w:w="789"/>
        <w:gridCol w:w="822"/>
        <w:gridCol w:w="1000"/>
        <w:gridCol w:w="745"/>
        <w:gridCol w:w="4022"/>
        <w:gridCol w:w="944"/>
      </w:tblGrid>
      <w:tr w14:paraId="56675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173" w:type="dxa"/>
            <w:noWrap w:val="0"/>
            <w:vAlign w:val="center"/>
          </w:tcPr>
          <w:p w14:paraId="14D35233">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平台</w:t>
            </w:r>
          </w:p>
        </w:tc>
        <w:tc>
          <w:tcPr>
            <w:tcW w:w="789" w:type="dxa"/>
            <w:noWrap w:val="0"/>
            <w:vAlign w:val="center"/>
          </w:tcPr>
          <w:p w14:paraId="1FE488A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一级标号</w:t>
            </w:r>
          </w:p>
        </w:tc>
        <w:tc>
          <w:tcPr>
            <w:tcW w:w="822" w:type="dxa"/>
            <w:noWrap w:val="0"/>
            <w:vAlign w:val="center"/>
          </w:tcPr>
          <w:p w14:paraId="29AD3AE3">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一级功能</w:t>
            </w:r>
          </w:p>
        </w:tc>
        <w:tc>
          <w:tcPr>
            <w:tcW w:w="1000" w:type="dxa"/>
            <w:noWrap w:val="0"/>
            <w:vAlign w:val="center"/>
          </w:tcPr>
          <w:p w14:paraId="235A8F34">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二级标号</w:t>
            </w:r>
          </w:p>
        </w:tc>
        <w:tc>
          <w:tcPr>
            <w:tcW w:w="745" w:type="dxa"/>
            <w:noWrap w:val="0"/>
            <w:vAlign w:val="center"/>
          </w:tcPr>
          <w:p w14:paraId="7AB7BA5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二级功能</w:t>
            </w:r>
          </w:p>
        </w:tc>
        <w:tc>
          <w:tcPr>
            <w:tcW w:w="4022" w:type="dxa"/>
            <w:noWrap w:val="0"/>
            <w:vAlign w:val="center"/>
          </w:tcPr>
          <w:p w14:paraId="276FE930">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功能描述</w:t>
            </w:r>
          </w:p>
        </w:tc>
        <w:tc>
          <w:tcPr>
            <w:tcW w:w="944" w:type="dxa"/>
            <w:noWrap w:val="0"/>
            <w:vAlign w:val="center"/>
          </w:tcPr>
          <w:p w14:paraId="58C5A744">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证明材料</w:t>
            </w:r>
          </w:p>
        </w:tc>
      </w:tr>
      <w:tr w14:paraId="1279E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restart"/>
            <w:noWrap w:val="0"/>
            <w:vAlign w:val="center"/>
          </w:tcPr>
          <w:p w14:paraId="28FBD163">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5医疗数据应用协同+应用使用端系统</w:t>
            </w:r>
          </w:p>
        </w:tc>
        <w:tc>
          <w:tcPr>
            <w:tcW w:w="789" w:type="dxa"/>
            <w:noWrap w:val="0"/>
            <w:vAlign w:val="center"/>
          </w:tcPr>
          <w:p w14:paraId="0E22A3A3">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5.0 </w:t>
            </w:r>
          </w:p>
        </w:tc>
        <w:tc>
          <w:tcPr>
            <w:tcW w:w="822" w:type="dxa"/>
            <w:noWrap w:val="0"/>
            <w:vAlign w:val="center"/>
          </w:tcPr>
          <w:p w14:paraId="418A937F">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★整体需求</w:t>
            </w:r>
          </w:p>
        </w:tc>
        <w:tc>
          <w:tcPr>
            <w:tcW w:w="1000" w:type="dxa"/>
            <w:noWrap w:val="0"/>
            <w:vAlign w:val="center"/>
          </w:tcPr>
          <w:p w14:paraId="60B5EC5F">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5.0 </w:t>
            </w:r>
          </w:p>
        </w:tc>
        <w:tc>
          <w:tcPr>
            <w:tcW w:w="745" w:type="dxa"/>
            <w:noWrap w:val="0"/>
            <w:vAlign w:val="center"/>
          </w:tcPr>
          <w:p w14:paraId="6970D137">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w:t>
            </w:r>
          </w:p>
        </w:tc>
        <w:tc>
          <w:tcPr>
            <w:tcW w:w="4022" w:type="dxa"/>
            <w:noWrap w:val="0"/>
            <w:vAlign w:val="center"/>
          </w:tcPr>
          <w:p w14:paraId="1CA06293">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投标人需</w:t>
            </w:r>
            <w:r>
              <w:rPr>
                <w:rFonts w:hint="eastAsia" w:ascii="仿宋" w:hAnsi="仿宋" w:eastAsia="仿宋" w:cs="仿宋"/>
                <w:color w:val="000000"/>
                <w:sz w:val="24"/>
                <w:szCs w:val="24"/>
                <w:lang w:val="en-US" w:eastAsia="zh-CN"/>
              </w:rPr>
              <w:t>按要求</w:t>
            </w:r>
            <w:r>
              <w:rPr>
                <w:rFonts w:hint="eastAsia" w:ascii="仿宋" w:hAnsi="仿宋" w:eastAsia="仿宋" w:cs="仿宋"/>
                <w:color w:val="000000"/>
                <w:sz w:val="24"/>
                <w:szCs w:val="24"/>
              </w:rPr>
              <w:t>交付医疗数据应用协同+应用使用端系统。</w:t>
            </w:r>
          </w:p>
        </w:tc>
        <w:tc>
          <w:tcPr>
            <w:tcW w:w="944" w:type="dxa"/>
            <w:noWrap/>
            <w:vAlign w:val="center"/>
          </w:tcPr>
          <w:p w14:paraId="1B66B6E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1DC7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11B73F8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restart"/>
            <w:noWrap/>
            <w:vAlign w:val="center"/>
          </w:tcPr>
          <w:p w14:paraId="3F99BC18">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5.1</w:t>
            </w:r>
          </w:p>
        </w:tc>
        <w:tc>
          <w:tcPr>
            <w:tcW w:w="822" w:type="dxa"/>
            <w:vMerge w:val="restart"/>
            <w:noWrap w:val="0"/>
            <w:vAlign w:val="center"/>
          </w:tcPr>
          <w:p w14:paraId="7713EC6B">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身份管理</w:t>
            </w:r>
          </w:p>
        </w:tc>
        <w:tc>
          <w:tcPr>
            <w:tcW w:w="1000" w:type="dxa"/>
            <w:noWrap w:val="0"/>
            <w:vAlign w:val="center"/>
          </w:tcPr>
          <w:p w14:paraId="64E3A05C">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5.1.1</w:t>
            </w:r>
          </w:p>
        </w:tc>
        <w:tc>
          <w:tcPr>
            <w:tcW w:w="745" w:type="dxa"/>
            <w:noWrap w:val="0"/>
            <w:vAlign w:val="center"/>
          </w:tcPr>
          <w:p w14:paraId="4653F030">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身份管理</w:t>
            </w:r>
          </w:p>
        </w:tc>
        <w:tc>
          <w:tcPr>
            <w:tcW w:w="4022" w:type="dxa"/>
            <w:noWrap w:val="0"/>
            <w:vAlign w:val="center"/>
          </w:tcPr>
          <w:p w14:paraId="47A419B0">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认证审核，支持对注册用户的实名认证资质进行审核，审核通过即颁发基于区块链的身份凭证，利用区块链技术确保认证过程的透明性和不可篡改性，增强平台的信任度和数据安全性。</w:t>
            </w:r>
          </w:p>
        </w:tc>
        <w:tc>
          <w:tcPr>
            <w:tcW w:w="944" w:type="dxa"/>
            <w:noWrap/>
            <w:vAlign w:val="center"/>
          </w:tcPr>
          <w:p w14:paraId="76C3A478">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C46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42676F70">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continue"/>
            <w:noWrap w:val="0"/>
            <w:vAlign w:val="center"/>
          </w:tcPr>
          <w:p w14:paraId="76E89454">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822" w:type="dxa"/>
            <w:vMerge w:val="continue"/>
            <w:noWrap w:val="0"/>
            <w:vAlign w:val="center"/>
          </w:tcPr>
          <w:p w14:paraId="374E919E">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00" w:type="dxa"/>
            <w:vMerge w:val="restart"/>
            <w:noWrap w:val="0"/>
            <w:vAlign w:val="center"/>
          </w:tcPr>
          <w:p w14:paraId="1E8008B2">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5.1.2</w:t>
            </w:r>
          </w:p>
        </w:tc>
        <w:tc>
          <w:tcPr>
            <w:tcW w:w="745" w:type="dxa"/>
            <w:vMerge w:val="restart"/>
            <w:noWrap w:val="0"/>
            <w:vAlign w:val="center"/>
          </w:tcPr>
          <w:p w14:paraId="08D5C2F0">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身份标识管理</w:t>
            </w:r>
          </w:p>
        </w:tc>
        <w:tc>
          <w:tcPr>
            <w:tcW w:w="4022" w:type="dxa"/>
            <w:noWrap w:val="0"/>
            <w:vAlign w:val="center"/>
          </w:tcPr>
          <w:p w14:paraId="78EEBBDF">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5.1.2.1</w:t>
            </w:r>
            <w:r>
              <w:rPr>
                <w:rFonts w:hint="eastAsia" w:ascii="仿宋" w:hAnsi="仿宋" w:eastAsia="仿宋" w:cs="仿宋"/>
                <w:color w:val="000000"/>
                <w:sz w:val="24"/>
                <w:szCs w:val="24"/>
              </w:rPr>
              <w:t>可信端接入标识，支持主体提交可信端注册申请；经审核通过后，生成标识，建立与可信端的映射关系。</w:t>
            </w:r>
          </w:p>
        </w:tc>
        <w:tc>
          <w:tcPr>
            <w:tcW w:w="944" w:type="dxa"/>
            <w:noWrap/>
            <w:vAlign w:val="center"/>
          </w:tcPr>
          <w:p w14:paraId="7F31CE93">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否</w:t>
            </w:r>
          </w:p>
        </w:tc>
      </w:tr>
      <w:tr w14:paraId="22748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72D79E23">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continue"/>
            <w:noWrap w:val="0"/>
            <w:vAlign w:val="center"/>
          </w:tcPr>
          <w:p w14:paraId="1B6DE7FB">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822" w:type="dxa"/>
            <w:vMerge w:val="continue"/>
            <w:noWrap w:val="0"/>
            <w:vAlign w:val="center"/>
          </w:tcPr>
          <w:p w14:paraId="61E5D7B6">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00" w:type="dxa"/>
            <w:vMerge w:val="continue"/>
            <w:noWrap w:val="0"/>
            <w:vAlign w:val="center"/>
          </w:tcPr>
          <w:p w14:paraId="16C52E9D">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745" w:type="dxa"/>
            <w:vMerge w:val="continue"/>
            <w:noWrap w:val="0"/>
            <w:vAlign w:val="center"/>
          </w:tcPr>
          <w:p w14:paraId="5AF626C0">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4022" w:type="dxa"/>
            <w:noWrap w:val="0"/>
            <w:vAlign w:val="center"/>
          </w:tcPr>
          <w:p w14:paraId="473B50BC">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5.1.2.2</w:t>
            </w:r>
            <w:r>
              <w:rPr>
                <w:rFonts w:hint="eastAsia" w:ascii="仿宋" w:hAnsi="仿宋" w:eastAsia="仿宋" w:cs="仿宋"/>
                <w:color w:val="000000"/>
                <w:sz w:val="24"/>
                <w:szCs w:val="24"/>
              </w:rPr>
              <w:t>支持数据产品/数据资源标识；</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支持产品登记后，审核通过后分配产品标识。</w:t>
            </w:r>
          </w:p>
        </w:tc>
        <w:tc>
          <w:tcPr>
            <w:tcW w:w="944" w:type="dxa"/>
            <w:noWrap/>
            <w:vAlign w:val="center"/>
          </w:tcPr>
          <w:p w14:paraId="296295F9">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r>
      <w:tr w14:paraId="4B38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1FB25DAF">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restart"/>
            <w:noWrap/>
            <w:vAlign w:val="center"/>
          </w:tcPr>
          <w:p w14:paraId="1B9AD19F">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5.2</w:t>
            </w:r>
          </w:p>
        </w:tc>
        <w:tc>
          <w:tcPr>
            <w:tcW w:w="822" w:type="dxa"/>
            <w:vMerge w:val="restart"/>
            <w:noWrap w:val="0"/>
            <w:vAlign w:val="center"/>
          </w:tcPr>
          <w:p w14:paraId="77BEA82B">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可信部署管理</w:t>
            </w:r>
          </w:p>
        </w:tc>
        <w:tc>
          <w:tcPr>
            <w:tcW w:w="1000" w:type="dxa"/>
            <w:noWrap w:val="0"/>
            <w:vAlign w:val="center"/>
          </w:tcPr>
          <w:p w14:paraId="5F48331F">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5.2.1</w:t>
            </w:r>
          </w:p>
        </w:tc>
        <w:tc>
          <w:tcPr>
            <w:tcW w:w="745" w:type="dxa"/>
            <w:vMerge w:val="restart"/>
            <w:noWrap w:val="0"/>
            <w:vAlign w:val="center"/>
          </w:tcPr>
          <w:p w14:paraId="38A9ADF0">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部署管理</w:t>
            </w:r>
          </w:p>
        </w:tc>
        <w:tc>
          <w:tcPr>
            <w:tcW w:w="4022" w:type="dxa"/>
            <w:noWrap w:val="0"/>
            <w:vAlign w:val="center"/>
          </w:tcPr>
          <w:p w14:paraId="3947FA1B">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5.2.1.1</w:t>
            </w:r>
            <w:r>
              <w:rPr>
                <w:rFonts w:hint="eastAsia" w:ascii="仿宋" w:hAnsi="仿宋" w:eastAsia="仿宋" w:cs="仿宋"/>
                <w:color w:val="000000"/>
                <w:sz w:val="24"/>
                <w:szCs w:val="24"/>
              </w:rPr>
              <w:t>支持通过主体名称和部署状态对可信端部署申请进行检索和查询，实时了解可信端部署进度、在线状态。</w:t>
            </w:r>
          </w:p>
        </w:tc>
        <w:tc>
          <w:tcPr>
            <w:tcW w:w="944" w:type="dxa"/>
            <w:noWrap/>
            <w:vAlign w:val="center"/>
          </w:tcPr>
          <w:p w14:paraId="7EC09E32">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否</w:t>
            </w:r>
          </w:p>
        </w:tc>
      </w:tr>
      <w:tr w14:paraId="7CB2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669CF578">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continue"/>
            <w:noWrap w:val="0"/>
            <w:vAlign w:val="center"/>
          </w:tcPr>
          <w:p w14:paraId="6D955EC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822" w:type="dxa"/>
            <w:vMerge w:val="continue"/>
            <w:noWrap w:val="0"/>
            <w:vAlign w:val="center"/>
          </w:tcPr>
          <w:p w14:paraId="455F0D92">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00" w:type="dxa"/>
            <w:noWrap w:val="0"/>
            <w:vAlign w:val="center"/>
          </w:tcPr>
          <w:p w14:paraId="08DF4834">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5.2.2</w:t>
            </w:r>
          </w:p>
        </w:tc>
        <w:tc>
          <w:tcPr>
            <w:tcW w:w="745" w:type="dxa"/>
            <w:vMerge w:val="continue"/>
            <w:noWrap w:val="0"/>
            <w:vAlign w:val="center"/>
          </w:tcPr>
          <w:p w14:paraId="41E9592B">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4022" w:type="dxa"/>
            <w:noWrap w:val="0"/>
            <w:vAlign w:val="center"/>
          </w:tcPr>
          <w:p w14:paraId="1304235F">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5.2.2.2</w:t>
            </w:r>
            <w:r>
              <w:rPr>
                <w:rFonts w:hint="eastAsia" w:ascii="仿宋" w:hAnsi="仿宋" w:eastAsia="仿宋" w:cs="仿宋"/>
                <w:color w:val="000000"/>
                <w:sz w:val="24"/>
                <w:szCs w:val="24"/>
              </w:rPr>
              <w:t>支持对主体用户提交的可信端部署的申请进行部署排期；</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支持部署时间修改；</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支持部署指纹的生成和更新。</w:t>
            </w:r>
          </w:p>
        </w:tc>
        <w:tc>
          <w:tcPr>
            <w:tcW w:w="944" w:type="dxa"/>
            <w:noWrap/>
            <w:vAlign w:val="center"/>
          </w:tcPr>
          <w:p w14:paraId="632875FF">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B13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7A18347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continue"/>
            <w:noWrap w:val="0"/>
            <w:vAlign w:val="center"/>
          </w:tcPr>
          <w:p w14:paraId="1D7DEDA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822" w:type="dxa"/>
            <w:vMerge w:val="continue"/>
            <w:noWrap w:val="0"/>
            <w:vAlign w:val="center"/>
          </w:tcPr>
          <w:p w14:paraId="76EE7770">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00" w:type="dxa"/>
            <w:vMerge w:val="restart"/>
            <w:noWrap w:val="0"/>
            <w:vAlign w:val="center"/>
          </w:tcPr>
          <w:p w14:paraId="5AA8CFBC">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5.2.3</w:t>
            </w:r>
          </w:p>
        </w:tc>
        <w:tc>
          <w:tcPr>
            <w:tcW w:w="745" w:type="dxa"/>
            <w:vMerge w:val="restart"/>
            <w:noWrap w:val="0"/>
            <w:vAlign w:val="center"/>
          </w:tcPr>
          <w:p w14:paraId="139BFA61">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可信端管理</w:t>
            </w:r>
          </w:p>
        </w:tc>
        <w:tc>
          <w:tcPr>
            <w:tcW w:w="4022" w:type="dxa"/>
            <w:noWrap w:val="0"/>
            <w:vAlign w:val="center"/>
          </w:tcPr>
          <w:p w14:paraId="6716DD0E">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支持空间管理员根据可信端名称、主体用户名称和部署状态检索查询，实时关注每个主体用户部署的可信端的认证状态。</w:t>
            </w:r>
          </w:p>
          <w:p w14:paraId="7ECD46D4">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支持空间管理员对已认证的可信端进行冻结；</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支持对已冻结的可信端解冻，对于用户主动注销的可信端可以查看注销原因；</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支持删除用户主动注销的可信端。</w:t>
            </w:r>
          </w:p>
        </w:tc>
        <w:tc>
          <w:tcPr>
            <w:tcW w:w="944" w:type="dxa"/>
            <w:noWrap/>
            <w:vAlign w:val="center"/>
          </w:tcPr>
          <w:p w14:paraId="3724CB1C">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660A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7EC1970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restart"/>
            <w:noWrap/>
            <w:vAlign w:val="center"/>
          </w:tcPr>
          <w:p w14:paraId="472A854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5.3</w:t>
            </w:r>
          </w:p>
        </w:tc>
        <w:tc>
          <w:tcPr>
            <w:tcW w:w="822" w:type="dxa"/>
            <w:vMerge w:val="restart"/>
            <w:noWrap w:val="0"/>
            <w:vAlign w:val="center"/>
          </w:tcPr>
          <w:p w14:paraId="7D0D99D8">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智能合约管理</w:t>
            </w:r>
          </w:p>
        </w:tc>
        <w:tc>
          <w:tcPr>
            <w:tcW w:w="1000" w:type="dxa"/>
            <w:noWrap w:val="0"/>
            <w:vAlign w:val="center"/>
          </w:tcPr>
          <w:p w14:paraId="080AC0E2">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5.3.1</w:t>
            </w:r>
          </w:p>
        </w:tc>
        <w:tc>
          <w:tcPr>
            <w:tcW w:w="745" w:type="dxa"/>
            <w:noWrap/>
            <w:vAlign w:val="center"/>
          </w:tcPr>
          <w:p w14:paraId="5BB34BF3">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合约策略模板</w:t>
            </w:r>
          </w:p>
        </w:tc>
        <w:tc>
          <w:tcPr>
            <w:tcW w:w="4022" w:type="dxa"/>
            <w:noWrap w:val="0"/>
            <w:vAlign w:val="center"/>
          </w:tcPr>
          <w:p w14:paraId="504370D3">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支持合约策略以结构化方式承载对合约标的的控制规则；</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支持多方选取模板，并根据模版要求完善其中的参数，从而形成合约策略；</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策略内容配置，包括但不限于：限定数据内容、限定数据交付可信端、限定数据使用可信端、限定数据使用者、限定数据使用操作、限定数据使用次数、限定数据使用时长、限定数据可见范围、限定数据可用范围、数据使用时通知、数据使用后销毁等。</w:t>
            </w:r>
          </w:p>
        </w:tc>
        <w:tc>
          <w:tcPr>
            <w:tcW w:w="944" w:type="dxa"/>
            <w:noWrap/>
            <w:vAlign w:val="center"/>
          </w:tcPr>
          <w:p w14:paraId="15A6FE73">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EC5B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5FA358B4">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continue"/>
            <w:noWrap w:val="0"/>
            <w:vAlign w:val="center"/>
          </w:tcPr>
          <w:p w14:paraId="4A686A62">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822" w:type="dxa"/>
            <w:vMerge w:val="continue"/>
            <w:noWrap w:val="0"/>
            <w:vAlign w:val="center"/>
          </w:tcPr>
          <w:p w14:paraId="7F5A15D4">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00" w:type="dxa"/>
            <w:noWrap w:val="0"/>
            <w:vAlign w:val="center"/>
          </w:tcPr>
          <w:p w14:paraId="1D7D616B">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5.3.2</w:t>
            </w:r>
          </w:p>
        </w:tc>
        <w:tc>
          <w:tcPr>
            <w:tcW w:w="745" w:type="dxa"/>
            <w:noWrap/>
            <w:vAlign w:val="center"/>
          </w:tcPr>
          <w:p w14:paraId="08EA4FF0">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合约管理</w:t>
            </w:r>
          </w:p>
        </w:tc>
        <w:tc>
          <w:tcPr>
            <w:tcW w:w="4022" w:type="dxa"/>
            <w:noWrap w:val="0"/>
            <w:vAlign w:val="center"/>
          </w:tcPr>
          <w:p w14:paraId="089345CE">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支持可信数据空间运营方作为中介，协助多方方完成合约协商及签署；</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支持通过可信空间或可信端的方式进行合约创建、协商、签署等流程；</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合约签订后可信数据空间服务平台按照NDI-TR-225-02确定的数据交易控制指令流程和要求向数据提供方和使用方可信端下发数据交易控制指令，可信数据空间服务平台应基于业务需求对相关信息进行拓展，以支持数字合约执行所必需的使用控制策略下发。</w:t>
            </w:r>
          </w:p>
        </w:tc>
        <w:tc>
          <w:tcPr>
            <w:tcW w:w="944" w:type="dxa"/>
            <w:noWrap/>
            <w:vAlign w:val="center"/>
          </w:tcPr>
          <w:p w14:paraId="561C8B0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574E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07B4E6A7">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continue"/>
            <w:noWrap w:val="0"/>
            <w:vAlign w:val="center"/>
          </w:tcPr>
          <w:p w14:paraId="3A0E861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822" w:type="dxa"/>
            <w:vMerge w:val="continue"/>
            <w:noWrap w:val="0"/>
            <w:vAlign w:val="center"/>
          </w:tcPr>
          <w:p w14:paraId="1166AD0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00" w:type="dxa"/>
            <w:noWrap w:val="0"/>
            <w:vAlign w:val="center"/>
          </w:tcPr>
          <w:p w14:paraId="0A68FB3B">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5.3.3</w:t>
            </w:r>
          </w:p>
        </w:tc>
        <w:tc>
          <w:tcPr>
            <w:tcW w:w="745" w:type="dxa"/>
            <w:noWrap/>
            <w:vAlign w:val="center"/>
          </w:tcPr>
          <w:p w14:paraId="1F104007">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合约备案</w:t>
            </w:r>
          </w:p>
        </w:tc>
        <w:tc>
          <w:tcPr>
            <w:tcW w:w="4022" w:type="dxa"/>
            <w:noWrap w:val="0"/>
            <w:vAlign w:val="center"/>
          </w:tcPr>
          <w:p w14:paraId="16B656DB">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支持可信数据空间中已签署的数字合约进行备案。</w:t>
            </w:r>
          </w:p>
        </w:tc>
        <w:tc>
          <w:tcPr>
            <w:tcW w:w="944" w:type="dxa"/>
            <w:noWrap/>
            <w:vAlign w:val="center"/>
          </w:tcPr>
          <w:p w14:paraId="7E23D55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8CE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5E9540FC">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continue"/>
            <w:noWrap w:val="0"/>
            <w:vAlign w:val="center"/>
          </w:tcPr>
          <w:p w14:paraId="7A354E08">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822" w:type="dxa"/>
            <w:vMerge w:val="continue"/>
            <w:noWrap w:val="0"/>
            <w:vAlign w:val="center"/>
          </w:tcPr>
          <w:p w14:paraId="3896B33E">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00" w:type="dxa"/>
            <w:noWrap w:val="0"/>
            <w:vAlign w:val="center"/>
          </w:tcPr>
          <w:p w14:paraId="1ED9505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5.3.4</w:t>
            </w:r>
          </w:p>
        </w:tc>
        <w:tc>
          <w:tcPr>
            <w:tcW w:w="745" w:type="dxa"/>
            <w:noWrap/>
            <w:vAlign w:val="center"/>
          </w:tcPr>
          <w:p w14:paraId="79B519DF">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合约解除</w:t>
            </w:r>
          </w:p>
        </w:tc>
        <w:tc>
          <w:tcPr>
            <w:tcW w:w="4022" w:type="dxa"/>
            <w:noWrap w:val="0"/>
            <w:vAlign w:val="center"/>
          </w:tcPr>
          <w:p w14:paraId="448F7963">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支持合约签署双方解除通过可信数据空间服务平台签署的数字合约，并在合约备案模块标记合约的解除信息。</w:t>
            </w:r>
          </w:p>
        </w:tc>
        <w:tc>
          <w:tcPr>
            <w:tcW w:w="944" w:type="dxa"/>
            <w:noWrap/>
            <w:vAlign w:val="center"/>
          </w:tcPr>
          <w:p w14:paraId="0783D494">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7977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0B7F6A78">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continue"/>
            <w:noWrap w:val="0"/>
            <w:vAlign w:val="center"/>
          </w:tcPr>
          <w:p w14:paraId="76AA9AA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822" w:type="dxa"/>
            <w:vMerge w:val="continue"/>
            <w:noWrap w:val="0"/>
            <w:vAlign w:val="center"/>
          </w:tcPr>
          <w:p w14:paraId="49D48E6C">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00" w:type="dxa"/>
            <w:noWrap w:val="0"/>
            <w:vAlign w:val="center"/>
          </w:tcPr>
          <w:p w14:paraId="0A535BFD">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5.3.5</w:t>
            </w:r>
          </w:p>
        </w:tc>
        <w:tc>
          <w:tcPr>
            <w:tcW w:w="745" w:type="dxa"/>
            <w:noWrap/>
            <w:vAlign w:val="center"/>
          </w:tcPr>
          <w:p w14:paraId="6B837F63">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合约验证</w:t>
            </w:r>
          </w:p>
        </w:tc>
        <w:tc>
          <w:tcPr>
            <w:tcW w:w="4022" w:type="dxa"/>
            <w:noWrap w:val="0"/>
            <w:vAlign w:val="center"/>
          </w:tcPr>
          <w:p w14:paraId="0CFA658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支持合约完整性验证和防篡改验证，保证合约的安全性、正确性和可靠性。</w:t>
            </w:r>
          </w:p>
        </w:tc>
        <w:tc>
          <w:tcPr>
            <w:tcW w:w="944" w:type="dxa"/>
            <w:noWrap/>
            <w:vAlign w:val="center"/>
          </w:tcPr>
          <w:p w14:paraId="3725146D">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3A0F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499A013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continue"/>
            <w:noWrap w:val="0"/>
            <w:vAlign w:val="center"/>
          </w:tcPr>
          <w:p w14:paraId="5D00FC5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822" w:type="dxa"/>
            <w:vMerge w:val="continue"/>
            <w:noWrap w:val="0"/>
            <w:vAlign w:val="center"/>
          </w:tcPr>
          <w:p w14:paraId="6E72063F">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00" w:type="dxa"/>
            <w:noWrap w:val="0"/>
            <w:vAlign w:val="center"/>
          </w:tcPr>
          <w:p w14:paraId="33779E6F">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5.3.6</w:t>
            </w:r>
          </w:p>
        </w:tc>
        <w:tc>
          <w:tcPr>
            <w:tcW w:w="745" w:type="dxa"/>
            <w:noWrap/>
            <w:vAlign w:val="center"/>
          </w:tcPr>
          <w:p w14:paraId="7BCEF4B1">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合约履行</w:t>
            </w:r>
          </w:p>
        </w:tc>
        <w:tc>
          <w:tcPr>
            <w:tcW w:w="4022" w:type="dxa"/>
            <w:noWrap w:val="0"/>
            <w:vAlign w:val="center"/>
          </w:tcPr>
          <w:p w14:paraId="5A589FE5">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支持合约的自动化履行。</w:t>
            </w:r>
          </w:p>
        </w:tc>
        <w:tc>
          <w:tcPr>
            <w:tcW w:w="944" w:type="dxa"/>
            <w:noWrap/>
            <w:vAlign w:val="center"/>
          </w:tcPr>
          <w:p w14:paraId="43DACBA9">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3A87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320ADECB">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restart"/>
            <w:noWrap/>
            <w:vAlign w:val="center"/>
          </w:tcPr>
          <w:p w14:paraId="4652D26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5.4</w:t>
            </w:r>
          </w:p>
        </w:tc>
        <w:tc>
          <w:tcPr>
            <w:tcW w:w="822" w:type="dxa"/>
            <w:vMerge w:val="restart"/>
            <w:noWrap w:val="0"/>
            <w:vAlign w:val="center"/>
          </w:tcPr>
          <w:p w14:paraId="001C7CC0">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可信空间管理</w:t>
            </w:r>
          </w:p>
        </w:tc>
        <w:tc>
          <w:tcPr>
            <w:tcW w:w="1000" w:type="dxa"/>
            <w:noWrap w:val="0"/>
            <w:vAlign w:val="center"/>
          </w:tcPr>
          <w:p w14:paraId="4B8703D0">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5.4.1</w:t>
            </w:r>
          </w:p>
        </w:tc>
        <w:tc>
          <w:tcPr>
            <w:tcW w:w="745" w:type="dxa"/>
            <w:noWrap/>
            <w:vAlign w:val="center"/>
          </w:tcPr>
          <w:p w14:paraId="4335A458">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空间数据分析</w:t>
            </w:r>
          </w:p>
        </w:tc>
        <w:tc>
          <w:tcPr>
            <w:tcW w:w="4022" w:type="dxa"/>
            <w:noWrap w:val="0"/>
            <w:vAlign w:val="center"/>
          </w:tcPr>
          <w:p w14:paraId="0B488390">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支持用户分析维度、数据产品维度、数据领域维度、合作项目情况等不同维度统计并可视化展示整体概况。</w:t>
            </w:r>
          </w:p>
        </w:tc>
        <w:tc>
          <w:tcPr>
            <w:tcW w:w="944" w:type="dxa"/>
            <w:noWrap/>
            <w:vAlign w:val="center"/>
          </w:tcPr>
          <w:p w14:paraId="5DF7EA4F">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F21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2468A882">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continue"/>
            <w:noWrap w:val="0"/>
            <w:vAlign w:val="center"/>
          </w:tcPr>
          <w:p w14:paraId="04A327D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822" w:type="dxa"/>
            <w:vMerge w:val="continue"/>
            <w:noWrap w:val="0"/>
            <w:vAlign w:val="center"/>
          </w:tcPr>
          <w:p w14:paraId="4366956B">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00" w:type="dxa"/>
            <w:noWrap w:val="0"/>
            <w:vAlign w:val="center"/>
          </w:tcPr>
          <w:p w14:paraId="684A381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5.4.2</w:t>
            </w:r>
          </w:p>
        </w:tc>
        <w:tc>
          <w:tcPr>
            <w:tcW w:w="745" w:type="dxa"/>
            <w:vMerge w:val="restart"/>
            <w:noWrap/>
            <w:vAlign w:val="center"/>
          </w:tcPr>
          <w:p w14:paraId="6D6E0883">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自营空间</w:t>
            </w:r>
          </w:p>
        </w:tc>
        <w:tc>
          <w:tcPr>
            <w:tcW w:w="4022" w:type="dxa"/>
            <w:noWrap w:val="0"/>
            <w:vAlign w:val="center"/>
          </w:tcPr>
          <w:p w14:paraId="5AA89EE6">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▲支持创建多个行业空间；可以对空间基本信息的修改；对废弃空间的删除；</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支持查看空间基本信息及空间内成员、上架产品、已成交/总订单的数据统计及展示。</w:t>
            </w:r>
          </w:p>
        </w:tc>
        <w:tc>
          <w:tcPr>
            <w:tcW w:w="944" w:type="dxa"/>
            <w:noWrap/>
            <w:vAlign w:val="center"/>
          </w:tcPr>
          <w:p w14:paraId="1C2CC17D">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否</w:t>
            </w:r>
          </w:p>
        </w:tc>
      </w:tr>
      <w:tr w14:paraId="15784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64C3E688">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continue"/>
            <w:noWrap w:val="0"/>
            <w:vAlign w:val="center"/>
          </w:tcPr>
          <w:p w14:paraId="5B181A99">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822" w:type="dxa"/>
            <w:vMerge w:val="continue"/>
            <w:noWrap w:val="0"/>
            <w:vAlign w:val="center"/>
          </w:tcPr>
          <w:p w14:paraId="05A3F005">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00" w:type="dxa"/>
            <w:noWrap w:val="0"/>
            <w:vAlign w:val="center"/>
          </w:tcPr>
          <w:p w14:paraId="51BC2B60">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5.4.3</w:t>
            </w:r>
          </w:p>
        </w:tc>
        <w:tc>
          <w:tcPr>
            <w:tcW w:w="745" w:type="dxa"/>
            <w:vMerge w:val="continue"/>
            <w:noWrap w:val="0"/>
            <w:vAlign w:val="center"/>
          </w:tcPr>
          <w:p w14:paraId="671DFA8E">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4022" w:type="dxa"/>
            <w:noWrap w:val="0"/>
            <w:vAlign w:val="center"/>
          </w:tcPr>
          <w:p w14:paraId="4E8DAD98">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支持已注册企业用户进行空间入驻，空间成员管理，空间产品上下架管理，空间订单管理。</w:t>
            </w:r>
          </w:p>
        </w:tc>
        <w:tc>
          <w:tcPr>
            <w:tcW w:w="944" w:type="dxa"/>
            <w:noWrap/>
            <w:vAlign w:val="center"/>
          </w:tcPr>
          <w:p w14:paraId="259C5E02">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EF8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5E58BA73">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noWrap/>
            <w:vAlign w:val="center"/>
          </w:tcPr>
          <w:p w14:paraId="0BCC469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5.5</w:t>
            </w:r>
          </w:p>
        </w:tc>
        <w:tc>
          <w:tcPr>
            <w:tcW w:w="822" w:type="dxa"/>
            <w:noWrap/>
            <w:vAlign w:val="center"/>
          </w:tcPr>
          <w:p w14:paraId="03C01CB7">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可信端应用项目</w:t>
            </w:r>
          </w:p>
        </w:tc>
        <w:tc>
          <w:tcPr>
            <w:tcW w:w="1000" w:type="dxa"/>
            <w:noWrap/>
            <w:vAlign w:val="center"/>
          </w:tcPr>
          <w:p w14:paraId="4E58D6B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5.5.1</w:t>
            </w:r>
          </w:p>
        </w:tc>
        <w:tc>
          <w:tcPr>
            <w:tcW w:w="745" w:type="dxa"/>
            <w:noWrap/>
            <w:vAlign w:val="center"/>
          </w:tcPr>
          <w:p w14:paraId="4A5B3A01">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可信端项目管理</w:t>
            </w:r>
          </w:p>
        </w:tc>
        <w:tc>
          <w:tcPr>
            <w:tcW w:w="4022" w:type="dxa"/>
            <w:noWrap w:val="0"/>
            <w:vAlign w:val="center"/>
          </w:tcPr>
          <w:p w14:paraId="4C17DF16">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支持项目创建，项目概览查看，项目添加合作方，项目成员管理；</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支持项目数据管理；</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支持多方数据使用和数据查询。</w:t>
            </w:r>
          </w:p>
        </w:tc>
        <w:tc>
          <w:tcPr>
            <w:tcW w:w="944" w:type="dxa"/>
            <w:noWrap/>
            <w:vAlign w:val="center"/>
          </w:tcPr>
          <w:p w14:paraId="3E365FDD">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5BE8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31F9DE7E">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restart"/>
            <w:noWrap/>
            <w:vAlign w:val="center"/>
          </w:tcPr>
          <w:p w14:paraId="1C965879">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5.6</w:t>
            </w:r>
          </w:p>
        </w:tc>
        <w:tc>
          <w:tcPr>
            <w:tcW w:w="822" w:type="dxa"/>
            <w:noWrap w:val="0"/>
            <w:vAlign w:val="center"/>
          </w:tcPr>
          <w:p w14:paraId="50B4C013">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可信特征工程管理</w:t>
            </w:r>
          </w:p>
        </w:tc>
        <w:tc>
          <w:tcPr>
            <w:tcW w:w="1000" w:type="dxa"/>
            <w:noWrap w:val="0"/>
            <w:vAlign w:val="center"/>
          </w:tcPr>
          <w:p w14:paraId="683C88A9">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5.6.1</w:t>
            </w:r>
          </w:p>
        </w:tc>
        <w:tc>
          <w:tcPr>
            <w:tcW w:w="745" w:type="dxa"/>
            <w:noWrap/>
            <w:vAlign w:val="center"/>
          </w:tcPr>
          <w:p w14:paraId="1E7FD4F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特征工程配置</w:t>
            </w:r>
          </w:p>
        </w:tc>
        <w:tc>
          <w:tcPr>
            <w:tcW w:w="4022" w:type="dxa"/>
            <w:noWrap w:val="0"/>
            <w:vAlign w:val="center"/>
          </w:tcPr>
          <w:p w14:paraId="5EA70FB6">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支持工程画布形式制定工作流程；</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支持特征参数的配置和工程任务的执行与结果查看。</w:t>
            </w:r>
          </w:p>
        </w:tc>
        <w:tc>
          <w:tcPr>
            <w:tcW w:w="944" w:type="dxa"/>
            <w:noWrap/>
            <w:vAlign w:val="center"/>
          </w:tcPr>
          <w:p w14:paraId="366B4098">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02D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2A49EBF1">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continue"/>
            <w:noWrap w:val="0"/>
            <w:vAlign w:val="center"/>
          </w:tcPr>
          <w:p w14:paraId="4D73A7B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822" w:type="dxa"/>
            <w:noWrap w:val="0"/>
            <w:vAlign w:val="center"/>
          </w:tcPr>
          <w:p w14:paraId="6CDE6B6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可信自定义流程管理</w:t>
            </w:r>
          </w:p>
        </w:tc>
        <w:tc>
          <w:tcPr>
            <w:tcW w:w="1000" w:type="dxa"/>
            <w:noWrap w:val="0"/>
            <w:vAlign w:val="center"/>
          </w:tcPr>
          <w:p w14:paraId="66F659DA">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5.6.2</w:t>
            </w:r>
          </w:p>
        </w:tc>
        <w:tc>
          <w:tcPr>
            <w:tcW w:w="745" w:type="dxa"/>
            <w:noWrap w:val="0"/>
            <w:vAlign w:val="center"/>
          </w:tcPr>
          <w:p w14:paraId="5CC88824">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自定义流程管理</w:t>
            </w:r>
          </w:p>
        </w:tc>
        <w:tc>
          <w:tcPr>
            <w:tcW w:w="4022" w:type="dxa"/>
            <w:noWrap w:val="0"/>
            <w:vAlign w:val="center"/>
          </w:tcPr>
          <w:p w14:paraId="46AB8C8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▲支持自定义的脚本/算法/模型和镜像的上传、配置与运行；</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支持流程调优和结果查看。</w:t>
            </w:r>
          </w:p>
        </w:tc>
        <w:tc>
          <w:tcPr>
            <w:tcW w:w="944" w:type="dxa"/>
            <w:noWrap/>
            <w:vAlign w:val="center"/>
          </w:tcPr>
          <w:p w14:paraId="10D57A84">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否</w:t>
            </w:r>
          </w:p>
        </w:tc>
      </w:tr>
      <w:tr w14:paraId="711A9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0412F9B2">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restart"/>
            <w:noWrap/>
            <w:vAlign w:val="center"/>
          </w:tcPr>
          <w:p w14:paraId="620206D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5.7</w:t>
            </w:r>
          </w:p>
        </w:tc>
        <w:tc>
          <w:tcPr>
            <w:tcW w:w="822" w:type="dxa"/>
            <w:vMerge w:val="restart"/>
            <w:noWrap w:val="0"/>
            <w:vAlign w:val="center"/>
          </w:tcPr>
          <w:p w14:paraId="443970B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安全审计</w:t>
            </w:r>
          </w:p>
        </w:tc>
        <w:tc>
          <w:tcPr>
            <w:tcW w:w="1000" w:type="dxa"/>
            <w:vMerge w:val="restart"/>
            <w:noWrap w:val="0"/>
            <w:vAlign w:val="center"/>
          </w:tcPr>
          <w:p w14:paraId="693BB6FB">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5.7.1</w:t>
            </w:r>
          </w:p>
        </w:tc>
        <w:tc>
          <w:tcPr>
            <w:tcW w:w="745" w:type="dxa"/>
            <w:vMerge w:val="restart"/>
            <w:noWrap/>
            <w:vAlign w:val="center"/>
          </w:tcPr>
          <w:p w14:paraId="5E04E835">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审计管理</w:t>
            </w:r>
          </w:p>
        </w:tc>
        <w:tc>
          <w:tcPr>
            <w:tcW w:w="4022" w:type="dxa"/>
            <w:noWrap w:val="0"/>
            <w:vAlign w:val="center"/>
          </w:tcPr>
          <w:p w14:paraId="722073CE">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支持审计项目管理和统计与查看；</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支持审计规则配置。</w:t>
            </w:r>
          </w:p>
          <w:p w14:paraId="2603066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支持任务信息和任务结果查看和下载，支持审计报告查看与导出。</w:t>
            </w:r>
          </w:p>
          <w:p w14:paraId="084C2875">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支持用户管理，组织管理，角色管理，安全管理（账号双重验证、水印模式），多种访问控制管理模式。</w:t>
            </w:r>
          </w:p>
        </w:tc>
        <w:tc>
          <w:tcPr>
            <w:tcW w:w="944" w:type="dxa"/>
            <w:noWrap/>
            <w:vAlign w:val="center"/>
          </w:tcPr>
          <w:p w14:paraId="3F6F5130">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0B3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5A963B76">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noWrap/>
            <w:vAlign w:val="center"/>
          </w:tcPr>
          <w:p w14:paraId="1862007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5.8</w:t>
            </w:r>
          </w:p>
        </w:tc>
        <w:tc>
          <w:tcPr>
            <w:tcW w:w="822" w:type="dxa"/>
            <w:noWrap/>
            <w:vAlign w:val="center"/>
          </w:tcPr>
          <w:p w14:paraId="647F9091">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模型中心</w:t>
            </w:r>
          </w:p>
        </w:tc>
        <w:tc>
          <w:tcPr>
            <w:tcW w:w="1000" w:type="dxa"/>
            <w:noWrap/>
            <w:vAlign w:val="center"/>
          </w:tcPr>
          <w:p w14:paraId="2C5EDD8F">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5.8.1</w:t>
            </w:r>
          </w:p>
        </w:tc>
        <w:tc>
          <w:tcPr>
            <w:tcW w:w="745" w:type="dxa"/>
            <w:noWrap/>
            <w:vAlign w:val="center"/>
          </w:tcPr>
          <w:p w14:paraId="1FA2D073">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模型中心</w:t>
            </w:r>
          </w:p>
        </w:tc>
        <w:tc>
          <w:tcPr>
            <w:tcW w:w="4022" w:type="dxa"/>
            <w:noWrap w:val="0"/>
            <w:vAlign w:val="center"/>
          </w:tcPr>
          <w:p w14:paraId="304E75DB">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支持模型输出到模型中心，支持检索并查看模型详情；</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支持查看模型效果评估指标以及模型关联的建模任务信息。</w:t>
            </w:r>
          </w:p>
        </w:tc>
        <w:tc>
          <w:tcPr>
            <w:tcW w:w="944" w:type="dxa"/>
            <w:noWrap/>
            <w:vAlign w:val="center"/>
          </w:tcPr>
          <w:p w14:paraId="2BD03A0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CF4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59AC24CB">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restart"/>
            <w:noWrap/>
            <w:vAlign w:val="center"/>
          </w:tcPr>
          <w:p w14:paraId="16F5FE4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5.9</w:t>
            </w:r>
          </w:p>
        </w:tc>
        <w:tc>
          <w:tcPr>
            <w:tcW w:w="822" w:type="dxa"/>
            <w:vMerge w:val="restart"/>
            <w:noWrap/>
            <w:vAlign w:val="center"/>
          </w:tcPr>
          <w:p w14:paraId="62A9DF45">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产品服务</w:t>
            </w:r>
          </w:p>
        </w:tc>
        <w:tc>
          <w:tcPr>
            <w:tcW w:w="1000" w:type="dxa"/>
            <w:vMerge w:val="restart"/>
            <w:noWrap/>
            <w:vAlign w:val="center"/>
          </w:tcPr>
          <w:p w14:paraId="59D1C73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5.9.1</w:t>
            </w:r>
          </w:p>
        </w:tc>
        <w:tc>
          <w:tcPr>
            <w:tcW w:w="745" w:type="dxa"/>
            <w:vMerge w:val="restart"/>
            <w:noWrap/>
            <w:vAlign w:val="center"/>
          </w:tcPr>
          <w:p w14:paraId="20FB12B1">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在线预测服务</w:t>
            </w:r>
          </w:p>
        </w:tc>
        <w:tc>
          <w:tcPr>
            <w:tcW w:w="4022" w:type="dxa"/>
            <w:noWrap w:val="0"/>
            <w:vAlign w:val="center"/>
          </w:tcPr>
          <w:p w14:paraId="007BCE9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支持选择模型发布为在线预测服务。</w:t>
            </w:r>
          </w:p>
          <w:p w14:paraId="0AAE8C77">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支持对应用方提交的服务上线申请进行审批。</w:t>
            </w:r>
          </w:p>
        </w:tc>
        <w:tc>
          <w:tcPr>
            <w:tcW w:w="944" w:type="dxa"/>
            <w:noWrap/>
            <w:vAlign w:val="center"/>
          </w:tcPr>
          <w:p w14:paraId="37068D00">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C360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797F43F5">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continue"/>
            <w:noWrap w:val="0"/>
            <w:vAlign w:val="center"/>
          </w:tcPr>
          <w:p w14:paraId="0CBD86E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822" w:type="dxa"/>
            <w:vMerge w:val="continue"/>
            <w:noWrap w:val="0"/>
            <w:vAlign w:val="center"/>
          </w:tcPr>
          <w:p w14:paraId="278EF183">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00" w:type="dxa"/>
            <w:vMerge w:val="restart"/>
            <w:noWrap/>
            <w:vAlign w:val="center"/>
          </w:tcPr>
          <w:p w14:paraId="0489C3F5">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5.9.2</w:t>
            </w:r>
          </w:p>
        </w:tc>
        <w:tc>
          <w:tcPr>
            <w:tcW w:w="745" w:type="dxa"/>
            <w:vMerge w:val="restart"/>
            <w:noWrap/>
            <w:vAlign w:val="center"/>
          </w:tcPr>
          <w:p w14:paraId="35191E5E">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数据服务</w:t>
            </w:r>
          </w:p>
        </w:tc>
        <w:tc>
          <w:tcPr>
            <w:tcW w:w="4022" w:type="dxa"/>
            <w:noWrap w:val="0"/>
            <w:vAlign w:val="center"/>
          </w:tcPr>
          <w:p w14:paraId="065C4E0F">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支持查看所有合作方发布的数据服务，并申请使用。</w:t>
            </w:r>
          </w:p>
          <w:p w14:paraId="08E83F1A">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支持在线服务发布、下线。</w:t>
            </w:r>
          </w:p>
          <w:p w14:paraId="094B1E78">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支持服务单条和和批量查询，提供数据服务API。</w:t>
            </w:r>
          </w:p>
          <w:p w14:paraId="042F700F">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可以查看服务详情，包括查看数据服务的查询记录、月度统计、服务详情和申请记录。</w:t>
            </w:r>
          </w:p>
        </w:tc>
        <w:tc>
          <w:tcPr>
            <w:tcW w:w="944" w:type="dxa"/>
            <w:noWrap/>
            <w:vAlign w:val="center"/>
          </w:tcPr>
          <w:p w14:paraId="73312F2D">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1CC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560C5D42">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noWrap/>
            <w:vAlign w:val="center"/>
          </w:tcPr>
          <w:p w14:paraId="015A2BF0">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5.10 </w:t>
            </w:r>
          </w:p>
        </w:tc>
        <w:tc>
          <w:tcPr>
            <w:tcW w:w="822" w:type="dxa"/>
            <w:noWrap w:val="0"/>
            <w:vAlign w:val="center"/>
          </w:tcPr>
          <w:p w14:paraId="50230AB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站点配置</w:t>
            </w:r>
          </w:p>
        </w:tc>
        <w:tc>
          <w:tcPr>
            <w:tcW w:w="1000" w:type="dxa"/>
            <w:noWrap/>
            <w:vAlign w:val="center"/>
          </w:tcPr>
          <w:p w14:paraId="4B868C1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5.10.1</w:t>
            </w:r>
          </w:p>
        </w:tc>
        <w:tc>
          <w:tcPr>
            <w:tcW w:w="745" w:type="dxa"/>
            <w:noWrap w:val="0"/>
            <w:vAlign w:val="center"/>
          </w:tcPr>
          <w:p w14:paraId="6D7BFA8A">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本站设置</w:t>
            </w:r>
          </w:p>
        </w:tc>
        <w:tc>
          <w:tcPr>
            <w:tcW w:w="4022" w:type="dxa"/>
            <w:noWrap w:val="0"/>
            <w:vAlign w:val="center"/>
          </w:tcPr>
          <w:p w14:paraId="43E566F0">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支持本站信息自定义配置包括但不限于logo。</w:t>
            </w:r>
          </w:p>
        </w:tc>
        <w:tc>
          <w:tcPr>
            <w:tcW w:w="944" w:type="dxa"/>
            <w:noWrap/>
            <w:vAlign w:val="center"/>
          </w:tcPr>
          <w:p w14:paraId="5BD2E7BF">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5BE9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045B05C1">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restart"/>
            <w:noWrap/>
            <w:vAlign w:val="center"/>
          </w:tcPr>
          <w:p w14:paraId="5B460AE4">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5.11</w:t>
            </w:r>
          </w:p>
        </w:tc>
        <w:tc>
          <w:tcPr>
            <w:tcW w:w="822" w:type="dxa"/>
            <w:vMerge w:val="restart"/>
            <w:noWrap w:val="0"/>
            <w:vAlign w:val="center"/>
          </w:tcPr>
          <w:p w14:paraId="3B3C8AE9">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监控中心</w:t>
            </w:r>
          </w:p>
        </w:tc>
        <w:tc>
          <w:tcPr>
            <w:tcW w:w="1000" w:type="dxa"/>
            <w:noWrap w:val="0"/>
            <w:vAlign w:val="center"/>
          </w:tcPr>
          <w:p w14:paraId="5F634B1D">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5.11.1</w:t>
            </w:r>
          </w:p>
        </w:tc>
        <w:tc>
          <w:tcPr>
            <w:tcW w:w="745" w:type="dxa"/>
            <w:noWrap w:val="0"/>
            <w:vAlign w:val="center"/>
          </w:tcPr>
          <w:p w14:paraId="3933587C">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系统监控</w:t>
            </w:r>
          </w:p>
        </w:tc>
        <w:tc>
          <w:tcPr>
            <w:tcW w:w="4022" w:type="dxa"/>
            <w:noWrap w:val="0"/>
            <w:vAlign w:val="center"/>
          </w:tcPr>
          <w:p w14:paraId="27919C9C">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支持服务数、节点数、内存使用量、磁盘使用量、网络流量、CPU使用量等相关指标监控。</w:t>
            </w:r>
          </w:p>
        </w:tc>
        <w:tc>
          <w:tcPr>
            <w:tcW w:w="944" w:type="dxa"/>
            <w:noWrap/>
            <w:vAlign w:val="center"/>
          </w:tcPr>
          <w:p w14:paraId="3CF84656">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4A0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081B6D86">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vMerge w:val="continue"/>
            <w:noWrap w:val="0"/>
            <w:vAlign w:val="center"/>
          </w:tcPr>
          <w:p w14:paraId="51001DBC">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p>
        </w:tc>
        <w:tc>
          <w:tcPr>
            <w:tcW w:w="822" w:type="dxa"/>
            <w:vMerge w:val="continue"/>
            <w:noWrap w:val="0"/>
            <w:vAlign w:val="center"/>
          </w:tcPr>
          <w:p w14:paraId="5ABCDE4A">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1000" w:type="dxa"/>
            <w:noWrap w:val="0"/>
            <w:vAlign w:val="center"/>
          </w:tcPr>
          <w:p w14:paraId="5FA4CCE2">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5.11.2</w:t>
            </w:r>
          </w:p>
        </w:tc>
        <w:tc>
          <w:tcPr>
            <w:tcW w:w="745" w:type="dxa"/>
            <w:noWrap w:val="0"/>
            <w:vAlign w:val="center"/>
          </w:tcPr>
          <w:p w14:paraId="2752823A">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日志监控</w:t>
            </w:r>
          </w:p>
        </w:tc>
        <w:tc>
          <w:tcPr>
            <w:tcW w:w="4022" w:type="dxa"/>
            <w:noWrap w:val="0"/>
            <w:vAlign w:val="center"/>
          </w:tcPr>
          <w:p w14:paraId="5AAD087A">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支持用户日志和服务日志的查看与导出。</w:t>
            </w:r>
          </w:p>
        </w:tc>
        <w:tc>
          <w:tcPr>
            <w:tcW w:w="944" w:type="dxa"/>
            <w:noWrap/>
            <w:vAlign w:val="center"/>
          </w:tcPr>
          <w:p w14:paraId="0E296581">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3F5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223D741C">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noWrap/>
            <w:vAlign w:val="center"/>
          </w:tcPr>
          <w:p w14:paraId="3AA0078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5.12</w:t>
            </w:r>
          </w:p>
        </w:tc>
        <w:tc>
          <w:tcPr>
            <w:tcW w:w="822" w:type="dxa"/>
            <w:noWrap w:val="0"/>
            <w:vAlign w:val="center"/>
          </w:tcPr>
          <w:p w14:paraId="654266BE">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系统管理</w:t>
            </w:r>
          </w:p>
        </w:tc>
        <w:tc>
          <w:tcPr>
            <w:tcW w:w="1000" w:type="dxa"/>
            <w:noWrap w:val="0"/>
            <w:vAlign w:val="center"/>
          </w:tcPr>
          <w:p w14:paraId="4D8E00B3">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5.12.1</w:t>
            </w:r>
          </w:p>
        </w:tc>
        <w:tc>
          <w:tcPr>
            <w:tcW w:w="745" w:type="dxa"/>
            <w:noWrap w:val="0"/>
            <w:vAlign w:val="center"/>
          </w:tcPr>
          <w:p w14:paraId="14093E52">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系统管理</w:t>
            </w:r>
          </w:p>
        </w:tc>
        <w:tc>
          <w:tcPr>
            <w:tcW w:w="4022" w:type="dxa"/>
            <w:noWrap w:val="0"/>
            <w:vAlign w:val="center"/>
          </w:tcPr>
          <w:p w14:paraId="5AE1744D">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支持用户管理，角色管理，权限配置功能。</w:t>
            </w:r>
          </w:p>
        </w:tc>
        <w:tc>
          <w:tcPr>
            <w:tcW w:w="944" w:type="dxa"/>
            <w:noWrap/>
            <w:vAlign w:val="center"/>
          </w:tcPr>
          <w:p w14:paraId="49D1FC97">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306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3" w:type="dxa"/>
            <w:vMerge w:val="continue"/>
            <w:noWrap w:val="0"/>
            <w:vAlign w:val="center"/>
          </w:tcPr>
          <w:p w14:paraId="29208BE7">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p>
        </w:tc>
        <w:tc>
          <w:tcPr>
            <w:tcW w:w="789" w:type="dxa"/>
            <w:noWrap/>
            <w:vAlign w:val="center"/>
          </w:tcPr>
          <w:p w14:paraId="65CA6FEC">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5.13</w:t>
            </w:r>
          </w:p>
        </w:tc>
        <w:tc>
          <w:tcPr>
            <w:tcW w:w="822" w:type="dxa"/>
            <w:noWrap w:val="0"/>
            <w:vAlign w:val="center"/>
          </w:tcPr>
          <w:p w14:paraId="78742895">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通知管理</w:t>
            </w:r>
          </w:p>
        </w:tc>
        <w:tc>
          <w:tcPr>
            <w:tcW w:w="1000" w:type="dxa"/>
            <w:noWrap w:val="0"/>
            <w:vAlign w:val="center"/>
          </w:tcPr>
          <w:p w14:paraId="7ABE1558">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5.13.1</w:t>
            </w:r>
          </w:p>
        </w:tc>
        <w:tc>
          <w:tcPr>
            <w:tcW w:w="745" w:type="dxa"/>
            <w:noWrap w:val="0"/>
            <w:vAlign w:val="center"/>
          </w:tcPr>
          <w:p w14:paraId="0E4D91BB">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通知管理</w:t>
            </w:r>
          </w:p>
        </w:tc>
        <w:tc>
          <w:tcPr>
            <w:tcW w:w="4022" w:type="dxa"/>
            <w:noWrap w:val="0"/>
            <w:vAlign w:val="center"/>
          </w:tcPr>
          <w:p w14:paraId="3B615F7F">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支持消息查看，对新消息状态进行提醒。</w:t>
            </w:r>
          </w:p>
          <w:p w14:paraId="237AC6F0">
            <w:pPr>
              <w:keepNext/>
              <w:pageBreakBefore w:val="0"/>
              <w:wordWrap/>
              <w:overflowPunct/>
              <w:topLinePunct w:val="0"/>
              <w:bidi w:val="0"/>
              <w:snapToGrid w:val="0"/>
              <w:spacing w:line="240" w:lineRule="auto"/>
              <w:ind w:left="0" w:leftChars="0" w:right="0" w:rightChars="0" w:firstLine="0" w:firstLineChars="0"/>
              <w:jc w:val="left"/>
              <w:rPr>
                <w:rFonts w:hint="eastAsia" w:ascii="仿宋" w:hAnsi="仿宋" w:eastAsia="仿宋" w:cs="仿宋"/>
                <w:color w:val="000000"/>
                <w:sz w:val="24"/>
                <w:szCs w:val="24"/>
              </w:rPr>
            </w:pPr>
            <w:r>
              <w:rPr>
                <w:rFonts w:hint="eastAsia" w:ascii="仿宋" w:hAnsi="仿宋" w:eastAsia="仿宋" w:cs="仿宋"/>
                <w:color w:val="000000"/>
                <w:sz w:val="24"/>
                <w:szCs w:val="24"/>
              </w:rPr>
              <w:t>可以按类别设置是否发送消息。</w:t>
            </w:r>
          </w:p>
        </w:tc>
        <w:tc>
          <w:tcPr>
            <w:tcW w:w="944" w:type="dxa"/>
            <w:noWrap/>
            <w:vAlign w:val="center"/>
          </w:tcPr>
          <w:p w14:paraId="0E7435B9">
            <w:pPr>
              <w:keepNext/>
              <w:pageBreakBefore w:val="0"/>
              <w:wordWrap/>
              <w:overflowPunct/>
              <w:topLinePunct w:val="0"/>
              <w:bidi w:val="0"/>
              <w:snapToGrid w:val="0"/>
              <w:spacing w:line="240" w:lineRule="auto"/>
              <w:ind w:left="0" w:leftChars="0" w:right="0" w:rightChars="0" w:firstLine="0" w:firstLineChars="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bl>
    <w:p w14:paraId="10DC84C8">
      <w:pPr>
        <w:pStyle w:val="3"/>
        <w:keepNext/>
        <w:keepLines/>
        <w:pageBreakBefore w:val="0"/>
        <w:widowControl w:val="0"/>
        <w:numPr>
          <w:ilvl w:val="0"/>
          <w:numId w:val="0"/>
        </w:numPr>
        <w:kinsoku/>
        <w:wordWrap/>
        <w:overflowPunct/>
        <w:topLinePunct w:val="0"/>
        <w:autoSpaceDE/>
        <w:autoSpaceDN/>
        <w:bidi w:val="0"/>
        <w:adjustRightInd w:val="0"/>
        <w:snapToGrid/>
        <w:spacing w:before="0" w:after="0" w:line="360" w:lineRule="auto"/>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6、</w:t>
      </w:r>
      <w:r>
        <w:rPr>
          <w:rFonts w:hint="eastAsia" w:ascii="仿宋" w:hAnsi="仿宋" w:eastAsia="仿宋" w:cs="仿宋"/>
          <w:sz w:val="24"/>
          <w:szCs w:val="24"/>
        </w:rPr>
        <w:t>医疗专病科研服务软件</w:t>
      </w:r>
    </w:p>
    <w:tbl>
      <w:tblPr>
        <w:tblStyle w:val="9"/>
        <w:tblW w:w="927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
        <w:gridCol w:w="844"/>
        <w:gridCol w:w="812"/>
        <w:gridCol w:w="1022"/>
        <w:gridCol w:w="744"/>
        <w:gridCol w:w="3945"/>
        <w:gridCol w:w="977"/>
      </w:tblGrid>
      <w:tr w14:paraId="3439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28" w:type="dxa"/>
            <w:noWrap w:val="0"/>
            <w:vAlign w:val="center"/>
          </w:tcPr>
          <w:p w14:paraId="24EBBC01">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平台</w:t>
            </w:r>
          </w:p>
        </w:tc>
        <w:tc>
          <w:tcPr>
            <w:tcW w:w="844" w:type="dxa"/>
            <w:noWrap w:val="0"/>
            <w:vAlign w:val="center"/>
          </w:tcPr>
          <w:p w14:paraId="3023AC42">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一级标号</w:t>
            </w:r>
          </w:p>
        </w:tc>
        <w:tc>
          <w:tcPr>
            <w:tcW w:w="812" w:type="dxa"/>
            <w:noWrap w:val="0"/>
            <w:vAlign w:val="center"/>
          </w:tcPr>
          <w:p w14:paraId="3E8211E0">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一级功能</w:t>
            </w:r>
          </w:p>
        </w:tc>
        <w:tc>
          <w:tcPr>
            <w:tcW w:w="1022" w:type="dxa"/>
            <w:noWrap w:val="0"/>
            <w:vAlign w:val="center"/>
          </w:tcPr>
          <w:p w14:paraId="1C3DBF72">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二级标号</w:t>
            </w:r>
          </w:p>
        </w:tc>
        <w:tc>
          <w:tcPr>
            <w:tcW w:w="744" w:type="dxa"/>
            <w:noWrap w:val="0"/>
            <w:vAlign w:val="center"/>
          </w:tcPr>
          <w:p w14:paraId="04F5A896">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二级功能</w:t>
            </w:r>
          </w:p>
        </w:tc>
        <w:tc>
          <w:tcPr>
            <w:tcW w:w="3945" w:type="dxa"/>
            <w:noWrap w:val="0"/>
            <w:vAlign w:val="center"/>
          </w:tcPr>
          <w:p w14:paraId="4E01C4B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功能描述</w:t>
            </w:r>
          </w:p>
        </w:tc>
        <w:tc>
          <w:tcPr>
            <w:tcW w:w="977" w:type="dxa"/>
            <w:noWrap w:val="0"/>
            <w:vAlign w:val="center"/>
          </w:tcPr>
          <w:p w14:paraId="0976D1F6">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证明材料</w:t>
            </w:r>
          </w:p>
        </w:tc>
      </w:tr>
      <w:tr w14:paraId="1BF2E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928" w:type="dxa"/>
            <w:vMerge w:val="restart"/>
            <w:noWrap w:val="0"/>
            <w:vAlign w:val="center"/>
          </w:tcPr>
          <w:p w14:paraId="4AA391D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6医疗专病科研服务软件</w:t>
            </w:r>
          </w:p>
        </w:tc>
        <w:tc>
          <w:tcPr>
            <w:tcW w:w="844" w:type="dxa"/>
            <w:noWrap w:val="0"/>
            <w:vAlign w:val="center"/>
          </w:tcPr>
          <w:p w14:paraId="6C8EC03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6.0 </w:t>
            </w:r>
          </w:p>
        </w:tc>
        <w:tc>
          <w:tcPr>
            <w:tcW w:w="812" w:type="dxa"/>
            <w:noWrap w:val="0"/>
            <w:vAlign w:val="center"/>
          </w:tcPr>
          <w:p w14:paraId="0C2C350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★整体需求</w:t>
            </w:r>
          </w:p>
        </w:tc>
        <w:tc>
          <w:tcPr>
            <w:tcW w:w="1022" w:type="dxa"/>
            <w:noWrap w:val="0"/>
            <w:vAlign w:val="center"/>
          </w:tcPr>
          <w:p w14:paraId="29BECC4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6.0 </w:t>
            </w:r>
          </w:p>
        </w:tc>
        <w:tc>
          <w:tcPr>
            <w:tcW w:w="744" w:type="dxa"/>
            <w:noWrap w:val="0"/>
            <w:vAlign w:val="center"/>
          </w:tcPr>
          <w:p w14:paraId="3683B96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w:t>
            </w:r>
          </w:p>
        </w:tc>
        <w:tc>
          <w:tcPr>
            <w:tcW w:w="3945" w:type="dxa"/>
            <w:noWrap w:val="0"/>
            <w:vAlign w:val="center"/>
          </w:tcPr>
          <w:p w14:paraId="1BDC5E6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★投标人需</w:t>
            </w:r>
            <w:r>
              <w:rPr>
                <w:rFonts w:hint="eastAsia" w:ascii="仿宋" w:hAnsi="仿宋" w:eastAsia="仿宋" w:cs="仿宋"/>
                <w:color w:val="000000"/>
                <w:sz w:val="24"/>
                <w:szCs w:val="24"/>
                <w:lang w:val="en-US" w:eastAsia="zh-CN"/>
              </w:rPr>
              <w:t>按要求</w:t>
            </w:r>
            <w:r>
              <w:rPr>
                <w:rFonts w:hint="eastAsia" w:ascii="仿宋" w:hAnsi="仿宋" w:eastAsia="仿宋" w:cs="仿宋"/>
                <w:color w:val="000000"/>
                <w:sz w:val="24"/>
                <w:szCs w:val="24"/>
              </w:rPr>
              <w:t>交付医疗专病科研服务软件；并能够整合联通链接医疗数据应用协同系统。</w:t>
            </w:r>
          </w:p>
        </w:tc>
        <w:tc>
          <w:tcPr>
            <w:tcW w:w="977" w:type="dxa"/>
            <w:noWrap/>
            <w:vAlign w:val="center"/>
          </w:tcPr>
          <w:p w14:paraId="6F9B5BE6">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3504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 w:type="dxa"/>
            <w:vMerge w:val="continue"/>
            <w:noWrap w:val="0"/>
            <w:vAlign w:val="center"/>
          </w:tcPr>
          <w:p w14:paraId="7857C7AF">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restart"/>
            <w:noWrap w:val="0"/>
            <w:vAlign w:val="center"/>
          </w:tcPr>
          <w:p w14:paraId="35C4471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6.1</w:t>
            </w:r>
          </w:p>
        </w:tc>
        <w:tc>
          <w:tcPr>
            <w:tcW w:w="812" w:type="dxa"/>
            <w:vMerge w:val="restart"/>
            <w:noWrap w:val="0"/>
            <w:vAlign w:val="center"/>
          </w:tcPr>
          <w:p w14:paraId="61E444E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专病空间管理</w:t>
            </w:r>
          </w:p>
        </w:tc>
        <w:tc>
          <w:tcPr>
            <w:tcW w:w="1022" w:type="dxa"/>
            <w:noWrap w:val="0"/>
            <w:vAlign w:val="center"/>
          </w:tcPr>
          <w:p w14:paraId="6FC58DF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6.1.1</w:t>
            </w:r>
          </w:p>
        </w:tc>
        <w:tc>
          <w:tcPr>
            <w:tcW w:w="744" w:type="dxa"/>
            <w:noWrap w:val="0"/>
            <w:vAlign w:val="center"/>
          </w:tcPr>
          <w:p w14:paraId="77CC9F5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主题库</w:t>
            </w:r>
          </w:p>
        </w:tc>
        <w:tc>
          <w:tcPr>
            <w:tcW w:w="3945" w:type="dxa"/>
            <w:noWrap w:val="0"/>
            <w:vAlign w:val="center"/>
          </w:tcPr>
          <w:p w14:paraId="3C354C0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根据业务需求生成特定环境的主题数据模型。</w:t>
            </w:r>
          </w:p>
        </w:tc>
        <w:tc>
          <w:tcPr>
            <w:tcW w:w="977" w:type="dxa"/>
            <w:noWrap/>
            <w:vAlign w:val="center"/>
          </w:tcPr>
          <w:p w14:paraId="76853C3B">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FB0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928" w:type="dxa"/>
            <w:vMerge w:val="continue"/>
            <w:noWrap w:val="0"/>
            <w:vAlign w:val="center"/>
          </w:tcPr>
          <w:p w14:paraId="2E29DB06">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159B4C02">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354431C3">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2180030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6.1.2</w:t>
            </w:r>
          </w:p>
        </w:tc>
        <w:tc>
          <w:tcPr>
            <w:tcW w:w="744" w:type="dxa"/>
            <w:noWrap w:val="0"/>
            <w:vAlign w:val="center"/>
          </w:tcPr>
          <w:p w14:paraId="3F7D01D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专病库管理</w:t>
            </w:r>
          </w:p>
        </w:tc>
        <w:tc>
          <w:tcPr>
            <w:tcW w:w="3945" w:type="dxa"/>
            <w:noWrap w:val="0"/>
            <w:vAlign w:val="center"/>
          </w:tcPr>
          <w:p w14:paraId="2A9FB16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维护所有通过系统生成专病库，可以修改专病库的查询条件，重新规划专病库的字段提供给相关科室使用；</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支持重新生成专病库；</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支持设置专病库与项目进行关联、解除、支持增加、删除专病库。</w:t>
            </w:r>
          </w:p>
        </w:tc>
        <w:tc>
          <w:tcPr>
            <w:tcW w:w="977" w:type="dxa"/>
            <w:noWrap/>
            <w:vAlign w:val="center"/>
          </w:tcPr>
          <w:p w14:paraId="41F01F22">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F27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28" w:type="dxa"/>
            <w:vMerge w:val="continue"/>
            <w:noWrap w:val="0"/>
            <w:vAlign w:val="center"/>
          </w:tcPr>
          <w:p w14:paraId="669A7F57">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0A803861">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47CEBFD4">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3EA602A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6.1.3</w:t>
            </w:r>
          </w:p>
        </w:tc>
        <w:tc>
          <w:tcPr>
            <w:tcW w:w="744" w:type="dxa"/>
            <w:noWrap w:val="0"/>
            <w:vAlign w:val="center"/>
          </w:tcPr>
          <w:p w14:paraId="23C4B10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项目管理</w:t>
            </w:r>
          </w:p>
        </w:tc>
        <w:tc>
          <w:tcPr>
            <w:tcW w:w="3945" w:type="dxa"/>
            <w:noWrap w:val="0"/>
            <w:vAlign w:val="center"/>
          </w:tcPr>
          <w:p w14:paraId="463DA00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支持项目相关信息的修改，删除；</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支持项目管理人员，使用人员，项目名称等信息的维护。</w:t>
            </w:r>
          </w:p>
        </w:tc>
        <w:tc>
          <w:tcPr>
            <w:tcW w:w="977" w:type="dxa"/>
            <w:noWrap/>
            <w:vAlign w:val="center"/>
          </w:tcPr>
          <w:p w14:paraId="696CC1B5">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DCBD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trPr>
        <w:tc>
          <w:tcPr>
            <w:tcW w:w="928" w:type="dxa"/>
            <w:vMerge w:val="continue"/>
            <w:noWrap w:val="0"/>
            <w:vAlign w:val="center"/>
          </w:tcPr>
          <w:p w14:paraId="18F42C76">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224AD025">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0796A0FC">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7BF5B59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6.1.4</w:t>
            </w:r>
          </w:p>
        </w:tc>
        <w:tc>
          <w:tcPr>
            <w:tcW w:w="744" w:type="dxa"/>
            <w:noWrap w:val="0"/>
            <w:vAlign w:val="center"/>
          </w:tcPr>
          <w:p w14:paraId="3DA5270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分组管理</w:t>
            </w:r>
          </w:p>
        </w:tc>
        <w:tc>
          <w:tcPr>
            <w:tcW w:w="3945" w:type="dxa"/>
            <w:noWrap w:val="0"/>
            <w:vAlign w:val="center"/>
          </w:tcPr>
          <w:p w14:paraId="2AD4B68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支持项目中增加任意分组；</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支持分组之间以就诊记录进行互斥规则，提供系统功能截图；</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支持分组的增加、删除、修改；支持分组关联CRF表单；</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支持设计研究人员。</w:t>
            </w:r>
          </w:p>
        </w:tc>
        <w:tc>
          <w:tcPr>
            <w:tcW w:w="977" w:type="dxa"/>
            <w:noWrap/>
            <w:vAlign w:val="center"/>
          </w:tcPr>
          <w:p w14:paraId="7A72F83D">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4A19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928" w:type="dxa"/>
            <w:vMerge w:val="continue"/>
            <w:noWrap w:val="0"/>
            <w:vAlign w:val="center"/>
          </w:tcPr>
          <w:p w14:paraId="2E977EB7">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3B5B2542">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2156EB7F">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7CB12CE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6.1.5</w:t>
            </w:r>
          </w:p>
        </w:tc>
        <w:tc>
          <w:tcPr>
            <w:tcW w:w="744" w:type="dxa"/>
            <w:noWrap w:val="0"/>
            <w:vAlign w:val="center"/>
          </w:tcPr>
          <w:p w14:paraId="6517730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病种管理</w:t>
            </w:r>
          </w:p>
        </w:tc>
        <w:tc>
          <w:tcPr>
            <w:tcW w:w="3945" w:type="dxa"/>
            <w:noWrap w:val="0"/>
            <w:vAlign w:val="center"/>
          </w:tcPr>
          <w:p w14:paraId="1EBE74E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支持按照科室进行创建病种进行分类研究；</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支持通过权限控制用户是否有权限编辑；</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支持病种的增加、删除、修改。</w:t>
            </w:r>
          </w:p>
          <w:p w14:paraId="597649F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支持通过权限控制用户是否有权限编辑；</w:t>
            </w:r>
          </w:p>
          <w:p w14:paraId="44C74A9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支持病种的增加、删除、修改。</w:t>
            </w:r>
          </w:p>
        </w:tc>
        <w:tc>
          <w:tcPr>
            <w:tcW w:w="977" w:type="dxa"/>
            <w:noWrap/>
            <w:vAlign w:val="center"/>
          </w:tcPr>
          <w:p w14:paraId="302DA336">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4720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28" w:type="dxa"/>
            <w:vMerge w:val="continue"/>
            <w:noWrap w:val="0"/>
            <w:vAlign w:val="center"/>
          </w:tcPr>
          <w:p w14:paraId="25415776">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3E43E86E">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0E57FBEC">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64F77F5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6.1.6</w:t>
            </w:r>
          </w:p>
        </w:tc>
        <w:tc>
          <w:tcPr>
            <w:tcW w:w="744" w:type="dxa"/>
            <w:noWrap w:val="0"/>
            <w:vAlign w:val="center"/>
          </w:tcPr>
          <w:p w14:paraId="0CF9219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患者管理</w:t>
            </w:r>
          </w:p>
        </w:tc>
        <w:tc>
          <w:tcPr>
            <w:tcW w:w="3945" w:type="dxa"/>
            <w:noWrap w:val="0"/>
            <w:vAlign w:val="center"/>
          </w:tcPr>
          <w:p w14:paraId="0CB35FB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支持查看患者基本信息，包括姓名、年龄、民族、性别、身份证等信息；</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支持查看患者画像，包括就诊记录、诊断、入院时间、年龄、检查报告、检验报告等。</w:t>
            </w:r>
          </w:p>
        </w:tc>
        <w:tc>
          <w:tcPr>
            <w:tcW w:w="977" w:type="dxa"/>
            <w:noWrap/>
            <w:vAlign w:val="center"/>
          </w:tcPr>
          <w:p w14:paraId="2567F189">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9900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28" w:type="dxa"/>
            <w:vMerge w:val="continue"/>
            <w:noWrap w:val="0"/>
            <w:vAlign w:val="center"/>
          </w:tcPr>
          <w:p w14:paraId="7E1E02FA">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3E3AF7C6">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3BFF9114">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27CB978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6.1.7</w:t>
            </w:r>
          </w:p>
        </w:tc>
        <w:tc>
          <w:tcPr>
            <w:tcW w:w="744" w:type="dxa"/>
            <w:noWrap w:val="0"/>
            <w:vAlign w:val="center"/>
          </w:tcPr>
          <w:p w14:paraId="71345C3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CRF管理</w:t>
            </w:r>
          </w:p>
        </w:tc>
        <w:tc>
          <w:tcPr>
            <w:tcW w:w="3945" w:type="dxa"/>
            <w:noWrap w:val="0"/>
            <w:vAlign w:val="center"/>
          </w:tcPr>
          <w:p w14:paraId="2DA7DDD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维护表单中使用的字典。</w:t>
            </w:r>
          </w:p>
          <w:p w14:paraId="221C0B1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维护表单中的元素可使用的控件类型。</w:t>
            </w:r>
          </w:p>
          <w:p w14:paraId="72AF8E3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自定义模板设计，可以自由设计表单样式，可以绑定数据源等。</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支持CRF表单的数据自动抽取和手工选择抽取；</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支持一个模板重新抽取数据；支持一个患者重新抽取数据。</w:t>
            </w:r>
          </w:p>
          <w:p w14:paraId="5EE6C43B">
            <w:pPr>
              <w:pageBreakBefore w:val="0"/>
              <w:wordWrap/>
              <w:overflowPunct/>
              <w:topLinePunct w:val="0"/>
              <w:bidi w:val="0"/>
              <w:spacing w:line="360" w:lineRule="auto"/>
              <w:rPr>
                <w:rFonts w:hint="eastAsia" w:ascii="仿宋" w:hAnsi="仿宋" w:eastAsia="仿宋" w:cs="仿宋"/>
                <w:b/>
                <w:bCs/>
                <w:color w:val="000000"/>
                <w:sz w:val="24"/>
                <w:szCs w:val="24"/>
              </w:rPr>
            </w:pPr>
            <w:r>
              <w:rPr>
                <w:rFonts w:hint="eastAsia" w:ascii="仿宋" w:hAnsi="仿宋" w:eastAsia="仿宋" w:cs="仿宋"/>
                <w:color w:val="000000"/>
                <w:sz w:val="24"/>
                <w:szCs w:val="24"/>
              </w:rPr>
              <w:t>支持CRF表单自定义样式；支持导出电子表格；支持对抽取后的数据二次修改。</w:t>
            </w:r>
          </w:p>
        </w:tc>
        <w:tc>
          <w:tcPr>
            <w:tcW w:w="977" w:type="dxa"/>
            <w:noWrap/>
            <w:vAlign w:val="center"/>
          </w:tcPr>
          <w:p w14:paraId="7E7810FC">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411D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28" w:type="dxa"/>
            <w:vMerge w:val="continue"/>
            <w:noWrap w:val="0"/>
            <w:vAlign w:val="center"/>
          </w:tcPr>
          <w:p w14:paraId="4E1D74B3">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5BC78BFD">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43FED24C">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03F0500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6.1.8</w:t>
            </w:r>
          </w:p>
        </w:tc>
        <w:tc>
          <w:tcPr>
            <w:tcW w:w="744" w:type="dxa"/>
            <w:noWrap w:val="0"/>
            <w:vAlign w:val="center"/>
          </w:tcPr>
          <w:p w14:paraId="425D0F1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系统管理</w:t>
            </w:r>
          </w:p>
        </w:tc>
        <w:tc>
          <w:tcPr>
            <w:tcW w:w="3945" w:type="dxa"/>
            <w:noWrap w:val="0"/>
            <w:vAlign w:val="center"/>
          </w:tcPr>
          <w:p w14:paraId="625DAAE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支持维护系统菜单，支持菜单图标设置，支持菜单地址编辑，支持排序，支持设置启用。</w:t>
            </w:r>
          </w:p>
          <w:p w14:paraId="583C77B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支持新建用户，支持绑定科室人员，支持授权角色，支持重置密码。</w:t>
            </w:r>
          </w:p>
          <w:p w14:paraId="5288E6C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支持查看各个科室的信息，支持查看各个科室的用户情况。</w:t>
            </w:r>
          </w:p>
          <w:p w14:paraId="2300ED1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支持维护角色，支持授权菜单，支持授权数据，支持设置首页。</w:t>
            </w:r>
          </w:p>
          <w:p w14:paraId="6517CEE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支持系统级别的数据字典维护。</w:t>
            </w:r>
          </w:p>
        </w:tc>
        <w:tc>
          <w:tcPr>
            <w:tcW w:w="977" w:type="dxa"/>
            <w:noWrap/>
            <w:vAlign w:val="center"/>
          </w:tcPr>
          <w:p w14:paraId="49B20BD7">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8E2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6" w:hRule="atLeast"/>
        </w:trPr>
        <w:tc>
          <w:tcPr>
            <w:tcW w:w="928" w:type="dxa"/>
            <w:vMerge w:val="continue"/>
            <w:noWrap w:val="0"/>
            <w:vAlign w:val="center"/>
          </w:tcPr>
          <w:p w14:paraId="5213DC5E">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restart"/>
            <w:noWrap w:val="0"/>
            <w:vAlign w:val="center"/>
          </w:tcPr>
          <w:p w14:paraId="1DC314F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6.2</w:t>
            </w:r>
          </w:p>
        </w:tc>
        <w:tc>
          <w:tcPr>
            <w:tcW w:w="812" w:type="dxa"/>
            <w:vMerge w:val="restart"/>
            <w:noWrap w:val="0"/>
            <w:vAlign w:val="center"/>
          </w:tcPr>
          <w:p w14:paraId="4C8E5ED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专病预处理调度引擎</w:t>
            </w:r>
          </w:p>
        </w:tc>
        <w:tc>
          <w:tcPr>
            <w:tcW w:w="1022" w:type="dxa"/>
            <w:noWrap w:val="0"/>
            <w:vAlign w:val="center"/>
          </w:tcPr>
          <w:p w14:paraId="30FDAF2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6.2.1</w:t>
            </w:r>
          </w:p>
        </w:tc>
        <w:tc>
          <w:tcPr>
            <w:tcW w:w="744" w:type="dxa"/>
            <w:noWrap w:val="0"/>
            <w:vAlign w:val="center"/>
          </w:tcPr>
          <w:p w14:paraId="1A0D920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数据抽取管理</w:t>
            </w:r>
          </w:p>
        </w:tc>
        <w:tc>
          <w:tcPr>
            <w:tcW w:w="3945" w:type="dxa"/>
            <w:noWrap w:val="0"/>
            <w:vAlign w:val="center"/>
          </w:tcPr>
          <w:p w14:paraId="6804C63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6.2.1</w:t>
            </w:r>
            <w:r>
              <w:rPr>
                <w:rFonts w:hint="eastAsia" w:ascii="仿宋" w:hAnsi="仿宋" w:eastAsia="仿宋" w:cs="仿宋"/>
                <w:color w:val="000000"/>
                <w:sz w:val="24"/>
                <w:szCs w:val="24"/>
              </w:rPr>
              <w:t>对数据进行T+1定时抽取，包括患者基本信息，入院情况、检查报告、检验报告、入院记录、出院记录、生命体征、手术记录、医嘱、诊断记录等；支持重要数据资产管理；</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6.2.2</w:t>
            </w:r>
            <w:r>
              <w:rPr>
                <w:rFonts w:hint="eastAsia" w:ascii="仿宋" w:hAnsi="仿宋" w:eastAsia="仿宋" w:cs="仿宋"/>
                <w:color w:val="000000"/>
                <w:sz w:val="24"/>
                <w:szCs w:val="24"/>
              </w:rPr>
              <w:t>支持所有用药数据的抽取和分析，</w:t>
            </w:r>
          </w:p>
        </w:tc>
        <w:tc>
          <w:tcPr>
            <w:tcW w:w="977" w:type="dxa"/>
            <w:noWrap/>
            <w:vAlign w:val="center"/>
          </w:tcPr>
          <w:p w14:paraId="6FCE8D21">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否</w:t>
            </w:r>
          </w:p>
        </w:tc>
      </w:tr>
      <w:tr w14:paraId="256E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928" w:type="dxa"/>
            <w:vMerge w:val="continue"/>
            <w:noWrap w:val="0"/>
            <w:vAlign w:val="center"/>
          </w:tcPr>
          <w:p w14:paraId="54EAC369">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62972043">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0F6555E5">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7F223A3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6.2.2</w:t>
            </w:r>
          </w:p>
        </w:tc>
        <w:tc>
          <w:tcPr>
            <w:tcW w:w="744" w:type="dxa"/>
            <w:noWrap w:val="0"/>
            <w:vAlign w:val="center"/>
          </w:tcPr>
          <w:p w14:paraId="75C343B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数据治理管理</w:t>
            </w:r>
          </w:p>
        </w:tc>
        <w:tc>
          <w:tcPr>
            <w:tcW w:w="3945" w:type="dxa"/>
            <w:noWrap w:val="0"/>
            <w:vAlign w:val="center"/>
          </w:tcPr>
          <w:p w14:paraId="2D9472B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支持空值处理，将信息表中的属性分为数值属性和非数值属性来分别进行处理；</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支持规范数据格式，建立集中、规范统一的基础数据标准；</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支持拆分数据，以提高创建索引和顺序扫描的效率；</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支持自动类型转换与强制类型转换；</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支持在建模中数据过滤；</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支持字段合并，把可进行连接的两个或多个字段按照一定的规则进行合并；</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支持数据标准化、对敏感信息进行脱敏处理，确保患者隐私信息不出现在科研数据中心，保护患者隐私、在线可视化实现数据的清洗转换。</w:t>
            </w:r>
          </w:p>
        </w:tc>
        <w:tc>
          <w:tcPr>
            <w:tcW w:w="977" w:type="dxa"/>
            <w:noWrap/>
            <w:vAlign w:val="center"/>
          </w:tcPr>
          <w:p w14:paraId="6D3AC53F">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745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 w:type="dxa"/>
            <w:vMerge w:val="continue"/>
            <w:noWrap w:val="0"/>
            <w:vAlign w:val="center"/>
          </w:tcPr>
          <w:p w14:paraId="57BFEEB4">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6830C21C">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40D57EC0">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3E54FA2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6.2.3</w:t>
            </w:r>
          </w:p>
        </w:tc>
        <w:tc>
          <w:tcPr>
            <w:tcW w:w="744" w:type="dxa"/>
            <w:noWrap w:val="0"/>
            <w:vAlign w:val="center"/>
          </w:tcPr>
          <w:p w14:paraId="4E35AD5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调度引擎管理</w:t>
            </w:r>
          </w:p>
        </w:tc>
        <w:tc>
          <w:tcPr>
            <w:tcW w:w="3945" w:type="dxa"/>
            <w:noWrap w:val="0"/>
            <w:vAlign w:val="center"/>
          </w:tcPr>
          <w:p w14:paraId="66F7F7D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根据定时规则进行调度作业抽取或整合执行各类任务。</w:t>
            </w:r>
          </w:p>
        </w:tc>
        <w:tc>
          <w:tcPr>
            <w:tcW w:w="977" w:type="dxa"/>
            <w:noWrap/>
            <w:vAlign w:val="center"/>
          </w:tcPr>
          <w:p w14:paraId="418A1B28">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2D8C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2" w:hRule="atLeast"/>
        </w:trPr>
        <w:tc>
          <w:tcPr>
            <w:tcW w:w="928" w:type="dxa"/>
            <w:vMerge w:val="continue"/>
            <w:noWrap w:val="0"/>
            <w:vAlign w:val="center"/>
          </w:tcPr>
          <w:p w14:paraId="4DDDE1D8">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122318E0">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0511BAD8">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22278E0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6.2.4</w:t>
            </w:r>
          </w:p>
        </w:tc>
        <w:tc>
          <w:tcPr>
            <w:tcW w:w="744" w:type="dxa"/>
            <w:noWrap w:val="0"/>
            <w:vAlign w:val="center"/>
          </w:tcPr>
          <w:p w14:paraId="494E07C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数据模型管理</w:t>
            </w:r>
          </w:p>
        </w:tc>
        <w:tc>
          <w:tcPr>
            <w:tcW w:w="3945" w:type="dxa"/>
            <w:noWrap w:val="0"/>
            <w:vAlign w:val="center"/>
          </w:tcPr>
          <w:p w14:paraId="13CFA44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支持cron表达式制定更加自由的设置调度时间。</w:t>
            </w:r>
          </w:p>
          <w:p w14:paraId="2CD6338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支持不同主流数据源链接。</w:t>
            </w:r>
          </w:p>
          <w:p w14:paraId="34FD0EF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支持数据抽取日志记录及下载日志。</w:t>
            </w:r>
          </w:p>
          <w:p w14:paraId="3D3304D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根据数据质量进行分类形成有效数据资产;</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提供合理数据资产展示，通过处理和并入有效数据资产。</w:t>
            </w:r>
          </w:p>
          <w:p w14:paraId="1698267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根据业务需求生成特定环境的主题数据模型。</w:t>
            </w:r>
          </w:p>
          <w:p w14:paraId="4F1E60C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支持可视化数据抽取工具。</w:t>
            </w:r>
          </w:p>
        </w:tc>
        <w:tc>
          <w:tcPr>
            <w:tcW w:w="977" w:type="dxa"/>
            <w:noWrap/>
            <w:vAlign w:val="center"/>
          </w:tcPr>
          <w:p w14:paraId="3BD96116">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69F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28" w:type="dxa"/>
            <w:vMerge w:val="continue"/>
            <w:noWrap w:val="0"/>
            <w:vAlign w:val="center"/>
          </w:tcPr>
          <w:p w14:paraId="309CA91F">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restart"/>
            <w:noWrap w:val="0"/>
            <w:vAlign w:val="center"/>
          </w:tcPr>
          <w:p w14:paraId="2F47098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6.3</w:t>
            </w:r>
          </w:p>
        </w:tc>
        <w:tc>
          <w:tcPr>
            <w:tcW w:w="812" w:type="dxa"/>
            <w:vMerge w:val="restart"/>
            <w:noWrap w:val="0"/>
            <w:vAlign w:val="center"/>
          </w:tcPr>
          <w:p w14:paraId="59BD1E3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专病空间检索与阅览</w:t>
            </w:r>
          </w:p>
        </w:tc>
        <w:tc>
          <w:tcPr>
            <w:tcW w:w="1022" w:type="dxa"/>
            <w:noWrap w:val="0"/>
            <w:vAlign w:val="center"/>
          </w:tcPr>
          <w:p w14:paraId="367AB1C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6.3.1</w:t>
            </w:r>
          </w:p>
        </w:tc>
        <w:tc>
          <w:tcPr>
            <w:tcW w:w="744" w:type="dxa"/>
            <w:noWrap w:val="0"/>
            <w:vAlign w:val="center"/>
          </w:tcPr>
          <w:p w14:paraId="11EDD67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患者智能筛选</w:t>
            </w:r>
          </w:p>
        </w:tc>
        <w:tc>
          <w:tcPr>
            <w:tcW w:w="3945" w:type="dxa"/>
            <w:noWrap w:val="0"/>
            <w:vAlign w:val="center"/>
          </w:tcPr>
          <w:p w14:paraId="4B9BA1F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支持复杂条件的选择对专病库进行数据二次筛选，包括不同数据模型中的并且和或者的关系，独立查询与分组查询，通过不同维度的时间比对查询，首次、末次、每一次的查询。</w:t>
            </w:r>
          </w:p>
        </w:tc>
        <w:tc>
          <w:tcPr>
            <w:tcW w:w="977" w:type="dxa"/>
            <w:noWrap/>
            <w:vAlign w:val="center"/>
          </w:tcPr>
          <w:p w14:paraId="7B40EE95">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25B3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28" w:type="dxa"/>
            <w:vMerge w:val="continue"/>
            <w:noWrap w:val="0"/>
            <w:vAlign w:val="center"/>
          </w:tcPr>
          <w:p w14:paraId="2227AAFF">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10271CF7">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71297DC6">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4C4022B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6.3.2</w:t>
            </w:r>
          </w:p>
        </w:tc>
        <w:tc>
          <w:tcPr>
            <w:tcW w:w="744" w:type="dxa"/>
            <w:noWrap w:val="0"/>
            <w:vAlign w:val="center"/>
          </w:tcPr>
          <w:p w14:paraId="66989CB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患者智能入组</w:t>
            </w:r>
          </w:p>
        </w:tc>
        <w:tc>
          <w:tcPr>
            <w:tcW w:w="3945" w:type="dxa"/>
            <w:noWrap w:val="0"/>
            <w:vAlign w:val="center"/>
          </w:tcPr>
          <w:p w14:paraId="6E05414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支持查看患者基本信息；包括姓名、年龄、民族、性别、身份证等信息；</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支持查看患者画像，包括就诊记录、诊断、入院时间、年龄、检查报告、检验报告等。</w:t>
            </w:r>
          </w:p>
        </w:tc>
        <w:tc>
          <w:tcPr>
            <w:tcW w:w="977" w:type="dxa"/>
            <w:noWrap/>
            <w:vAlign w:val="center"/>
          </w:tcPr>
          <w:p w14:paraId="59F79FBF">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AB6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trPr>
        <w:tc>
          <w:tcPr>
            <w:tcW w:w="928" w:type="dxa"/>
            <w:vMerge w:val="continue"/>
            <w:noWrap w:val="0"/>
            <w:vAlign w:val="center"/>
          </w:tcPr>
          <w:p w14:paraId="350C7872">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7C0FD2EE">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62453FDF">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vMerge w:val="restart"/>
            <w:noWrap w:val="0"/>
            <w:vAlign w:val="center"/>
          </w:tcPr>
          <w:p w14:paraId="0113215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6.3.3</w:t>
            </w:r>
          </w:p>
        </w:tc>
        <w:tc>
          <w:tcPr>
            <w:tcW w:w="744" w:type="dxa"/>
            <w:vMerge w:val="restart"/>
            <w:noWrap w:val="0"/>
            <w:vAlign w:val="center"/>
          </w:tcPr>
          <w:p w14:paraId="7258B52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患者数据要素</w:t>
            </w:r>
          </w:p>
        </w:tc>
        <w:tc>
          <w:tcPr>
            <w:tcW w:w="3945" w:type="dxa"/>
            <w:noWrap w:val="0"/>
            <w:vAlign w:val="center"/>
          </w:tcPr>
          <w:p w14:paraId="7460095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支持查看患者画像，包括就诊记录、诊断、入院时间、年龄、检查报告、检验报告等。</w:t>
            </w:r>
          </w:p>
          <w:p w14:paraId="52742F27">
            <w:pPr>
              <w:pageBreakBefore w:val="0"/>
              <w:wordWrap/>
              <w:overflowPunct/>
              <w:topLinePunct w:val="0"/>
              <w:bidi w:val="0"/>
              <w:spacing w:line="360" w:lineRule="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支持导出电子表格。</w:t>
            </w:r>
          </w:p>
        </w:tc>
        <w:tc>
          <w:tcPr>
            <w:tcW w:w="977" w:type="dxa"/>
            <w:noWrap/>
            <w:vAlign w:val="center"/>
          </w:tcPr>
          <w:p w14:paraId="595E4B3A">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5001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28" w:type="dxa"/>
            <w:vMerge w:val="continue"/>
            <w:noWrap w:val="0"/>
            <w:vAlign w:val="center"/>
          </w:tcPr>
          <w:p w14:paraId="70615190">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4BA153D3">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24153D6F">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vMerge w:val="restart"/>
            <w:noWrap w:val="0"/>
            <w:vAlign w:val="center"/>
          </w:tcPr>
          <w:p w14:paraId="20BAD3B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6.3.4</w:t>
            </w:r>
          </w:p>
        </w:tc>
        <w:tc>
          <w:tcPr>
            <w:tcW w:w="744" w:type="dxa"/>
            <w:vMerge w:val="restart"/>
            <w:noWrap w:val="0"/>
            <w:vAlign w:val="center"/>
          </w:tcPr>
          <w:p w14:paraId="48E7317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数据阅览与展示</w:t>
            </w:r>
          </w:p>
        </w:tc>
        <w:tc>
          <w:tcPr>
            <w:tcW w:w="3945" w:type="dxa"/>
            <w:noWrap w:val="0"/>
            <w:vAlign w:val="center"/>
          </w:tcPr>
          <w:p w14:paraId="71EBD01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支持查看入组的人员情况，退组一名患者或全部退组。</w:t>
            </w:r>
          </w:p>
        </w:tc>
        <w:tc>
          <w:tcPr>
            <w:tcW w:w="977" w:type="dxa"/>
            <w:noWrap/>
            <w:vAlign w:val="center"/>
          </w:tcPr>
          <w:p w14:paraId="4ADDEF9C">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EF21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28" w:type="dxa"/>
            <w:vMerge w:val="continue"/>
            <w:noWrap w:val="0"/>
            <w:vAlign w:val="center"/>
          </w:tcPr>
          <w:p w14:paraId="501E7C4E">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2AA6002E">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4EC2EFC8">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vMerge w:val="continue"/>
            <w:noWrap w:val="0"/>
            <w:vAlign w:val="center"/>
          </w:tcPr>
          <w:p w14:paraId="73B8E8F2">
            <w:pPr>
              <w:pageBreakBefore w:val="0"/>
              <w:wordWrap/>
              <w:overflowPunct/>
              <w:topLinePunct w:val="0"/>
              <w:bidi w:val="0"/>
              <w:spacing w:line="360" w:lineRule="auto"/>
              <w:rPr>
                <w:rFonts w:hint="eastAsia" w:ascii="仿宋" w:hAnsi="仿宋" w:eastAsia="仿宋" w:cs="仿宋"/>
                <w:color w:val="000000"/>
                <w:sz w:val="24"/>
                <w:szCs w:val="24"/>
              </w:rPr>
            </w:pPr>
          </w:p>
        </w:tc>
        <w:tc>
          <w:tcPr>
            <w:tcW w:w="744" w:type="dxa"/>
            <w:vMerge w:val="continue"/>
            <w:noWrap w:val="0"/>
            <w:vAlign w:val="center"/>
          </w:tcPr>
          <w:p w14:paraId="538F73F4">
            <w:pPr>
              <w:pageBreakBefore w:val="0"/>
              <w:wordWrap/>
              <w:overflowPunct/>
              <w:topLinePunct w:val="0"/>
              <w:bidi w:val="0"/>
              <w:spacing w:line="360" w:lineRule="auto"/>
              <w:rPr>
                <w:rFonts w:hint="eastAsia" w:ascii="仿宋" w:hAnsi="仿宋" w:eastAsia="仿宋" w:cs="仿宋"/>
                <w:color w:val="000000"/>
                <w:sz w:val="24"/>
                <w:szCs w:val="24"/>
              </w:rPr>
            </w:pPr>
          </w:p>
        </w:tc>
        <w:tc>
          <w:tcPr>
            <w:tcW w:w="3945" w:type="dxa"/>
            <w:noWrap w:val="0"/>
            <w:vAlign w:val="center"/>
          </w:tcPr>
          <w:p w14:paraId="368C343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支持查询条件的保存、查询，选用；</w:t>
            </w:r>
          </w:p>
        </w:tc>
        <w:tc>
          <w:tcPr>
            <w:tcW w:w="977" w:type="dxa"/>
            <w:noWrap/>
            <w:vAlign w:val="center"/>
          </w:tcPr>
          <w:p w14:paraId="373F5938">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05B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28" w:type="dxa"/>
            <w:vMerge w:val="continue"/>
            <w:noWrap w:val="0"/>
            <w:vAlign w:val="center"/>
          </w:tcPr>
          <w:p w14:paraId="28418C05">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176745D7">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284403E7">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vMerge w:val="continue"/>
            <w:noWrap w:val="0"/>
            <w:vAlign w:val="center"/>
          </w:tcPr>
          <w:p w14:paraId="7B186B6A">
            <w:pPr>
              <w:pageBreakBefore w:val="0"/>
              <w:wordWrap/>
              <w:overflowPunct/>
              <w:topLinePunct w:val="0"/>
              <w:bidi w:val="0"/>
              <w:spacing w:line="360" w:lineRule="auto"/>
              <w:rPr>
                <w:rFonts w:hint="eastAsia" w:ascii="仿宋" w:hAnsi="仿宋" w:eastAsia="仿宋" w:cs="仿宋"/>
                <w:color w:val="000000"/>
                <w:sz w:val="24"/>
                <w:szCs w:val="24"/>
              </w:rPr>
            </w:pPr>
          </w:p>
        </w:tc>
        <w:tc>
          <w:tcPr>
            <w:tcW w:w="744" w:type="dxa"/>
            <w:vMerge w:val="continue"/>
            <w:noWrap w:val="0"/>
            <w:vAlign w:val="center"/>
          </w:tcPr>
          <w:p w14:paraId="471172A2">
            <w:pPr>
              <w:pageBreakBefore w:val="0"/>
              <w:wordWrap/>
              <w:overflowPunct/>
              <w:topLinePunct w:val="0"/>
              <w:bidi w:val="0"/>
              <w:spacing w:line="360" w:lineRule="auto"/>
              <w:rPr>
                <w:rFonts w:hint="eastAsia" w:ascii="仿宋" w:hAnsi="仿宋" w:eastAsia="仿宋" w:cs="仿宋"/>
                <w:color w:val="000000"/>
                <w:sz w:val="24"/>
                <w:szCs w:val="24"/>
              </w:rPr>
            </w:pPr>
          </w:p>
        </w:tc>
        <w:tc>
          <w:tcPr>
            <w:tcW w:w="3945" w:type="dxa"/>
            <w:noWrap w:val="0"/>
            <w:vAlign w:val="center"/>
          </w:tcPr>
          <w:p w14:paraId="05373C9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支持查询某一名患者的相关全部业务信息；</w:t>
            </w:r>
          </w:p>
        </w:tc>
        <w:tc>
          <w:tcPr>
            <w:tcW w:w="977" w:type="dxa"/>
            <w:noWrap/>
            <w:vAlign w:val="center"/>
          </w:tcPr>
          <w:p w14:paraId="159C1156">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5BF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28" w:type="dxa"/>
            <w:vMerge w:val="continue"/>
            <w:noWrap w:val="0"/>
            <w:vAlign w:val="center"/>
          </w:tcPr>
          <w:p w14:paraId="7B1D5EF1">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1B1660B8">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195D901B">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vMerge w:val="continue"/>
            <w:noWrap w:val="0"/>
            <w:vAlign w:val="center"/>
          </w:tcPr>
          <w:p w14:paraId="6B255294">
            <w:pPr>
              <w:pageBreakBefore w:val="0"/>
              <w:wordWrap/>
              <w:overflowPunct/>
              <w:topLinePunct w:val="0"/>
              <w:bidi w:val="0"/>
              <w:spacing w:line="360" w:lineRule="auto"/>
              <w:rPr>
                <w:rFonts w:hint="eastAsia" w:ascii="仿宋" w:hAnsi="仿宋" w:eastAsia="仿宋" w:cs="仿宋"/>
                <w:color w:val="000000"/>
                <w:sz w:val="24"/>
                <w:szCs w:val="24"/>
              </w:rPr>
            </w:pPr>
          </w:p>
        </w:tc>
        <w:tc>
          <w:tcPr>
            <w:tcW w:w="744" w:type="dxa"/>
            <w:vMerge w:val="continue"/>
            <w:noWrap w:val="0"/>
            <w:vAlign w:val="center"/>
          </w:tcPr>
          <w:p w14:paraId="6864017B">
            <w:pPr>
              <w:pageBreakBefore w:val="0"/>
              <w:wordWrap/>
              <w:overflowPunct/>
              <w:topLinePunct w:val="0"/>
              <w:bidi w:val="0"/>
              <w:spacing w:line="360" w:lineRule="auto"/>
              <w:rPr>
                <w:rFonts w:hint="eastAsia" w:ascii="仿宋" w:hAnsi="仿宋" w:eastAsia="仿宋" w:cs="仿宋"/>
                <w:color w:val="000000"/>
                <w:sz w:val="24"/>
                <w:szCs w:val="24"/>
              </w:rPr>
            </w:pPr>
          </w:p>
        </w:tc>
        <w:tc>
          <w:tcPr>
            <w:tcW w:w="3945" w:type="dxa"/>
            <w:noWrap w:val="0"/>
            <w:vAlign w:val="center"/>
          </w:tcPr>
          <w:p w14:paraId="79ED001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支持导出电子表格；</w:t>
            </w:r>
          </w:p>
        </w:tc>
        <w:tc>
          <w:tcPr>
            <w:tcW w:w="977" w:type="dxa"/>
            <w:noWrap/>
            <w:vAlign w:val="center"/>
          </w:tcPr>
          <w:p w14:paraId="54144C20">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6FF7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928" w:type="dxa"/>
            <w:vMerge w:val="continue"/>
            <w:noWrap w:val="0"/>
            <w:vAlign w:val="center"/>
          </w:tcPr>
          <w:p w14:paraId="0FE67149">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6CD99835">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55E4E3E6">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19246F7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6.3.5</w:t>
            </w:r>
          </w:p>
        </w:tc>
        <w:tc>
          <w:tcPr>
            <w:tcW w:w="744" w:type="dxa"/>
            <w:noWrap w:val="0"/>
            <w:vAlign w:val="center"/>
          </w:tcPr>
          <w:p w14:paraId="0EC7979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样本库管理</w:t>
            </w:r>
          </w:p>
        </w:tc>
        <w:tc>
          <w:tcPr>
            <w:tcW w:w="3945" w:type="dxa"/>
            <w:noWrap w:val="0"/>
            <w:vAlign w:val="center"/>
          </w:tcPr>
          <w:p w14:paraId="15604AA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6.3.5.1</w:t>
            </w:r>
            <w:r>
              <w:rPr>
                <w:rFonts w:hint="eastAsia" w:ascii="仿宋" w:hAnsi="仿宋" w:eastAsia="仿宋" w:cs="仿宋"/>
                <w:color w:val="000000"/>
                <w:sz w:val="24"/>
                <w:szCs w:val="24"/>
              </w:rPr>
              <w:t>支持查看各个项目中创建好的样本，可修改样本的条件或字段，帮助科室人员更好的制作样本；</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6.3.4.2</w:t>
            </w:r>
            <w:r>
              <w:rPr>
                <w:rFonts w:hint="eastAsia" w:ascii="仿宋" w:hAnsi="仿宋" w:eastAsia="仿宋" w:cs="仿宋"/>
                <w:color w:val="000000"/>
                <w:sz w:val="24"/>
                <w:szCs w:val="24"/>
              </w:rPr>
              <w:t>支持样本的增加、删除和修改，对数据样本进行分析决策</w:t>
            </w:r>
          </w:p>
        </w:tc>
        <w:tc>
          <w:tcPr>
            <w:tcW w:w="977" w:type="dxa"/>
            <w:noWrap/>
            <w:vAlign w:val="center"/>
          </w:tcPr>
          <w:p w14:paraId="40D089C4">
            <w:pPr>
              <w:pageBreakBefore w:val="0"/>
              <w:wordWrap/>
              <w:overflowPunct/>
              <w:topLinePunct w:val="0"/>
              <w:bidi w:val="0"/>
              <w:spacing w:line="360" w:lineRule="auto"/>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否</w:t>
            </w:r>
          </w:p>
        </w:tc>
      </w:tr>
      <w:tr w14:paraId="433AD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1" w:hRule="atLeast"/>
        </w:trPr>
        <w:tc>
          <w:tcPr>
            <w:tcW w:w="928" w:type="dxa"/>
            <w:vMerge w:val="continue"/>
            <w:noWrap w:val="0"/>
            <w:vAlign w:val="center"/>
          </w:tcPr>
          <w:p w14:paraId="108CB4C7">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36E7293D">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435EDBC5">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23944AF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6.3.6</w:t>
            </w:r>
          </w:p>
        </w:tc>
        <w:tc>
          <w:tcPr>
            <w:tcW w:w="744" w:type="dxa"/>
            <w:noWrap w:val="0"/>
            <w:vAlign w:val="center"/>
          </w:tcPr>
          <w:p w14:paraId="36B7442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数据模型</w:t>
            </w:r>
          </w:p>
        </w:tc>
        <w:tc>
          <w:tcPr>
            <w:tcW w:w="3945" w:type="dxa"/>
            <w:noWrap w:val="0"/>
            <w:vAlign w:val="center"/>
          </w:tcPr>
          <w:p w14:paraId="2BF64A6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支持新建模型，修改模型，删除模型；</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支持是否启用，支持总数是否读取。支持设置使用权限。</w:t>
            </w:r>
          </w:p>
          <w:p w14:paraId="5982843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模型字段支持设置主键，支持设置中文名称；</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支持字段类型修改，支持控件类型修改，支持设置数据字段，支持设置编码表关联，支持启用设置，支持排序。</w:t>
            </w:r>
          </w:p>
          <w:p w14:paraId="356F07B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模型类别维护支持新增，修改，删除模型类别，支持启用设置，支持权限设置；</w:t>
            </w:r>
          </w:p>
          <w:p w14:paraId="738D007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字段类型维护支持维护控件类型；</w:t>
            </w:r>
          </w:p>
          <w:p w14:paraId="237F7FA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数据字典维护支持数据字典的创建，修改和删除，支持启用设置，支持排序；</w:t>
            </w:r>
          </w:p>
        </w:tc>
        <w:tc>
          <w:tcPr>
            <w:tcW w:w="977" w:type="dxa"/>
            <w:noWrap/>
            <w:vAlign w:val="center"/>
          </w:tcPr>
          <w:p w14:paraId="043928B2">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8CA6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 w:type="dxa"/>
            <w:vMerge w:val="continue"/>
            <w:noWrap w:val="0"/>
            <w:vAlign w:val="center"/>
          </w:tcPr>
          <w:p w14:paraId="220E9402">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3655A71B">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3B842404">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2A9E146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6.3.7</w:t>
            </w:r>
          </w:p>
        </w:tc>
        <w:tc>
          <w:tcPr>
            <w:tcW w:w="744" w:type="dxa"/>
            <w:noWrap w:val="0"/>
            <w:vAlign w:val="center"/>
          </w:tcPr>
          <w:p w14:paraId="6D127D5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数据条件保存</w:t>
            </w:r>
          </w:p>
        </w:tc>
        <w:tc>
          <w:tcPr>
            <w:tcW w:w="3945" w:type="dxa"/>
            <w:noWrap w:val="0"/>
            <w:vAlign w:val="center"/>
          </w:tcPr>
          <w:p w14:paraId="643E4D7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支持查询条件另存；</w:t>
            </w:r>
          </w:p>
        </w:tc>
        <w:tc>
          <w:tcPr>
            <w:tcW w:w="977" w:type="dxa"/>
            <w:noWrap/>
            <w:vAlign w:val="center"/>
          </w:tcPr>
          <w:p w14:paraId="5954387A">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1D3A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928" w:type="dxa"/>
            <w:vMerge w:val="continue"/>
            <w:noWrap w:val="0"/>
            <w:vAlign w:val="center"/>
          </w:tcPr>
          <w:p w14:paraId="2EBFD21E">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5936D843">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2CEFB098">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72FA240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6.3.8</w:t>
            </w:r>
          </w:p>
        </w:tc>
        <w:tc>
          <w:tcPr>
            <w:tcW w:w="744" w:type="dxa"/>
            <w:noWrap w:val="0"/>
            <w:vAlign w:val="center"/>
          </w:tcPr>
          <w:p w14:paraId="1B95DEA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CRF数据检索与阅览</w:t>
            </w:r>
          </w:p>
        </w:tc>
        <w:tc>
          <w:tcPr>
            <w:tcW w:w="3945" w:type="dxa"/>
            <w:noWrap w:val="0"/>
            <w:vAlign w:val="center"/>
          </w:tcPr>
          <w:p w14:paraId="3CF8AE6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支持CRF表单的数据自动抽取和手工选择抽取；</w:t>
            </w:r>
          </w:p>
          <w:p w14:paraId="27FFEA3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支持一个模板重新抽取数据。</w:t>
            </w:r>
          </w:p>
          <w:p w14:paraId="7AA0FD1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支持一个患者重新抽取数据。</w:t>
            </w:r>
          </w:p>
          <w:p w14:paraId="3742716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支持CRF表单自定义样式。</w:t>
            </w:r>
          </w:p>
          <w:p w14:paraId="7973699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支持CRF表格自定义样式；</w:t>
            </w:r>
          </w:p>
        </w:tc>
        <w:tc>
          <w:tcPr>
            <w:tcW w:w="977" w:type="dxa"/>
            <w:noWrap/>
            <w:vAlign w:val="center"/>
          </w:tcPr>
          <w:p w14:paraId="579E2733">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659E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 w:type="dxa"/>
            <w:vMerge w:val="continue"/>
            <w:noWrap w:val="0"/>
            <w:vAlign w:val="center"/>
          </w:tcPr>
          <w:p w14:paraId="12115951">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restart"/>
            <w:noWrap w:val="0"/>
            <w:vAlign w:val="center"/>
          </w:tcPr>
          <w:p w14:paraId="5BF740F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6.4</w:t>
            </w:r>
          </w:p>
        </w:tc>
        <w:tc>
          <w:tcPr>
            <w:tcW w:w="812" w:type="dxa"/>
            <w:vMerge w:val="restart"/>
            <w:noWrap w:val="0"/>
            <w:vAlign w:val="center"/>
          </w:tcPr>
          <w:p w14:paraId="50BA0E0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专病数据溯源</w:t>
            </w:r>
          </w:p>
        </w:tc>
        <w:tc>
          <w:tcPr>
            <w:tcW w:w="1022" w:type="dxa"/>
            <w:noWrap w:val="0"/>
            <w:vAlign w:val="center"/>
          </w:tcPr>
          <w:p w14:paraId="3C88B4C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6.4.1</w:t>
            </w:r>
          </w:p>
        </w:tc>
        <w:tc>
          <w:tcPr>
            <w:tcW w:w="744" w:type="dxa"/>
            <w:noWrap w:val="0"/>
            <w:vAlign w:val="center"/>
          </w:tcPr>
          <w:p w14:paraId="2005B0C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数据抽取日志</w:t>
            </w:r>
          </w:p>
        </w:tc>
        <w:tc>
          <w:tcPr>
            <w:tcW w:w="3945" w:type="dxa"/>
            <w:noWrap w:val="0"/>
            <w:vAlign w:val="center"/>
          </w:tcPr>
          <w:p w14:paraId="26E8AD5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支持数据抽取日志记录及下载日志；</w:t>
            </w:r>
          </w:p>
        </w:tc>
        <w:tc>
          <w:tcPr>
            <w:tcW w:w="977" w:type="dxa"/>
            <w:noWrap/>
            <w:vAlign w:val="center"/>
          </w:tcPr>
          <w:p w14:paraId="229AEF1F">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5D4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1" w:hRule="atLeast"/>
        </w:trPr>
        <w:tc>
          <w:tcPr>
            <w:tcW w:w="928" w:type="dxa"/>
            <w:vMerge w:val="continue"/>
            <w:noWrap w:val="0"/>
            <w:vAlign w:val="center"/>
          </w:tcPr>
          <w:p w14:paraId="7C0A4ADE">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47EA51DA">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2E09111C">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1D62E97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6.4.2</w:t>
            </w:r>
          </w:p>
        </w:tc>
        <w:tc>
          <w:tcPr>
            <w:tcW w:w="744" w:type="dxa"/>
            <w:noWrap w:val="0"/>
            <w:vAlign w:val="center"/>
          </w:tcPr>
          <w:p w14:paraId="48A2F48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数据全流程审批和溯源</w:t>
            </w:r>
          </w:p>
        </w:tc>
        <w:tc>
          <w:tcPr>
            <w:tcW w:w="3945" w:type="dxa"/>
            <w:noWrap w:val="0"/>
            <w:vAlign w:val="center"/>
          </w:tcPr>
          <w:p w14:paraId="48ABC63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6.4.2.1</w:t>
            </w:r>
            <w:r>
              <w:rPr>
                <w:rFonts w:hint="eastAsia" w:ascii="仿宋" w:hAnsi="仿宋" w:eastAsia="仿宋" w:cs="仿宋"/>
                <w:color w:val="000000"/>
                <w:sz w:val="24"/>
                <w:szCs w:val="24"/>
              </w:rPr>
              <w:t>支持调整流程各节点内容及流转顺序，实现自定义流程功能；支持多人审批；</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lang w:val="en-US" w:eastAsia="zh-CN"/>
              </w:rPr>
              <w:t>6.4.2.2</w:t>
            </w:r>
            <w:r>
              <w:rPr>
                <w:rFonts w:hint="eastAsia" w:ascii="仿宋" w:hAnsi="仿宋" w:eastAsia="仿宋" w:cs="仿宋"/>
                <w:color w:val="000000"/>
                <w:sz w:val="24"/>
                <w:szCs w:val="24"/>
              </w:rPr>
              <w:t>支持指定参与人审批，流转中支持审批、退回、终止；</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lang w:val="en-US" w:eastAsia="zh-CN"/>
              </w:rPr>
              <w:t>6.4.2.3</w:t>
            </w:r>
            <w:r>
              <w:rPr>
                <w:rFonts w:hint="eastAsia" w:ascii="仿宋" w:hAnsi="仿宋" w:eastAsia="仿宋" w:cs="仿宋"/>
                <w:color w:val="000000"/>
                <w:sz w:val="24"/>
                <w:szCs w:val="24"/>
              </w:rPr>
              <w:t>持对流转事项的查看，包括我的申请、待办事项、已办事项、办结事项、提醒等功能。</w:t>
            </w:r>
          </w:p>
          <w:p w14:paraId="705C659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6.4.2.4</w:t>
            </w:r>
            <w:r>
              <w:rPr>
                <w:rFonts w:hint="eastAsia" w:ascii="仿宋" w:hAnsi="仿宋" w:eastAsia="仿宋" w:cs="仿宋"/>
                <w:color w:val="000000"/>
                <w:sz w:val="24"/>
                <w:szCs w:val="24"/>
              </w:rPr>
              <w:t>支持通过多条件组合筛选数据的功能；支持根据权限浏览数据模型的功能；支持预览显示数据，支持通过配置设置是否显示数据总量；</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支持查询某一名患者的相关全部业务信息。</w:t>
            </w:r>
          </w:p>
          <w:p w14:paraId="22EE1B1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6.4.2.5</w:t>
            </w:r>
            <w:r>
              <w:rPr>
                <w:rFonts w:hint="eastAsia" w:ascii="仿宋" w:hAnsi="仿宋" w:eastAsia="仿宋" w:cs="仿宋"/>
                <w:color w:val="000000"/>
                <w:sz w:val="24"/>
                <w:szCs w:val="24"/>
              </w:rPr>
              <w:t>支持对筛选的数据实时生成数据质量分析；</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支持通过年龄分布、性别分布、科室分布、入院信息数目，显示待申请数据的实际情况；</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lang w:val="en-US" w:eastAsia="zh-CN"/>
              </w:rPr>
              <w:t>6.4.2.6</w:t>
            </w:r>
            <w:r>
              <w:rPr>
                <w:rFonts w:hint="eastAsia" w:ascii="仿宋" w:hAnsi="仿宋" w:eastAsia="仿宋" w:cs="仿宋"/>
                <w:color w:val="000000"/>
                <w:sz w:val="24"/>
                <w:szCs w:val="24"/>
              </w:rPr>
              <w:t>支持实时显示全部数据及已经授权数据的统计分析。</w:t>
            </w:r>
          </w:p>
        </w:tc>
        <w:tc>
          <w:tcPr>
            <w:tcW w:w="977" w:type="dxa"/>
            <w:noWrap/>
            <w:vAlign w:val="center"/>
          </w:tcPr>
          <w:p w14:paraId="43B59ABA">
            <w:pPr>
              <w:pageBreakBefore w:val="0"/>
              <w:wordWrap/>
              <w:overflowPunct/>
              <w:topLinePunct w:val="0"/>
              <w:bidi w:val="0"/>
              <w:spacing w:line="360" w:lineRule="auto"/>
              <w:jc w:val="center"/>
              <w:rPr>
                <w:rFonts w:hint="eastAsia" w:ascii="仿宋" w:hAnsi="仿宋" w:eastAsia="宋体" w:cs="仿宋"/>
                <w:color w:val="000000"/>
                <w:sz w:val="24"/>
                <w:szCs w:val="24"/>
                <w:lang w:eastAsia="zh-CN"/>
              </w:rPr>
            </w:pPr>
            <w:r>
              <w:rPr>
                <w:rFonts w:hint="eastAsia" w:ascii="仿宋" w:hAnsi="仿宋" w:eastAsia="仿宋" w:cs="仿宋"/>
                <w:color w:val="000000"/>
                <w:sz w:val="24"/>
                <w:szCs w:val="24"/>
                <w:lang w:val="en-US" w:eastAsia="zh-CN"/>
              </w:rPr>
              <w:t>否</w:t>
            </w:r>
          </w:p>
        </w:tc>
      </w:tr>
      <w:tr w14:paraId="1C43D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928" w:type="dxa"/>
            <w:vMerge w:val="continue"/>
            <w:noWrap w:val="0"/>
            <w:vAlign w:val="center"/>
          </w:tcPr>
          <w:p w14:paraId="486A3A91">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31E6E462">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477FC9B6">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7BAC2B3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6.4.3</w:t>
            </w:r>
          </w:p>
        </w:tc>
        <w:tc>
          <w:tcPr>
            <w:tcW w:w="744" w:type="dxa"/>
            <w:noWrap w:val="0"/>
            <w:vAlign w:val="center"/>
          </w:tcPr>
          <w:p w14:paraId="5E66FC5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数据流程</w:t>
            </w:r>
          </w:p>
        </w:tc>
        <w:tc>
          <w:tcPr>
            <w:tcW w:w="3945" w:type="dxa"/>
            <w:noWrap w:val="0"/>
            <w:vAlign w:val="center"/>
          </w:tcPr>
          <w:p w14:paraId="59D4D3F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支持申请人设置参与审核的科室负责人员；</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支持相关科室负责人数据授权审核后数据才可使用的原则；</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支持流程正常结束后科研项目生成。</w:t>
            </w:r>
          </w:p>
        </w:tc>
        <w:tc>
          <w:tcPr>
            <w:tcW w:w="977" w:type="dxa"/>
            <w:noWrap/>
            <w:vAlign w:val="center"/>
          </w:tcPr>
          <w:p w14:paraId="365CC64F">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F3D6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 w:type="dxa"/>
            <w:vMerge w:val="continue"/>
            <w:noWrap w:val="0"/>
            <w:vAlign w:val="center"/>
          </w:tcPr>
          <w:p w14:paraId="7A21C955">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restart"/>
            <w:noWrap w:val="0"/>
            <w:vAlign w:val="center"/>
          </w:tcPr>
          <w:p w14:paraId="5D26C9F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6.5</w:t>
            </w:r>
          </w:p>
        </w:tc>
        <w:tc>
          <w:tcPr>
            <w:tcW w:w="812" w:type="dxa"/>
            <w:vMerge w:val="restart"/>
            <w:noWrap w:val="0"/>
            <w:vAlign w:val="center"/>
          </w:tcPr>
          <w:p w14:paraId="5CA6C1F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AI 科研辅助</w:t>
            </w:r>
          </w:p>
        </w:tc>
        <w:tc>
          <w:tcPr>
            <w:tcW w:w="1022" w:type="dxa"/>
            <w:noWrap w:val="0"/>
            <w:vAlign w:val="center"/>
          </w:tcPr>
          <w:p w14:paraId="57379D4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6.5.1</w:t>
            </w:r>
          </w:p>
        </w:tc>
        <w:tc>
          <w:tcPr>
            <w:tcW w:w="744" w:type="dxa"/>
            <w:noWrap w:val="0"/>
            <w:vAlign w:val="center"/>
          </w:tcPr>
          <w:p w14:paraId="6EBF4A6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智能算法分析</w:t>
            </w:r>
          </w:p>
        </w:tc>
        <w:tc>
          <w:tcPr>
            <w:tcW w:w="3945" w:type="dxa"/>
            <w:noWrap/>
            <w:vAlign w:val="center"/>
          </w:tcPr>
          <w:p w14:paraId="55D4FB5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支持对已经制作好的样本进行算法分析。</w:t>
            </w:r>
          </w:p>
        </w:tc>
        <w:tc>
          <w:tcPr>
            <w:tcW w:w="977" w:type="dxa"/>
            <w:noWrap/>
            <w:vAlign w:val="center"/>
          </w:tcPr>
          <w:p w14:paraId="12C0BA21">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C5D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 w:type="dxa"/>
            <w:vMerge w:val="continue"/>
            <w:noWrap w:val="0"/>
            <w:vAlign w:val="center"/>
          </w:tcPr>
          <w:p w14:paraId="77B76383">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34C2F757">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5B777397">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21173B5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6.5.2</w:t>
            </w:r>
          </w:p>
        </w:tc>
        <w:tc>
          <w:tcPr>
            <w:tcW w:w="744" w:type="dxa"/>
            <w:noWrap w:val="0"/>
            <w:vAlign w:val="center"/>
          </w:tcPr>
          <w:p w14:paraId="07F24FD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智能算法因子</w:t>
            </w:r>
          </w:p>
        </w:tc>
        <w:tc>
          <w:tcPr>
            <w:tcW w:w="3945" w:type="dxa"/>
            <w:noWrap w:val="0"/>
            <w:vAlign w:val="center"/>
          </w:tcPr>
          <w:p w14:paraId="5DE7D6A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支持选择不同的分组中不同的因子进行算法分析。</w:t>
            </w:r>
          </w:p>
        </w:tc>
        <w:tc>
          <w:tcPr>
            <w:tcW w:w="977" w:type="dxa"/>
            <w:noWrap/>
            <w:vAlign w:val="center"/>
          </w:tcPr>
          <w:p w14:paraId="3F79C3C3">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B67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28" w:type="dxa"/>
            <w:vMerge w:val="continue"/>
            <w:noWrap w:val="0"/>
            <w:vAlign w:val="center"/>
          </w:tcPr>
          <w:p w14:paraId="21B0DB1C">
            <w:pPr>
              <w:pageBreakBefore w:val="0"/>
              <w:wordWrap/>
              <w:overflowPunct/>
              <w:topLinePunct w:val="0"/>
              <w:bidi w:val="0"/>
              <w:spacing w:line="360" w:lineRule="auto"/>
              <w:rPr>
                <w:rFonts w:hint="eastAsia" w:ascii="仿宋" w:hAnsi="仿宋" w:eastAsia="仿宋" w:cs="仿宋"/>
                <w:color w:val="000000"/>
                <w:sz w:val="24"/>
                <w:szCs w:val="24"/>
              </w:rPr>
            </w:pPr>
          </w:p>
        </w:tc>
        <w:tc>
          <w:tcPr>
            <w:tcW w:w="844" w:type="dxa"/>
            <w:vMerge w:val="continue"/>
            <w:noWrap w:val="0"/>
            <w:vAlign w:val="center"/>
          </w:tcPr>
          <w:p w14:paraId="6483E6E5">
            <w:pPr>
              <w:pageBreakBefore w:val="0"/>
              <w:wordWrap/>
              <w:overflowPunct/>
              <w:topLinePunct w:val="0"/>
              <w:bidi w:val="0"/>
              <w:spacing w:line="360" w:lineRule="auto"/>
              <w:rPr>
                <w:rFonts w:hint="eastAsia" w:ascii="仿宋" w:hAnsi="仿宋" w:eastAsia="仿宋" w:cs="仿宋"/>
                <w:color w:val="000000"/>
                <w:sz w:val="24"/>
                <w:szCs w:val="24"/>
              </w:rPr>
            </w:pPr>
          </w:p>
        </w:tc>
        <w:tc>
          <w:tcPr>
            <w:tcW w:w="812" w:type="dxa"/>
            <w:vMerge w:val="continue"/>
            <w:noWrap w:val="0"/>
            <w:vAlign w:val="center"/>
          </w:tcPr>
          <w:p w14:paraId="07A4E4AE">
            <w:pPr>
              <w:pageBreakBefore w:val="0"/>
              <w:wordWrap/>
              <w:overflowPunct/>
              <w:topLinePunct w:val="0"/>
              <w:bidi w:val="0"/>
              <w:spacing w:line="360" w:lineRule="auto"/>
              <w:rPr>
                <w:rFonts w:hint="eastAsia" w:ascii="仿宋" w:hAnsi="仿宋" w:eastAsia="仿宋" w:cs="仿宋"/>
                <w:color w:val="000000"/>
                <w:sz w:val="24"/>
                <w:szCs w:val="24"/>
              </w:rPr>
            </w:pPr>
          </w:p>
        </w:tc>
        <w:tc>
          <w:tcPr>
            <w:tcW w:w="1022" w:type="dxa"/>
            <w:noWrap w:val="0"/>
            <w:vAlign w:val="center"/>
          </w:tcPr>
          <w:p w14:paraId="406F80B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6.5.3</w:t>
            </w:r>
          </w:p>
        </w:tc>
        <w:tc>
          <w:tcPr>
            <w:tcW w:w="744" w:type="dxa"/>
            <w:noWrap w:val="0"/>
            <w:vAlign w:val="center"/>
          </w:tcPr>
          <w:p w14:paraId="59A7A5A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智能统计分析</w:t>
            </w:r>
          </w:p>
        </w:tc>
        <w:tc>
          <w:tcPr>
            <w:tcW w:w="3945" w:type="dxa"/>
            <w:noWrap w:val="0"/>
            <w:vAlign w:val="center"/>
          </w:tcPr>
          <w:p w14:paraId="126677C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支持算法包括：方差计算、T检验、回归分析、相关性分析、对应分析、主成分分析、分类汇总、极值计算、集类分析、卡方检验。</w:t>
            </w:r>
          </w:p>
        </w:tc>
        <w:tc>
          <w:tcPr>
            <w:tcW w:w="977" w:type="dxa"/>
            <w:noWrap/>
            <w:vAlign w:val="center"/>
          </w:tcPr>
          <w:p w14:paraId="11031CB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bl>
    <w:p w14:paraId="7DD6984A">
      <w:pPr>
        <w:pStyle w:val="3"/>
        <w:keepNext/>
        <w:keepLines/>
        <w:pageBreakBefore w:val="0"/>
        <w:widowControl w:val="0"/>
        <w:numPr>
          <w:ilvl w:val="0"/>
          <w:numId w:val="0"/>
        </w:numPr>
        <w:kinsoku/>
        <w:wordWrap/>
        <w:overflowPunct/>
        <w:topLinePunct w:val="0"/>
        <w:autoSpaceDE/>
        <w:autoSpaceDN/>
        <w:bidi w:val="0"/>
        <w:adjustRightInd w:val="0"/>
        <w:snapToGrid/>
        <w:spacing w:before="0" w:after="0" w:line="360" w:lineRule="auto"/>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7、</w:t>
      </w:r>
      <w:r>
        <w:rPr>
          <w:rFonts w:hint="eastAsia" w:ascii="仿宋" w:hAnsi="仿宋" w:eastAsia="仿宋" w:cs="仿宋"/>
          <w:sz w:val="24"/>
          <w:szCs w:val="24"/>
        </w:rPr>
        <w:t>可信医疗数据区块链系统</w:t>
      </w:r>
    </w:p>
    <w:tbl>
      <w:tblPr>
        <w:tblStyle w:val="9"/>
        <w:tblW w:w="9265"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1080"/>
        <w:gridCol w:w="787"/>
        <w:gridCol w:w="1063"/>
        <w:gridCol w:w="725"/>
        <w:gridCol w:w="3937"/>
        <w:gridCol w:w="975"/>
      </w:tblGrid>
      <w:tr w14:paraId="6C772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698" w:type="dxa"/>
            <w:noWrap w:val="0"/>
            <w:vAlign w:val="center"/>
          </w:tcPr>
          <w:p w14:paraId="62485F3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平台</w:t>
            </w:r>
          </w:p>
        </w:tc>
        <w:tc>
          <w:tcPr>
            <w:tcW w:w="1080" w:type="dxa"/>
            <w:noWrap w:val="0"/>
            <w:vAlign w:val="center"/>
          </w:tcPr>
          <w:p w14:paraId="5908531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一级标号</w:t>
            </w:r>
          </w:p>
        </w:tc>
        <w:tc>
          <w:tcPr>
            <w:tcW w:w="787" w:type="dxa"/>
            <w:noWrap w:val="0"/>
            <w:vAlign w:val="center"/>
          </w:tcPr>
          <w:p w14:paraId="32BEA46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一级功能</w:t>
            </w:r>
          </w:p>
        </w:tc>
        <w:tc>
          <w:tcPr>
            <w:tcW w:w="1063" w:type="dxa"/>
            <w:noWrap w:val="0"/>
            <w:vAlign w:val="center"/>
          </w:tcPr>
          <w:p w14:paraId="313977A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二级标号</w:t>
            </w:r>
          </w:p>
        </w:tc>
        <w:tc>
          <w:tcPr>
            <w:tcW w:w="725" w:type="dxa"/>
            <w:noWrap w:val="0"/>
            <w:vAlign w:val="center"/>
          </w:tcPr>
          <w:p w14:paraId="190CB87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二级功能</w:t>
            </w:r>
          </w:p>
        </w:tc>
        <w:tc>
          <w:tcPr>
            <w:tcW w:w="3937" w:type="dxa"/>
            <w:noWrap w:val="0"/>
            <w:vAlign w:val="center"/>
          </w:tcPr>
          <w:p w14:paraId="0088BD8A">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功能描述</w:t>
            </w:r>
          </w:p>
        </w:tc>
        <w:tc>
          <w:tcPr>
            <w:tcW w:w="975" w:type="dxa"/>
            <w:noWrap w:val="0"/>
            <w:vAlign w:val="center"/>
          </w:tcPr>
          <w:p w14:paraId="2900DA70">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证明材料</w:t>
            </w:r>
          </w:p>
        </w:tc>
      </w:tr>
      <w:tr w14:paraId="290BB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698" w:type="dxa"/>
            <w:vMerge w:val="restart"/>
            <w:noWrap w:val="0"/>
            <w:vAlign w:val="center"/>
          </w:tcPr>
          <w:p w14:paraId="058D634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7可信医疗数据区块链系统</w:t>
            </w:r>
          </w:p>
        </w:tc>
        <w:tc>
          <w:tcPr>
            <w:tcW w:w="1080" w:type="dxa"/>
            <w:noWrap w:val="0"/>
            <w:vAlign w:val="center"/>
          </w:tcPr>
          <w:p w14:paraId="56DBFFD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7.0 </w:t>
            </w:r>
          </w:p>
        </w:tc>
        <w:tc>
          <w:tcPr>
            <w:tcW w:w="787" w:type="dxa"/>
            <w:noWrap w:val="0"/>
            <w:vAlign w:val="center"/>
          </w:tcPr>
          <w:p w14:paraId="7BCD1D5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★整体需求</w:t>
            </w:r>
          </w:p>
        </w:tc>
        <w:tc>
          <w:tcPr>
            <w:tcW w:w="1063" w:type="dxa"/>
            <w:noWrap w:val="0"/>
            <w:vAlign w:val="center"/>
          </w:tcPr>
          <w:p w14:paraId="4E5AD44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7.0 </w:t>
            </w:r>
          </w:p>
        </w:tc>
        <w:tc>
          <w:tcPr>
            <w:tcW w:w="725" w:type="dxa"/>
            <w:noWrap w:val="0"/>
            <w:vAlign w:val="center"/>
          </w:tcPr>
          <w:p w14:paraId="1792FAD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w:t>
            </w:r>
          </w:p>
        </w:tc>
        <w:tc>
          <w:tcPr>
            <w:tcW w:w="3937" w:type="dxa"/>
            <w:noWrap w:val="0"/>
            <w:vAlign w:val="center"/>
          </w:tcPr>
          <w:p w14:paraId="1CCFAE1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投标人需</w:t>
            </w:r>
            <w:r>
              <w:rPr>
                <w:rFonts w:hint="eastAsia" w:ascii="仿宋" w:hAnsi="仿宋" w:eastAsia="仿宋" w:cs="仿宋"/>
                <w:color w:val="000000"/>
                <w:sz w:val="24"/>
                <w:szCs w:val="24"/>
                <w:lang w:val="en-US" w:eastAsia="zh-CN"/>
              </w:rPr>
              <w:t>按要求</w:t>
            </w:r>
            <w:r>
              <w:rPr>
                <w:rFonts w:hint="eastAsia" w:ascii="仿宋" w:hAnsi="仿宋" w:eastAsia="仿宋" w:cs="仿宋"/>
                <w:color w:val="000000"/>
                <w:sz w:val="24"/>
                <w:szCs w:val="24"/>
              </w:rPr>
              <w:t>交付可信医疗数据区块链系统；并能够整合联通链接医疗数据应用协同系统。</w:t>
            </w:r>
          </w:p>
        </w:tc>
        <w:tc>
          <w:tcPr>
            <w:tcW w:w="975" w:type="dxa"/>
            <w:noWrap w:val="0"/>
            <w:vAlign w:val="center"/>
          </w:tcPr>
          <w:p w14:paraId="72075D24">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478F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698" w:type="dxa"/>
            <w:vMerge w:val="continue"/>
            <w:noWrap w:val="0"/>
            <w:vAlign w:val="center"/>
          </w:tcPr>
          <w:p w14:paraId="4A6B8BD3">
            <w:pPr>
              <w:pageBreakBefore w:val="0"/>
              <w:wordWrap/>
              <w:overflowPunct/>
              <w:topLinePunct w:val="0"/>
              <w:bidi w:val="0"/>
              <w:spacing w:line="360" w:lineRule="auto"/>
              <w:rPr>
                <w:rFonts w:hint="eastAsia" w:ascii="仿宋" w:hAnsi="仿宋" w:eastAsia="仿宋" w:cs="仿宋"/>
                <w:color w:val="000000"/>
                <w:sz w:val="24"/>
                <w:szCs w:val="24"/>
              </w:rPr>
            </w:pPr>
          </w:p>
        </w:tc>
        <w:tc>
          <w:tcPr>
            <w:tcW w:w="1080" w:type="dxa"/>
            <w:vMerge w:val="restart"/>
            <w:noWrap w:val="0"/>
            <w:vAlign w:val="center"/>
          </w:tcPr>
          <w:p w14:paraId="654B219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7.1 </w:t>
            </w:r>
          </w:p>
        </w:tc>
        <w:tc>
          <w:tcPr>
            <w:tcW w:w="787" w:type="dxa"/>
            <w:vMerge w:val="restart"/>
            <w:noWrap w:val="0"/>
            <w:vAlign w:val="center"/>
          </w:tcPr>
          <w:p w14:paraId="54EF8A3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区块链基础服务</w:t>
            </w:r>
          </w:p>
        </w:tc>
        <w:tc>
          <w:tcPr>
            <w:tcW w:w="1063" w:type="dxa"/>
            <w:noWrap w:val="0"/>
            <w:vAlign w:val="center"/>
          </w:tcPr>
          <w:p w14:paraId="658B216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7.1.1</w:t>
            </w:r>
          </w:p>
        </w:tc>
        <w:tc>
          <w:tcPr>
            <w:tcW w:w="725" w:type="dxa"/>
            <w:noWrap w:val="0"/>
            <w:vAlign w:val="center"/>
          </w:tcPr>
          <w:p w14:paraId="7F7D272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数据层服务</w:t>
            </w:r>
          </w:p>
        </w:tc>
        <w:tc>
          <w:tcPr>
            <w:tcW w:w="3937" w:type="dxa"/>
            <w:noWrap w:val="0"/>
            <w:vAlign w:val="center"/>
          </w:tcPr>
          <w:p w14:paraId="061A2E9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支持区块结构与大小配置、链上操作及交易唯一编码；</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支持LevelDB、BadgerDB、TiKV、MySQL、TDSQL、达梦等账本存储及MySQL、SQLite、TDSQL等SQL合约存储；</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提供时序一致性、可配置密码算法、国密集成、链上存证与链下传输、隐私交易，以及数据库冷热分离、归档、恢复和查询能力。</w:t>
            </w:r>
          </w:p>
        </w:tc>
        <w:tc>
          <w:tcPr>
            <w:tcW w:w="975" w:type="dxa"/>
            <w:noWrap w:val="0"/>
            <w:vAlign w:val="center"/>
          </w:tcPr>
          <w:p w14:paraId="0730FFC7">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04C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98" w:type="dxa"/>
            <w:vMerge w:val="continue"/>
            <w:noWrap w:val="0"/>
            <w:vAlign w:val="center"/>
          </w:tcPr>
          <w:p w14:paraId="6DE293C7">
            <w:pPr>
              <w:pageBreakBefore w:val="0"/>
              <w:wordWrap/>
              <w:overflowPunct/>
              <w:topLinePunct w:val="0"/>
              <w:bidi w:val="0"/>
              <w:spacing w:line="360" w:lineRule="auto"/>
              <w:rPr>
                <w:rFonts w:hint="eastAsia" w:ascii="仿宋" w:hAnsi="仿宋" w:eastAsia="仿宋" w:cs="仿宋"/>
                <w:color w:val="000000"/>
                <w:sz w:val="24"/>
                <w:szCs w:val="24"/>
              </w:rPr>
            </w:pPr>
          </w:p>
        </w:tc>
        <w:tc>
          <w:tcPr>
            <w:tcW w:w="1080" w:type="dxa"/>
            <w:vMerge w:val="continue"/>
            <w:noWrap w:val="0"/>
            <w:vAlign w:val="center"/>
          </w:tcPr>
          <w:p w14:paraId="76F195E5">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2FFD1801">
            <w:pPr>
              <w:pageBreakBefore w:val="0"/>
              <w:wordWrap/>
              <w:overflowPunct/>
              <w:topLinePunct w:val="0"/>
              <w:bidi w:val="0"/>
              <w:spacing w:line="360" w:lineRule="auto"/>
              <w:rPr>
                <w:rFonts w:hint="eastAsia" w:ascii="仿宋" w:hAnsi="仿宋" w:eastAsia="仿宋" w:cs="仿宋"/>
                <w:color w:val="000000"/>
                <w:sz w:val="24"/>
                <w:szCs w:val="24"/>
              </w:rPr>
            </w:pPr>
          </w:p>
        </w:tc>
        <w:tc>
          <w:tcPr>
            <w:tcW w:w="1063" w:type="dxa"/>
            <w:noWrap w:val="0"/>
            <w:vAlign w:val="center"/>
          </w:tcPr>
          <w:p w14:paraId="14ABD1B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7.1.2</w:t>
            </w:r>
          </w:p>
        </w:tc>
        <w:tc>
          <w:tcPr>
            <w:tcW w:w="725" w:type="dxa"/>
            <w:noWrap w:val="0"/>
            <w:vAlign w:val="center"/>
          </w:tcPr>
          <w:p w14:paraId="6DF63F3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网络层服务</w:t>
            </w:r>
          </w:p>
        </w:tc>
        <w:tc>
          <w:tcPr>
            <w:tcW w:w="3937" w:type="dxa"/>
            <w:noWrap w:val="0"/>
            <w:vAlign w:val="center"/>
          </w:tcPr>
          <w:p w14:paraId="4FCCA34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支持P2P网络动态节点及连接管理、全连接和自发现组网、专有网络穿透转发、多链并行隔离，以及SPV和light两种轻节点模式。</w:t>
            </w:r>
          </w:p>
        </w:tc>
        <w:tc>
          <w:tcPr>
            <w:tcW w:w="975" w:type="dxa"/>
            <w:noWrap w:val="0"/>
            <w:vAlign w:val="center"/>
          </w:tcPr>
          <w:p w14:paraId="6096EA03">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752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98" w:type="dxa"/>
            <w:vMerge w:val="continue"/>
            <w:noWrap w:val="0"/>
            <w:vAlign w:val="center"/>
          </w:tcPr>
          <w:p w14:paraId="6B7F64FB">
            <w:pPr>
              <w:pageBreakBefore w:val="0"/>
              <w:wordWrap/>
              <w:overflowPunct/>
              <w:topLinePunct w:val="0"/>
              <w:bidi w:val="0"/>
              <w:spacing w:line="360" w:lineRule="auto"/>
              <w:rPr>
                <w:rFonts w:hint="eastAsia" w:ascii="仿宋" w:hAnsi="仿宋" w:eastAsia="仿宋" w:cs="仿宋"/>
                <w:color w:val="000000"/>
                <w:sz w:val="24"/>
                <w:szCs w:val="24"/>
              </w:rPr>
            </w:pPr>
          </w:p>
        </w:tc>
        <w:tc>
          <w:tcPr>
            <w:tcW w:w="1080" w:type="dxa"/>
            <w:vMerge w:val="continue"/>
            <w:noWrap w:val="0"/>
            <w:vAlign w:val="center"/>
          </w:tcPr>
          <w:p w14:paraId="285B4E0A">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0F694E8C">
            <w:pPr>
              <w:pageBreakBefore w:val="0"/>
              <w:wordWrap/>
              <w:overflowPunct/>
              <w:topLinePunct w:val="0"/>
              <w:bidi w:val="0"/>
              <w:spacing w:line="360" w:lineRule="auto"/>
              <w:rPr>
                <w:rFonts w:hint="eastAsia" w:ascii="仿宋" w:hAnsi="仿宋" w:eastAsia="仿宋" w:cs="仿宋"/>
                <w:color w:val="000000"/>
                <w:sz w:val="24"/>
                <w:szCs w:val="24"/>
              </w:rPr>
            </w:pPr>
          </w:p>
        </w:tc>
        <w:tc>
          <w:tcPr>
            <w:tcW w:w="1063" w:type="dxa"/>
            <w:noWrap w:val="0"/>
            <w:vAlign w:val="center"/>
          </w:tcPr>
          <w:p w14:paraId="4F83547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7.1.3</w:t>
            </w:r>
          </w:p>
        </w:tc>
        <w:tc>
          <w:tcPr>
            <w:tcW w:w="725" w:type="dxa"/>
            <w:noWrap w:val="0"/>
            <w:vAlign w:val="center"/>
          </w:tcPr>
          <w:p w14:paraId="6B3AF37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共识层服务</w:t>
            </w:r>
          </w:p>
        </w:tc>
        <w:tc>
          <w:tcPr>
            <w:tcW w:w="3937" w:type="dxa"/>
            <w:noWrap w:val="0"/>
            <w:vAlign w:val="center"/>
          </w:tcPr>
          <w:p w14:paraId="7335BBB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支持TBFT、RAFT、DPOS等共识算法及算法切换插拔；</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支持基于DAG的块内交易并行调度、提案与验证，并提供确定性、随机等多种调度方式。</w:t>
            </w:r>
          </w:p>
        </w:tc>
        <w:tc>
          <w:tcPr>
            <w:tcW w:w="975" w:type="dxa"/>
            <w:noWrap w:val="0"/>
            <w:vAlign w:val="center"/>
          </w:tcPr>
          <w:p w14:paraId="0A370F89">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C6A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698" w:type="dxa"/>
            <w:vMerge w:val="continue"/>
            <w:noWrap w:val="0"/>
            <w:vAlign w:val="center"/>
          </w:tcPr>
          <w:p w14:paraId="3E3225C3">
            <w:pPr>
              <w:pageBreakBefore w:val="0"/>
              <w:wordWrap/>
              <w:overflowPunct/>
              <w:topLinePunct w:val="0"/>
              <w:bidi w:val="0"/>
              <w:spacing w:line="360" w:lineRule="auto"/>
              <w:rPr>
                <w:rFonts w:hint="eastAsia" w:ascii="仿宋" w:hAnsi="仿宋" w:eastAsia="仿宋" w:cs="仿宋"/>
                <w:color w:val="000000"/>
                <w:sz w:val="24"/>
                <w:szCs w:val="24"/>
              </w:rPr>
            </w:pPr>
          </w:p>
        </w:tc>
        <w:tc>
          <w:tcPr>
            <w:tcW w:w="1080" w:type="dxa"/>
            <w:vMerge w:val="continue"/>
            <w:noWrap w:val="0"/>
            <w:vAlign w:val="center"/>
          </w:tcPr>
          <w:p w14:paraId="424380FC">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02378369">
            <w:pPr>
              <w:pageBreakBefore w:val="0"/>
              <w:wordWrap/>
              <w:overflowPunct/>
              <w:topLinePunct w:val="0"/>
              <w:bidi w:val="0"/>
              <w:spacing w:line="360" w:lineRule="auto"/>
              <w:rPr>
                <w:rFonts w:hint="eastAsia" w:ascii="仿宋" w:hAnsi="仿宋" w:eastAsia="仿宋" w:cs="仿宋"/>
                <w:color w:val="000000"/>
                <w:sz w:val="24"/>
                <w:szCs w:val="24"/>
              </w:rPr>
            </w:pPr>
          </w:p>
        </w:tc>
        <w:tc>
          <w:tcPr>
            <w:tcW w:w="1063" w:type="dxa"/>
            <w:noWrap w:val="0"/>
            <w:vAlign w:val="center"/>
          </w:tcPr>
          <w:p w14:paraId="4594CCF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7.1.4</w:t>
            </w:r>
          </w:p>
        </w:tc>
        <w:tc>
          <w:tcPr>
            <w:tcW w:w="725" w:type="dxa"/>
            <w:noWrap w:val="0"/>
            <w:vAlign w:val="center"/>
          </w:tcPr>
          <w:p w14:paraId="1D648C1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合约层服务</w:t>
            </w:r>
          </w:p>
        </w:tc>
        <w:tc>
          <w:tcPr>
            <w:tcW w:w="3937" w:type="dxa"/>
            <w:noWrap w:val="0"/>
            <w:vAlign w:val="center"/>
          </w:tcPr>
          <w:p w14:paraId="568332C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支持证书、节点、链配置、区块与交易查询、线上多签、合约及公钥等系统管理合约；</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支持使用Golang、Rust、Solidity、TinyGo、C++等语言开发智能合约；</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支持WASMER、WXVM、GASM、EVM、DockerGo等合约运行引擎。</w:t>
            </w:r>
          </w:p>
        </w:tc>
        <w:tc>
          <w:tcPr>
            <w:tcW w:w="975" w:type="dxa"/>
            <w:noWrap w:val="0"/>
            <w:vAlign w:val="center"/>
          </w:tcPr>
          <w:p w14:paraId="70D049AF">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FD77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698" w:type="dxa"/>
            <w:vMerge w:val="continue"/>
            <w:noWrap w:val="0"/>
            <w:vAlign w:val="center"/>
          </w:tcPr>
          <w:p w14:paraId="6989BF9E">
            <w:pPr>
              <w:pageBreakBefore w:val="0"/>
              <w:wordWrap/>
              <w:overflowPunct/>
              <w:topLinePunct w:val="0"/>
              <w:bidi w:val="0"/>
              <w:spacing w:line="360" w:lineRule="auto"/>
              <w:rPr>
                <w:rFonts w:hint="eastAsia" w:ascii="仿宋" w:hAnsi="仿宋" w:eastAsia="仿宋" w:cs="仿宋"/>
                <w:color w:val="000000"/>
                <w:sz w:val="24"/>
                <w:szCs w:val="24"/>
              </w:rPr>
            </w:pPr>
          </w:p>
        </w:tc>
        <w:tc>
          <w:tcPr>
            <w:tcW w:w="1080" w:type="dxa"/>
            <w:vMerge w:val="continue"/>
            <w:noWrap w:val="0"/>
            <w:vAlign w:val="center"/>
          </w:tcPr>
          <w:p w14:paraId="43FE6D9D">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22F3D2EE">
            <w:pPr>
              <w:pageBreakBefore w:val="0"/>
              <w:wordWrap/>
              <w:overflowPunct/>
              <w:topLinePunct w:val="0"/>
              <w:bidi w:val="0"/>
              <w:spacing w:line="360" w:lineRule="auto"/>
              <w:rPr>
                <w:rFonts w:hint="eastAsia" w:ascii="仿宋" w:hAnsi="仿宋" w:eastAsia="仿宋" w:cs="仿宋"/>
                <w:color w:val="000000"/>
                <w:sz w:val="24"/>
                <w:szCs w:val="24"/>
              </w:rPr>
            </w:pPr>
          </w:p>
        </w:tc>
        <w:tc>
          <w:tcPr>
            <w:tcW w:w="1063" w:type="dxa"/>
            <w:noWrap w:val="0"/>
            <w:vAlign w:val="center"/>
          </w:tcPr>
          <w:p w14:paraId="3D03F31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7.1.5</w:t>
            </w:r>
          </w:p>
        </w:tc>
        <w:tc>
          <w:tcPr>
            <w:tcW w:w="725" w:type="dxa"/>
            <w:noWrap w:val="0"/>
            <w:vAlign w:val="center"/>
          </w:tcPr>
          <w:p w14:paraId="03F2930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跨链服务</w:t>
            </w:r>
          </w:p>
        </w:tc>
        <w:tc>
          <w:tcPr>
            <w:tcW w:w="3937" w:type="dxa"/>
            <w:noWrap w:val="0"/>
            <w:vAlign w:val="center"/>
          </w:tcPr>
          <w:p w14:paraId="6643019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支持基于中继链和事务管理合约实现跨链事务最终一致性，并通过跨链网关对接chainmaker-cross、tcip-chainmaker及异构链正向、逆向操作合约。</w:t>
            </w:r>
          </w:p>
        </w:tc>
        <w:tc>
          <w:tcPr>
            <w:tcW w:w="975" w:type="dxa"/>
            <w:noWrap w:val="0"/>
            <w:vAlign w:val="center"/>
          </w:tcPr>
          <w:p w14:paraId="13AC546C">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55B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698" w:type="dxa"/>
            <w:vMerge w:val="continue"/>
            <w:noWrap w:val="0"/>
            <w:vAlign w:val="center"/>
          </w:tcPr>
          <w:p w14:paraId="4FB6C4B8">
            <w:pPr>
              <w:pageBreakBefore w:val="0"/>
              <w:wordWrap/>
              <w:overflowPunct/>
              <w:topLinePunct w:val="0"/>
              <w:bidi w:val="0"/>
              <w:spacing w:line="360" w:lineRule="auto"/>
              <w:rPr>
                <w:rFonts w:hint="eastAsia" w:ascii="仿宋" w:hAnsi="仿宋" w:eastAsia="仿宋" w:cs="仿宋"/>
                <w:color w:val="000000"/>
                <w:sz w:val="24"/>
                <w:szCs w:val="24"/>
              </w:rPr>
            </w:pPr>
          </w:p>
        </w:tc>
        <w:tc>
          <w:tcPr>
            <w:tcW w:w="1080" w:type="dxa"/>
            <w:vMerge w:val="restart"/>
            <w:noWrap w:val="0"/>
            <w:vAlign w:val="center"/>
          </w:tcPr>
          <w:p w14:paraId="7560780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7.2 </w:t>
            </w:r>
          </w:p>
        </w:tc>
        <w:tc>
          <w:tcPr>
            <w:tcW w:w="787" w:type="dxa"/>
            <w:vMerge w:val="restart"/>
            <w:noWrap w:val="0"/>
            <w:vAlign w:val="center"/>
          </w:tcPr>
          <w:p w14:paraId="52E793C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区块链BaaS服务</w:t>
            </w:r>
          </w:p>
        </w:tc>
        <w:tc>
          <w:tcPr>
            <w:tcW w:w="1063" w:type="dxa"/>
            <w:noWrap w:val="0"/>
            <w:vAlign w:val="center"/>
          </w:tcPr>
          <w:p w14:paraId="004B946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7.2.1</w:t>
            </w:r>
          </w:p>
        </w:tc>
        <w:tc>
          <w:tcPr>
            <w:tcW w:w="725" w:type="dxa"/>
            <w:noWrap w:val="0"/>
            <w:vAlign w:val="center"/>
          </w:tcPr>
          <w:p w14:paraId="4FC87A9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区块链管控服务</w:t>
            </w:r>
          </w:p>
        </w:tc>
        <w:tc>
          <w:tcPr>
            <w:tcW w:w="3937" w:type="dxa"/>
            <w:noWrap w:val="0"/>
            <w:vAlign w:val="center"/>
          </w:tcPr>
          <w:p w14:paraId="1B866CED">
            <w:pPr>
              <w:pageBreakBefore w:val="0"/>
              <w:wordWrap w:val="0"/>
              <w:overflowPunct/>
              <w:topLinePunct w:val="0"/>
              <w:bidi w:val="0"/>
              <w:spacing w:line="360" w:lineRule="auto"/>
              <w:jc w:val="left"/>
              <w:rPr>
                <w:rFonts w:hint="eastAsia" w:ascii="仿宋" w:hAnsi="仿宋" w:eastAsia="仿宋" w:cs="仿宋"/>
                <w:color w:val="000000"/>
                <w:sz w:val="24"/>
                <w:szCs w:val="24"/>
              </w:rPr>
            </w:pPr>
            <w:r>
              <w:rPr>
                <w:rFonts w:hint="eastAsia" w:ascii="仿宋" w:hAnsi="仿宋" w:eastAsia="仿宋" w:cs="仿宋"/>
                <w:color w:val="000000"/>
                <w:sz w:val="24"/>
                <w:szCs w:val="24"/>
              </w:rPr>
              <w:t>支持平台账户、链账户、主机、合约及联盟链管理；</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提供监控中心、日志管理、区块链浏览器、RPC服务、Golang/Java/Node.js等SDK、区块/交易/合约事件订阅及通用组件文档查看能力。</w:t>
            </w:r>
          </w:p>
        </w:tc>
        <w:tc>
          <w:tcPr>
            <w:tcW w:w="975" w:type="dxa"/>
            <w:noWrap w:val="0"/>
            <w:vAlign w:val="center"/>
          </w:tcPr>
          <w:p w14:paraId="50D1CADF">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8702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698" w:type="dxa"/>
            <w:vMerge w:val="continue"/>
            <w:noWrap w:val="0"/>
            <w:vAlign w:val="center"/>
          </w:tcPr>
          <w:p w14:paraId="77DEF92C">
            <w:pPr>
              <w:pageBreakBefore w:val="0"/>
              <w:wordWrap/>
              <w:overflowPunct/>
              <w:topLinePunct w:val="0"/>
              <w:bidi w:val="0"/>
              <w:spacing w:line="360" w:lineRule="auto"/>
              <w:rPr>
                <w:rFonts w:hint="eastAsia" w:ascii="仿宋" w:hAnsi="仿宋" w:eastAsia="仿宋" w:cs="仿宋"/>
                <w:color w:val="000000"/>
                <w:sz w:val="24"/>
                <w:szCs w:val="24"/>
              </w:rPr>
            </w:pPr>
          </w:p>
        </w:tc>
        <w:tc>
          <w:tcPr>
            <w:tcW w:w="1080" w:type="dxa"/>
            <w:vMerge w:val="continue"/>
            <w:noWrap w:val="0"/>
            <w:vAlign w:val="center"/>
          </w:tcPr>
          <w:p w14:paraId="03D4A403">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0E6310A6">
            <w:pPr>
              <w:pageBreakBefore w:val="0"/>
              <w:wordWrap/>
              <w:overflowPunct/>
              <w:topLinePunct w:val="0"/>
              <w:bidi w:val="0"/>
              <w:spacing w:line="360" w:lineRule="auto"/>
              <w:rPr>
                <w:rFonts w:hint="eastAsia" w:ascii="仿宋" w:hAnsi="仿宋" w:eastAsia="仿宋" w:cs="仿宋"/>
                <w:color w:val="000000"/>
                <w:sz w:val="24"/>
                <w:szCs w:val="24"/>
              </w:rPr>
            </w:pPr>
          </w:p>
        </w:tc>
        <w:tc>
          <w:tcPr>
            <w:tcW w:w="1063" w:type="dxa"/>
            <w:noWrap w:val="0"/>
            <w:vAlign w:val="center"/>
          </w:tcPr>
          <w:p w14:paraId="233E5A3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7.2.2</w:t>
            </w:r>
          </w:p>
        </w:tc>
        <w:tc>
          <w:tcPr>
            <w:tcW w:w="725" w:type="dxa"/>
            <w:noWrap w:val="0"/>
            <w:vAlign w:val="center"/>
          </w:tcPr>
          <w:p w14:paraId="7F954F5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资源管理服务</w:t>
            </w:r>
          </w:p>
        </w:tc>
        <w:tc>
          <w:tcPr>
            <w:tcW w:w="3937" w:type="dxa"/>
            <w:noWrap w:val="0"/>
            <w:vAlign w:val="center"/>
          </w:tcPr>
          <w:p w14:paraId="7972FB7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7.2.2.1</w:t>
            </w:r>
            <w:r>
              <w:rPr>
                <w:rFonts w:hint="eastAsia" w:ascii="仿宋" w:hAnsi="仿宋" w:eastAsia="仿宋" w:cs="仿宋"/>
                <w:color w:val="000000"/>
                <w:sz w:val="24"/>
                <w:szCs w:val="24"/>
              </w:rPr>
              <w:t>支持证书生成、签发与管理；</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7.2.2.2</w:t>
            </w:r>
            <w:r>
              <w:rPr>
                <w:rFonts w:hint="eastAsia" w:ascii="仿宋" w:hAnsi="仿宋" w:eastAsia="仿宋" w:cs="仿宋"/>
                <w:color w:val="000000"/>
                <w:sz w:val="24"/>
                <w:szCs w:val="24"/>
              </w:rPr>
              <w:t>支持联盟邀请、通知等联盟管理；</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lang w:val="en-US" w:eastAsia="zh-CN"/>
              </w:rPr>
              <w:t>7.2.2.3</w:t>
            </w:r>
            <w:r>
              <w:rPr>
                <w:rFonts w:hint="eastAsia" w:ascii="仿宋" w:hAnsi="仿宋" w:eastAsia="仿宋" w:cs="仿宋"/>
                <w:color w:val="000000"/>
                <w:sz w:val="24"/>
                <w:szCs w:val="24"/>
              </w:rPr>
              <w:t>支持账户注册、注销、查询、权限及行为日志管理，并提供区块链系统安全审计服务。</w:t>
            </w:r>
          </w:p>
        </w:tc>
        <w:tc>
          <w:tcPr>
            <w:tcW w:w="975" w:type="dxa"/>
            <w:noWrap w:val="0"/>
            <w:vAlign w:val="center"/>
          </w:tcPr>
          <w:p w14:paraId="553D0203">
            <w:pPr>
              <w:pageBreakBefore w:val="0"/>
              <w:wordWrap/>
              <w:overflowPunct/>
              <w:topLinePunct w:val="0"/>
              <w:bidi w:val="0"/>
              <w:spacing w:line="360" w:lineRule="auto"/>
              <w:jc w:val="center"/>
              <w:rPr>
                <w:rFonts w:hint="default" w:ascii="仿宋" w:hAnsi="仿宋" w:eastAsia="仿宋" w:cs="仿宋"/>
                <w:color w:val="000000"/>
                <w:sz w:val="24"/>
                <w:szCs w:val="24"/>
                <w:lang w:val="en-US"/>
              </w:rPr>
            </w:pPr>
            <w:r>
              <w:rPr>
                <w:rFonts w:hint="eastAsia" w:ascii="仿宋" w:hAnsi="仿宋" w:eastAsia="仿宋" w:cs="仿宋"/>
                <w:color w:val="000000"/>
                <w:sz w:val="24"/>
                <w:szCs w:val="24"/>
                <w:lang w:val="en-US" w:eastAsia="zh-CN"/>
              </w:rPr>
              <w:t>否</w:t>
            </w:r>
          </w:p>
        </w:tc>
      </w:tr>
      <w:tr w14:paraId="77140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98" w:type="dxa"/>
            <w:vMerge w:val="continue"/>
            <w:noWrap w:val="0"/>
            <w:vAlign w:val="center"/>
          </w:tcPr>
          <w:p w14:paraId="608CFB63">
            <w:pPr>
              <w:pageBreakBefore w:val="0"/>
              <w:wordWrap/>
              <w:overflowPunct/>
              <w:topLinePunct w:val="0"/>
              <w:bidi w:val="0"/>
              <w:spacing w:line="360" w:lineRule="auto"/>
              <w:rPr>
                <w:rFonts w:hint="eastAsia" w:ascii="仿宋" w:hAnsi="仿宋" w:eastAsia="仿宋" w:cs="仿宋"/>
                <w:color w:val="000000"/>
                <w:sz w:val="24"/>
                <w:szCs w:val="24"/>
              </w:rPr>
            </w:pPr>
          </w:p>
        </w:tc>
        <w:tc>
          <w:tcPr>
            <w:tcW w:w="1080" w:type="dxa"/>
            <w:vMerge w:val="continue"/>
            <w:noWrap w:val="0"/>
            <w:vAlign w:val="center"/>
          </w:tcPr>
          <w:p w14:paraId="26E2AA43">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2B25EED9">
            <w:pPr>
              <w:pageBreakBefore w:val="0"/>
              <w:wordWrap/>
              <w:overflowPunct/>
              <w:topLinePunct w:val="0"/>
              <w:bidi w:val="0"/>
              <w:spacing w:line="360" w:lineRule="auto"/>
              <w:rPr>
                <w:rFonts w:hint="eastAsia" w:ascii="仿宋" w:hAnsi="仿宋" w:eastAsia="仿宋" w:cs="仿宋"/>
                <w:color w:val="000000"/>
                <w:sz w:val="24"/>
                <w:szCs w:val="24"/>
              </w:rPr>
            </w:pPr>
          </w:p>
        </w:tc>
        <w:tc>
          <w:tcPr>
            <w:tcW w:w="1063" w:type="dxa"/>
            <w:noWrap w:val="0"/>
            <w:vAlign w:val="center"/>
          </w:tcPr>
          <w:p w14:paraId="75B0F6A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7.2.3</w:t>
            </w:r>
          </w:p>
        </w:tc>
        <w:tc>
          <w:tcPr>
            <w:tcW w:w="725" w:type="dxa"/>
            <w:noWrap w:val="0"/>
            <w:vAlign w:val="center"/>
          </w:tcPr>
          <w:p w14:paraId="381CA01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跨链管理服务</w:t>
            </w:r>
          </w:p>
        </w:tc>
        <w:tc>
          <w:tcPr>
            <w:tcW w:w="3937" w:type="dxa"/>
            <w:noWrap w:val="0"/>
            <w:vAlign w:val="center"/>
          </w:tcPr>
          <w:p w14:paraId="3DEA102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支持基于中继链的应用链管理、联盟链区块和交易监控、DApp创建提案及联盟商店展示转让，并统一管理联盟治理管理员、审计管理员等用户身份。</w:t>
            </w:r>
          </w:p>
        </w:tc>
        <w:tc>
          <w:tcPr>
            <w:tcW w:w="975" w:type="dxa"/>
            <w:noWrap w:val="0"/>
            <w:vAlign w:val="center"/>
          </w:tcPr>
          <w:p w14:paraId="5C0AFB89">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6342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98" w:type="dxa"/>
            <w:vMerge w:val="continue"/>
            <w:noWrap w:val="0"/>
            <w:vAlign w:val="center"/>
          </w:tcPr>
          <w:p w14:paraId="5CE620FB">
            <w:pPr>
              <w:pageBreakBefore w:val="0"/>
              <w:wordWrap/>
              <w:overflowPunct/>
              <w:topLinePunct w:val="0"/>
              <w:bidi w:val="0"/>
              <w:spacing w:line="360" w:lineRule="auto"/>
              <w:rPr>
                <w:rFonts w:hint="eastAsia" w:ascii="仿宋" w:hAnsi="仿宋" w:eastAsia="仿宋" w:cs="仿宋"/>
                <w:color w:val="000000"/>
                <w:sz w:val="24"/>
                <w:szCs w:val="24"/>
              </w:rPr>
            </w:pPr>
          </w:p>
        </w:tc>
        <w:tc>
          <w:tcPr>
            <w:tcW w:w="1080" w:type="dxa"/>
            <w:vMerge w:val="continue"/>
            <w:noWrap w:val="0"/>
            <w:vAlign w:val="center"/>
          </w:tcPr>
          <w:p w14:paraId="5B872772">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4D24559F">
            <w:pPr>
              <w:pageBreakBefore w:val="0"/>
              <w:wordWrap/>
              <w:overflowPunct/>
              <w:topLinePunct w:val="0"/>
              <w:bidi w:val="0"/>
              <w:spacing w:line="360" w:lineRule="auto"/>
              <w:rPr>
                <w:rFonts w:hint="eastAsia" w:ascii="仿宋" w:hAnsi="仿宋" w:eastAsia="仿宋" w:cs="仿宋"/>
                <w:color w:val="000000"/>
                <w:sz w:val="24"/>
                <w:szCs w:val="24"/>
              </w:rPr>
            </w:pPr>
          </w:p>
        </w:tc>
        <w:tc>
          <w:tcPr>
            <w:tcW w:w="1063" w:type="dxa"/>
            <w:noWrap w:val="0"/>
            <w:vAlign w:val="center"/>
          </w:tcPr>
          <w:p w14:paraId="75C65B5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7.2.4</w:t>
            </w:r>
          </w:p>
        </w:tc>
        <w:tc>
          <w:tcPr>
            <w:tcW w:w="725" w:type="dxa"/>
            <w:noWrap w:val="0"/>
            <w:vAlign w:val="center"/>
          </w:tcPr>
          <w:p w14:paraId="454C79D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信创国产自主适配</w:t>
            </w:r>
          </w:p>
        </w:tc>
        <w:tc>
          <w:tcPr>
            <w:tcW w:w="3937" w:type="dxa"/>
            <w:noWrap w:val="0"/>
            <w:vAlign w:val="center"/>
          </w:tcPr>
          <w:p w14:paraId="5CDEEC7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支持系统软硬件国产化适配及国产硬件深度融合；</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证书公私钥、TLS通信和数据加密等支持国密算法。</w:t>
            </w:r>
          </w:p>
        </w:tc>
        <w:tc>
          <w:tcPr>
            <w:tcW w:w="975" w:type="dxa"/>
            <w:noWrap w:val="0"/>
            <w:vAlign w:val="center"/>
          </w:tcPr>
          <w:p w14:paraId="2CF345AF">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AD10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98" w:type="dxa"/>
            <w:vMerge w:val="continue"/>
            <w:noWrap w:val="0"/>
            <w:vAlign w:val="center"/>
          </w:tcPr>
          <w:p w14:paraId="5293A95C">
            <w:pPr>
              <w:pageBreakBefore w:val="0"/>
              <w:wordWrap/>
              <w:overflowPunct/>
              <w:topLinePunct w:val="0"/>
              <w:bidi w:val="0"/>
              <w:spacing w:line="360" w:lineRule="auto"/>
              <w:rPr>
                <w:rFonts w:hint="eastAsia" w:ascii="仿宋" w:hAnsi="仿宋" w:eastAsia="仿宋" w:cs="仿宋"/>
                <w:color w:val="000000"/>
                <w:sz w:val="24"/>
                <w:szCs w:val="24"/>
              </w:rPr>
            </w:pPr>
          </w:p>
        </w:tc>
        <w:tc>
          <w:tcPr>
            <w:tcW w:w="1080" w:type="dxa"/>
            <w:vMerge w:val="restart"/>
            <w:noWrap w:val="0"/>
            <w:vAlign w:val="center"/>
          </w:tcPr>
          <w:p w14:paraId="0B8A478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7.3 </w:t>
            </w:r>
          </w:p>
        </w:tc>
        <w:tc>
          <w:tcPr>
            <w:tcW w:w="787" w:type="dxa"/>
            <w:vMerge w:val="restart"/>
            <w:noWrap w:val="0"/>
            <w:vAlign w:val="center"/>
          </w:tcPr>
          <w:p w14:paraId="0649039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区块链代理服务</w:t>
            </w:r>
          </w:p>
        </w:tc>
        <w:tc>
          <w:tcPr>
            <w:tcW w:w="1063" w:type="dxa"/>
            <w:noWrap w:val="0"/>
            <w:vAlign w:val="center"/>
          </w:tcPr>
          <w:p w14:paraId="3B4E45C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7.3.1</w:t>
            </w:r>
          </w:p>
        </w:tc>
        <w:tc>
          <w:tcPr>
            <w:tcW w:w="725" w:type="dxa"/>
            <w:noWrap w:val="0"/>
            <w:vAlign w:val="center"/>
          </w:tcPr>
          <w:p w14:paraId="1377BC0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多类区块链接入服务</w:t>
            </w:r>
          </w:p>
        </w:tc>
        <w:tc>
          <w:tcPr>
            <w:tcW w:w="3937" w:type="dxa"/>
            <w:noWrap w:val="0"/>
            <w:vAlign w:val="center"/>
          </w:tcPr>
          <w:p w14:paraId="64572D2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代理服务支持封装长安链、BSN链和Fabric链访问SDK，为业务系统提供多类区块链统一接入能力。</w:t>
            </w:r>
          </w:p>
        </w:tc>
        <w:tc>
          <w:tcPr>
            <w:tcW w:w="975" w:type="dxa"/>
            <w:noWrap w:val="0"/>
            <w:vAlign w:val="center"/>
          </w:tcPr>
          <w:p w14:paraId="53178EF1">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651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98" w:type="dxa"/>
            <w:vMerge w:val="continue"/>
            <w:noWrap w:val="0"/>
            <w:vAlign w:val="center"/>
          </w:tcPr>
          <w:p w14:paraId="30BAFB7A">
            <w:pPr>
              <w:pageBreakBefore w:val="0"/>
              <w:wordWrap/>
              <w:overflowPunct/>
              <w:topLinePunct w:val="0"/>
              <w:bidi w:val="0"/>
              <w:spacing w:line="360" w:lineRule="auto"/>
              <w:rPr>
                <w:rFonts w:hint="eastAsia" w:ascii="仿宋" w:hAnsi="仿宋" w:eastAsia="仿宋" w:cs="仿宋"/>
                <w:color w:val="000000"/>
                <w:sz w:val="24"/>
                <w:szCs w:val="24"/>
              </w:rPr>
            </w:pPr>
          </w:p>
        </w:tc>
        <w:tc>
          <w:tcPr>
            <w:tcW w:w="1080" w:type="dxa"/>
            <w:vMerge w:val="continue"/>
            <w:noWrap w:val="0"/>
            <w:vAlign w:val="center"/>
          </w:tcPr>
          <w:p w14:paraId="367C8611">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7E2742A4">
            <w:pPr>
              <w:pageBreakBefore w:val="0"/>
              <w:wordWrap/>
              <w:overflowPunct/>
              <w:topLinePunct w:val="0"/>
              <w:bidi w:val="0"/>
              <w:spacing w:line="360" w:lineRule="auto"/>
              <w:rPr>
                <w:rFonts w:hint="eastAsia" w:ascii="仿宋" w:hAnsi="仿宋" w:eastAsia="仿宋" w:cs="仿宋"/>
                <w:color w:val="000000"/>
                <w:sz w:val="24"/>
                <w:szCs w:val="24"/>
              </w:rPr>
            </w:pPr>
          </w:p>
        </w:tc>
        <w:tc>
          <w:tcPr>
            <w:tcW w:w="1063" w:type="dxa"/>
            <w:noWrap w:val="0"/>
            <w:vAlign w:val="center"/>
          </w:tcPr>
          <w:p w14:paraId="59B93CB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7.3.2</w:t>
            </w:r>
          </w:p>
        </w:tc>
        <w:tc>
          <w:tcPr>
            <w:tcW w:w="725" w:type="dxa"/>
            <w:noWrap w:val="0"/>
            <w:vAlign w:val="center"/>
          </w:tcPr>
          <w:p w14:paraId="5CD66DA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通用业务服务</w:t>
            </w:r>
          </w:p>
        </w:tc>
        <w:tc>
          <w:tcPr>
            <w:tcW w:w="3937" w:type="dxa"/>
            <w:noWrap w:val="0"/>
            <w:vAlign w:val="center"/>
          </w:tcPr>
          <w:p w14:paraId="3554A54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支持区块链事件监听与处理、业务调用区块链的API接口及事件处理接口，并通过智能合约实现具体业务服务。</w:t>
            </w:r>
          </w:p>
        </w:tc>
        <w:tc>
          <w:tcPr>
            <w:tcW w:w="975" w:type="dxa"/>
            <w:noWrap w:val="0"/>
            <w:vAlign w:val="center"/>
          </w:tcPr>
          <w:p w14:paraId="23FBE41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F8AE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0" w:hRule="atLeast"/>
        </w:trPr>
        <w:tc>
          <w:tcPr>
            <w:tcW w:w="698" w:type="dxa"/>
            <w:vMerge w:val="continue"/>
            <w:noWrap w:val="0"/>
            <w:vAlign w:val="center"/>
          </w:tcPr>
          <w:p w14:paraId="1A64E033">
            <w:pPr>
              <w:pageBreakBefore w:val="0"/>
              <w:wordWrap/>
              <w:overflowPunct/>
              <w:topLinePunct w:val="0"/>
              <w:bidi w:val="0"/>
              <w:spacing w:line="360" w:lineRule="auto"/>
              <w:rPr>
                <w:rFonts w:hint="eastAsia" w:ascii="仿宋" w:hAnsi="仿宋" w:eastAsia="仿宋" w:cs="仿宋"/>
                <w:color w:val="000000"/>
                <w:sz w:val="24"/>
                <w:szCs w:val="24"/>
              </w:rPr>
            </w:pPr>
          </w:p>
        </w:tc>
        <w:tc>
          <w:tcPr>
            <w:tcW w:w="1080" w:type="dxa"/>
            <w:noWrap w:val="0"/>
            <w:vAlign w:val="center"/>
          </w:tcPr>
          <w:p w14:paraId="3435BEB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7.4 </w:t>
            </w:r>
          </w:p>
        </w:tc>
        <w:tc>
          <w:tcPr>
            <w:tcW w:w="787" w:type="dxa"/>
            <w:noWrap w:val="0"/>
            <w:vAlign w:val="center"/>
          </w:tcPr>
          <w:p w14:paraId="7A53D34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智能合约</w:t>
            </w:r>
          </w:p>
        </w:tc>
        <w:tc>
          <w:tcPr>
            <w:tcW w:w="1063" w:type="dxa"/>
            <w:noWrap w:val="0"/>
            <w:vAlign w:val="center"/>
          </w:tcPr>
          <w:p w14:paraId="54059ED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7.4 </w:t>
            </w:r>
          </w:p>
        </w:tc>
        <w:tc>
          <w:tcPr>
            <w:tcW w:w="725" w:type="dxa"/>
            <w:noWrap w:val="0"/>
            <w:vAlign w:val="center"/>
          </w:tcPr>
          <w:p w14:paraId="4611298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业务智能合约服务</w:t>
            </w:r>
          </w:p>
        </w:tc>
        <w:tc>
          <w:tcPr>
            <w:tcW w:w="3937" w:type="dxa"/>
            <w:noWrap w:val="0"/>
            <w:vAlign w:val="center"/>
          </w:tcPr>
          <w:p w14:paraId="2A20DD9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7.4.1</w:t>
            </w:r>
            <w:r>
              <w:rPr>
                <w:rFonts w:hint="eastAsia" w:ascii="仿宋" w:hAnsi="仿宋" w:eastAsia="仿宋" w:cs="仿宋"/>
                <w:color w:val="000000"/>
                <w:sz w:val="24"/>
                <w:szCs w:val="24"/>
              </w:rPr>
              <w:t>支持医疗数据预处理、上链存证及取证查询；</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lang w:val="en-US" w:eastAsia="zh-CN"/>
              </w:rPr>
              <w:t>7.4.2</w:t>
            </w:r>
            <w:r>
              <w:rPr>
                <w:rFonts w:hint="eastAsia" w:ascii="仿宋" w:hAnsi="仿宋" w:eastAsia="仿宋" w:cs="仿宋"/>
                <w:color w:val="000000"/>
                <w:sz w:val="24"/>
                <w:szCs w:val="24"/>
              </w:rPr>
              <w:t>支持数据使用授权与安全传输、链上数据查询、用户行为和任务结果存证；</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lang w:val="en-US" w:eastAsia="zh-CN"/>
              </w:rPr>
              <w:t>7.4.3</w:t>
            </w:r>
            <w:r>
              <w:rPr>
                <w:rFonts w:hint="eastAsia" w:ascii="仿宋" w:hAnsi="仿宋" w:eastAsia="仿宋" w:cs="仿宋"/>
                <w:color w:val="000000"/>
                <w:sz w:val="24"/>
                <w:szCs w:val="24"/>
              </w:rPr>
              <w:t>支持取证信息完整性、一致性及防篡改验证；</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lang w:val="en-US" w:eastAsia="zh-CN"/>
              </w:rPr>
              <w:t>7.4.4</w:t>
            </w:r>
            <w:r>
              <w:rPr>
                <w:rFonts w:hint="eastAsia" w:ascii="仿宋" w:hAnsi="仿宋" w:eastAsia="仿宋" w:cs="仿宋"/>
                <w:color w:val="000000"/>
                <w:sz w:val="24"/>
                <w:szCs w:val="24"/>
              </w:rPr>
              <w:t>支持数据确权、数据目录发布申请审核、访问控制、组织身份存证、监管审计及数据交易使用量存证。</w:t>
            </w:r>
          </w:p>
        </w:tc>
        <w:tc>
          <w:tcPr>
            <w:tcW w:w="975" w:type="dxa"/>
            <w:noWrap w:val="0"/>
            <w:vAlign w:val="center"/>
          </w:tcPr>
          <w:p w14:paraId="50BE601B">
            <w:pPr>
              <w:pageBreakBefore w:val="0"/>
              <w:wordWrap/>
              <w:overflowPunct/>
              <w:topLinePunct w:val="0"/>
              <w:bidi w:val="0"/>
              <w:spacing w:line="360" w:lineRule="auto"/>
              <w:jc w:val="center"/>
              <w:rPr>
                <w:rFonts w:hint="eastAsia" w:ascii="仿宋" w:hAnsi="仿宋" w:eastAsia="宋体" w:cs="仿宋"/>
                <w:color w:val="000000"/>
                <w:sz w:val="24"/>
                <w:szCs w:val="24"/>
                <w:lang w:eastAsia="zh-CN"/>
              </w:rPr>
            </w:pPr>
            <w:r>
              <w:rPr>
                <w:rFonts w:hint="eastAsia" w:ascii="仿宋" w:hAnsi="仿宋" w:eastAsia="仿宋" w:cs="仿宋"/>
                <w:color w:val="000000"/>
                <w:sz w:val="24"/>
                <w:szCs w:val="24"/>
                <w:lang w:val="en-US" w:eastAsia="zh-CN"/>
              </w:rPr>
              <w:t>否</w:t>
            </w:r>
          </w:p>
        </w:tc>
      </w:tr>
    </w:tbl>
    <w:p w14:paraId="1872AD6F">
      <w:pPr>
        <w:pStyle w:val="3"/>
        <w:keepNext/>
        <w:keepLines/>
        <w:pageBreakBefore w:val="0"/>
        <w:widowControl w:val="0"/>
        <w:numPr>
          <w:ilvl w:val="0"/>
          <w:numId w:val="0"/>
        </w:numPr>
        <w:kinsoku/>
        <w:wordWrap/>
        <w:overflowPunct/>
        <w:topLinePunct w:val="0"/>
        <w:autoSpaceDE/>
        <w:autoSpaceDN/>
        <w:bidi w:val="0"/>
        <w:adjustRightInd w:val="0"/>
        <w:snapToGrid/>
        <w:spacing w:before="0" w:after="0" w:line="360" w:lineRule="auto"/>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8、</w:t>
      </w:r>
      <w:r>
        <w:rPr>
          <w:rFonts w:hint="eastAsia" w:ascii="仿宋" w:hAnsi="仿宋" w:eastAsia="仿宋" w:cs="仿宋"/>
          <w:sz w:val="24"/>
          <w:szCs w:val="24"/>
        </w:rPr>
        <w:t>可信医疗数据存储加密系统</w:t>
      </w:r>
    </w:p>
    <w:tbl>
      <w:tblPr>
        <w:tblStyle w:val="9"/>
        <w:tblW w:w="9265"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082"/>
        <w:gridCol w:w="787"/>
        <w:gridCol w:w="1025"/>
        <w:gridCol w:w="800"/>
        <w:gridCol w:w="3875"/>
        <w:gridCol w:w="1000"/>
      </w:tblGrid>
      <w:tr w14:paraId="7495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0" w:hRule="atLeast"/>
        </w:trPr>
        <w:tc>
          <w:tcPr>
            <w:tcW w:w="696" w:type="dxa"/>
            <w:noWrap w:val="0"/>
            <w:vAlign w:val="center"/>
          </w:tcPr>
          <w:p w14:paraId="7A92D90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平台</w:t>
            </w:r>
          </w:p>
        </w:tc>
        <w:tc>
          <w:tcPr>
            <w:tcW w:w="1082" w:type="dxa"/>
            <w:noWrap w:val="0"/>
            <w:vAlign w:val="center"/>
          </w:tcPr>
          <w:p w14:paraId="36473CA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一级标号</w:t>
            </w:r>
          </w:p>
        </w:tc>
        <w:tc>
          <w:tcPr>
            <w:tcW w:w="787" w:type="dxa"/>
            <w:noWrap w:val="0"/>
            <w:vAlign w:val="center"/>
          </w:tcPr>
          <w:p w14:paraId="02BC3F6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一级功能</w:t>
            </w:r>
          </w:p>
        </w:tc>
        <w:tc>
          <w:tcPr>
            <w:tcW w:w="1025" w:type="dxa"/>
            <w:noWrap w:val="0"/>
            <w:vAlign w:val="center"/>
          </w:tcPr>
          <w:p w14:paraId="6FA0551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二级标号</w:t>
            </w:r>
          </w:p>
        </w:tc>
        <w:tc>
          <w:tcPr>
            <w:tcW w:w="800" w:type="dxa"/>
            <w:noWrap w:val="0"/>
            <w:vAlign w:val="center"/>
          </w:tcPr>
          <w:p w14:paraId="0E9AC07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二级功能</w:t>
            </w:r>
          </w:p>
        </w:tc>
        <w:tc>
          <w:tcPr>
            <w:tcW w:w="3875" w:type="dxa"/>
            <w:noWrap w:val="0"/>
            <w:vAlign w:val="center"/>
          </w:tcPr>
          <w:p w14:paraId="3CA1758C">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功能描述</w:t>
            </w:r>
          </w:p>
        </w:tc>
        <w:tc>
          <w:tcPr>
            <w:tcW w:w="1000" w:type="dxa"/>
            <w:noWrap w:val="0"/>
            <w:vAlign w:val="center"/>
          </w:tcPr>
          <w:p w14:paraId="26E56596">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证明材料</w:t>
            </w:r>
          </w:p>
        </w:tc>
      </w:tr>
      <w:tr w14:paraId="15CBE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696" w:type="dxa"/>
            <w:vMerge w:val="restart"/>
            <w:noWrap w:val="0"/>
            <w:vAlign w:val="center"/>
          </w:tcPr>
          <w:p w14:paraId="12AE11C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8可信医疗数据存储加密系统</w:t>
            </w:r>
          </w:p>
        </w:tc>
        <w:tc>
          <w:tcPr>
            <w:tcW w:w="1082" w:type="dxa"/>
            <w:noWrap w:val="0"/>
            <w:vAlign w:val="center"/>
          </w:tcPr>
          <w:p w14:paraId="598AAB2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8.0 </w:t>
            </w:r>
          </w:p>
        </w:tc>
        <w:tc>
          <w:tcPr>
            <w:tcW w:w="787" w:type="dxa"/>
            <w:noWrap w:val="0"/>
            <w:vAlign w:val="center"/>
          </w:tcPr>
          <w:p w14:paraId="3282DC6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★整体需求</w:t>
            </w:r>
          </w:p>
        </w:tc>
        <w:tc>
          <w:tcPr>
            <w:tcW w:w="1025" w:type="dxa"/>
            <w:noWrap w:val="0"/>
            <w:vAlign w:val="center"/>
          </w:tcPr>
          <w:p w14:paraId="3B07BEE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8.0 </w:t>
            </w:r>
          </w:p>
        </w:tc>
        <w:tc>
          <w:tcPr>
            <w:tcW w:w="800" w:type="dxa"/>
            <w:noWrap w:val="0"/>
            <w:vAlign w:val="center"/>
          </w:tcPr>
          <w:p w14:paraId="68BCC51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w:t>
            </w:r>
          </w:p>
        </w:tc>
        <w:tc>
          <w:tcPr>
            <w:tcW w:w="3875" w:type="dxa"/>
            <w:noWrap w:val="0"/>
            <w:vAlign w:val="center"/>
          </w:tcPr>
          <w:p w14:paraId="696E00A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★投标人需</w:t>
            </w:r>
            <w:r>
              <w:rPr>
                <w:rFonts w:hint="eastAsia" w:ascii="仿宋" w:hAnsi="仿宋" w:eastAsia="仿宋" w:cs="仿宋"/>
                <w:color w:val="000000"/>
                <w:sz w:val="24"/>
                <w:szCs w:val="24"/>
                <w:lang w:val="en-US" w:eastAsia="zh-CN"/>
              </w:rPr>
              <w:t>按要求</w:t>
            </w:r>
            <w:r>
              <w:rPr>
                <w:rFonts w:hint="eastAsia" w:ascii="仿宋" w:hAnsi="仿宋" w:eastAsia="仿宋" w:cs="仿宋"/>
                <w:color w:val="000000"/>
                <w:sz w:val="24"/>
                <w:szCs w:val="24"/>
              </w:rPr>
              <w:t>交付可信医疗数据存储加密系统；并能够整合联通链接医疗数据应用协同系统。</w:t>
            </w:r>
          </w:p>
        </w:tc>
        <w:tc>
          <w:tcPr>
            <w:tcW w:w="1000" w:type="dxa"/>
            <w:noWrap w:val="0"/>
            <w:vAlign w:val="center"/>
          </w:tcPr>
          <w:p w14:paraId="7F8C1AE6">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F2A6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696" w:type="dxa"/>
            <w:vMerge w:val="continue"/>
            <w:noWrap w:val="0"/>
            <w:vAlign w:val="center"/>
          </w:tcPr>
          <w:p w14:paraId="167D5413">
            <w:pPr>
              <w:pageBreakBefore w:val="0"/>
              <w:wordWrap/>
              <w:overflowPunct/>
              <w:topLinePunct w:val="0"/>
              <w:bidi w:val="0"/>
              <w:spacing w:line="360" w:lineRule="auto"/>
              <w:rPr>
                <w:rFonts w:hint="eastAsia" w:ascii="仿宋" w:hAnsi="仿宋" w:eastAsia="仿宋" w:cs="仿宋"/>
                <w:color w:val="000000"/>
                <w:sz w:val="24"/>
                <w:szCs w:val="24"/>
              </w:rPr>
            </w:pPr>
          </w:p>
        </w:tc>
        <w:tc>
          <w:tcPr>
            <w:tcW w:w="1082" w:type="dxa"/>
            <w:vMerge w:val="restart"/>
            <w:noWrap w:val="0"/>
            <w:vAlign w:val="center"/>
          </w:tcPr>
          <w:p w14:paraId="6F395CC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8.1 </w:t>
            </w:r>
          </w:p>
        </w:tc>
        <w:tc>
          <w:tcPr>
            <w:tcW w:w="787" w:type="dxa"/>
            <w:vMerge w:val="restart"/>
            <w:noWrap w:val="0"/>
            <w:vAlign w:val="center"/>
          </w:tcPr>
          <w:p w14:paraId="2D0DECD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数据库接入服务</w:t>
            </w:r>
          </w:p>
        </w:tc>
        <w:tc>
          <w:tcPr>
            <w:tcW w:w="1025" w:type="dxa"/>
            <w:noWrap w:val="0"/>
            <w:vAlign w:val="center"/>
          </w:tcPr>
          <w:p w14:paraId="32E3E59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8.1.1</w:t>
            </w:r>
          </w:p>
        </w:tc>
        <w:tc>
          <w:tcPr>
            <w:tcW w:w="800" w:type="dxa"/>
            <w:noWrap w:val="0"/>
            <w:vAlign w:val="center"/>
          </w:tcPr>
          <w:p w14:paraId="3666391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接入服务</w:t>
            </w:r>
          </w:p>
        </w:tc>
        <w:tc>
          <w:tcPr>
            <w:tcW w:w="3875" w:type="dxa"/>
            <w:noWrap w:val="0"/>
            <w:vAlign w:val="center"/>
          </w:tcPr>
          <w:p w14:paraId="73FC85B9">
            <w:pPr>
              <w:pageBreakBefore w:val="0"/>
              <w:wordWrap w:val="0"/>
              <w:overflowPunct/>
              <w:topLinePunct w:val="0"/>
              <w:bidi w:val="0"/>
              <w:spacing w:line="360" w:lineRule="auto"/>
              <w:jc w:val="left"/>
              <w:rPr>
                <w:rFonts w:hint="eastAsia" w:ascii="仿宋" w:hAnsi="仿宋" w:eastAsia="仿宋" w:cs="仿宋"/>
                <w:color w:val="000000"/>
                <w:sz w:val="24"/>
                <w:szCs w:val="24"/>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8.1.1.1</w:t>
            </w:r>
            <w:r>
              <w:rPr>
                <w:rFonts w:hint="eastAsia" w:ascii="仿宋" w:hAnsi="仿宋" w:eastAsia="仿宋" w:cs="仿宋"/>
                <w:color w:val="000000"/>
                <w:sz w:val="24"/>
                <w:szCs w:val="24"/>
              </w:rPr>
              <w:t>支持MySQL、PostgreSQL、Oracle、SQLServer、SQLite、达梦DM8等主流关系型数据库接入；</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lang w:val="en-US" w:eastAsia="zh-CN"/>
              </w:rPr>
              <w:t>8.1.1.2</w:t>
            </w:r>
            <w:r>
              <w:rPr>
                <w:rFonts w:hint="eastAsia" w:ascii="仿宋" w:hAnsi="仿宋" w:eastAsia="仿宋" w:cs="仿宋"/>
                <w:color w:val="000000"/>
                <w:sz w:val="24"/>
                <w:szCs w:val="24"/>
              </w:rPr>
              <w:t>支持Linux部署及国产服务器、操作系统、CPU适配方案；</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lang w:val="en-US" w:eastAsia="zh-CN"/>
              </w:rPr>
              <w:t>8.1.1.3</w:t>
            </w:r>
            <w:r>
              <w:rPr>
                <w:rFonts w:hint="eastAsia" w:ascii="仿宋" w:hAnsi="仿宋" w:eastAsia="仿宋" w:cs="仿宋"/>
                <w:color w:val="000000"/>
                <w:sz w:val="24"/>
                <w:szCs w:val="24"/>
              </w:rPr>
              <w:t>支持低侵入接入，Java应用可通过Java Agent注入方式接入。</w:t>
            </w:r>
          </w:p>
        </w:tc>
        <w:tc>
          <w:tcPr>
            <w:tcW w:w="1000" w:type="dxa"/>
            <w:noWrap w:val="0"/>
            <w:vAlign w:val="center"/>
          </w:tcPr>
          <w:p w14:paraId="5016DBA8">
            <w:pPr>
              <w:pageBreakBefore w:val="0"/>
              <w:wordWrap/>
              <w:overflowPunct/>
              <w:topLinePunct w:val="0"/>
              <w:bidi w:val="0"/>
              <w:spacing w:line="360" w:lineRule="auto"/>
              <w:jc w:val="center"/>
              <w:rPr>
                <w:rFonts w:hint="eastAsia" w:ascii="仿宋" w:hAnsi="仿宋" w:eastAsia="宋体" w:cs="仿宋"/>
                <w:color w:val="000000"/>
                <w:sz w:val="24"/>
                <w:szCs w:val="24"/>
                <w:lang w:eastAsia="zh-CN"/>
              </w:rPr>
            </w:pPr>
            <w:r>
              <w:rPr>
                <w:rFonts w:hint="eastAsia" w:ascii="仿宋" w:hAnsi="仿宋" w:eastAsia="仿宋" w:cs="仿宋"/>
                <w:color w:val="000000"/>
                <w:sz w:val="24"/>
                <w:szCs w:val="24"/>
                <w:lang w:val="en-US" w:eastAsia="zh-CN"/>
              </w:rPr>
              <w:t>否</w:t>
            </w:r>
          </w:p>
        </w:tc>
      </w:tr>
      <w:tr w14:paraId="4A839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6" w:type="dxa"/>
            <w:vMerge w:val="continue"/>
            <w:noWrap w:val="0"/>
            <w:vAlign w:val="center"/>
          </w:tcPr>
          <w:p w14:paraId="6AACACE9">
            <w:pPr>
              <w:pageBreakBefore w:val="0"/>
              <w:wordWrap/>
              <w:overflowPunct/>
              <w:topLinePunct w:val="0"/>
              <w:bidi w:val="0"/>
              <w:spacing w:line="360" w:lineRule="auto"/>
              <w:rPr>
                <w:rFonts w:hint="eastAsia" w:ascii="仿宋" w:hAnsi="仿宋" w:eastAsia="仿宋" w:cs="仿宋"/>
                <w:color w:val="000000"/>
                <w:sz w:val="24"/>
                <w:szCs w:val="24"/>
              </w:rPr>
            </w:pPr>
          </w:p>
        </w:tc>
        <w:tc>
          <w:tcPr>
            <w:tcW w:w="1082" w:type="dxa"/>
            <w:vMerge w:val="continue"/>
            <w:noWrap w:val="0"/>
            <w:vAlign w:val="center"/>
          </w:tcPr>
          <w:p w14:paraId="13A47080">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0C12659E">
            <w:pPr>
              <w:pageBreakBefore w:val="0"/>
              <w:wordWrap/>
              <w:overflowPunct/>
              <w:topLinePunct w:val="0"/>
              <w:bidi w:val="0"/>
              <w:spacing w:line="360" w:lineRule="auto"/>
              <w:rPr>
                <w:rFonts w:hint="eastAsia" w:ascii="仿宋" w:hAnsi="仿宋" w:eastAsia="仿宋" w:cs="仿宋"/>
                <w:color w:val="000000"/>
                <w:sz w:val="24"/>
                <w:szCs w:val="24"/>
              </w:rPr>
            </w:pPr>
          </w:p>
        </w:tc>
        <w:tc>
          <w:tcPr>
            <w:tcW w:w="1025" w:type="dxa"/>
            <w:noWrap w:val="0"/>
            <w:vAlign w:val="center"/>
          </w:tcPr>
          <w:p w14:paraId="4FE21ED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8.1.2</w:t>
            </w:r>
          </w:p>
        </w:tc>
        <w:tc>
          <w:tcPr>
            <w:tcW w:w="800" w:type="dxa"/>
            <w:noWrap w:val="0"/>
            <w:vAlign w:val="center"/>
          </w:tcPr>
          <w:p w14:paraId="1E206F1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适配硬件</w:t>
            </w:r>
          </w:p>
        </w:tc>
        <w:tc>
          <w:tcPr>
            <w:tcW w:w="3875" w:type="dxa"/>
            <w:noWrap w:val="0"/>
            <w:vAlign w:val="center"/>
          </w:tcPr>
          <w:p w14:paraId="5940B1E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▲支持在可信执行环境中部署，将密钥管理和关键加解密过程限定在可信环境内。</w:t>
            </w:r>
          </w:p>
        </w:tc>
        <w:tc>
          <w:tcPr>
            <w:tcW w:w="1000" w:type="dxa"/>
            <w:noWrap w:val="0"/>
            <w:vAlign w:val="center"/>
          </w:tcPr>
          <w:p w14:paraId="74B90376">
            <w:pPr>
              <w:pageBreakBefore w:val="0"/>
              <w:wordWrap/>
              <w:overflowPunct/>
              <w:topLinePunct w:val="0"/>
              <w:bidi w:val="0"/>
              <w:spacing w:line="360" w:lineRule="auto"/>
              <w:jc w:val="center"/>
              <w:rPr>
                <w:rFonts w:hint="eastAsia" w:ascii="仿宋" w:hAnsi="仿宋" w:eastAsia="宋体" w:cs="仿宋"/>
                <w:color w:val="000000"/>
                <w:sz w:val="24"/>
                <w:szCs w:val="24"/>
                <w:lang w:eastAsia="zh-CN"/>
              </w:rPr>
            </w:pPr>
            <w:r>
              <w:rPr>
                <w:rFonts w:hint="eastAsia" w:ascii="仿宋" w:hAnsi="仿宋" w:eastAsia="仿宋" w:cs="仿宋"/>
                <w:color w:val="000000"/>
                <w:sz w:val="24"/>
                <w:szCs w:val="24"/>
                <w:lang w:val="en-US" w:eastAsia="zh-CN"/>
              </w:rPr>
              <w:t>否</w:t>
            </w:r>
          </w:p>
        </w:tc>
      </w:tr>
      <w:tr w14:paraId="2A29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696" w:type="dxa"/>
            <w:vMerge w:val="continue"/>
            <w:noWrap w:val="0"/>
            <w:vAlign w:val="center"/>
          </w:tcPr>
          <w:p w14:paraId="2859ECD3">
            <w:pPr>
              <w:pageBreakBefore w:val="0"/>
              <w:wordWrap/>
              <w:overflowPunct/>
              <w:topLinePunct w:val="0"/>
              <w:bidi w:val="0"/>
              <w:spacing w:line="360" w:lineRule="auto"/>
              <w:rPr>
                <w:rFonts w:hint="eastAsia" w:ascii="仿宋" w:hAnsi="仿宋" w:eastAsia="仿宋" w:cs="仿宋"/>
                <w:color w:val="000000"/>
                <w:sz w:val="24"/>
                <w:szCs w:val="24"/>
              </w:rPr>
            </w:pPr>
          </w:p>
        </w:tc>
        <w:tc>
          <w:tcPr>
            <w:tcW w:w="1082" w:type="dxa"/>
            <w:noWrap w:val="0"/>
            <w:vAlign w:val="center"/>
          </w:tcPr>
          <w:p w14:paraId="34CA1CD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8.2 </w:t>
            </w:r>
          </w:p>
        </w:tc>
        <w:tc>
          <w:tcPr>
            <w:tcW w:w="787" w:type="dxa"/>
            <w:noWrap w:val="0"/>
            <w:vAlign w:val="center"/>
          </w:tcPr>
          <w:p w14:paraId="13F1DDB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加密策略与透明加解密要求</w:t>
            </w:r>
          </w:p>
        </w:tc>
        <w:tc>
          <w:tcPr>
            <w:tcW w:w="1025" w:type="dxa"/>
            <w:noWrap w:val="0"/>
            <w:vAlign w:val="center"/>
          </w:tcPr>
          <w:p w14:paraId="0499124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8.2.1</w:t>
            </w:r>
          </w:p>
        </w:tc>
        <w:tc>
          <w:tcPr>
            <w:tcW w:w="800" w:type="dxa"/>
            <w:noWrap w:val="0"/>
            <w:vAlign w:val="center"/>
          </w:tcPr>
          <w:p w14:paraId="6D477A7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加密策略与透明加解密要求</w:t>
            </w:r>
          </w:p>
        </w:tc>
        <w:tc>
          <w:tcPr>
            <w:tcW w:w="3875" w:type="dxa"/>
            <w:noWrap w:val="0"/>
            <w:vAlign w:val="center"/>
          </w:tcPr>
          <w:p w14:paraId="704BB4E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支持列级加密及敏感字段策略配置，包括字段名称、数据类型、是否加密、是否可搜索、明文返回类型和搜索索引字段等；</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支持授权用户动态加密写入和解密读取，透明处理查询、插入、更新、删除等常用SQL，原则上不改业务SQL；</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直接通过数据库原生客户端访问时不得获得明文，并应说明不支持或需改造的SQL、字段类型、索引及启动参数场景。</w:t>
            </w:r>
          </w:p>
        </w:tc>
        <w:tc>
          <w:tcPr>
            <w:tcW w:w="1000" w:type="dxa"/>
            <w:noWrap w:val="0"/>
            <w:vAlign w:val="center"/>
          </w:tcPr>
          <w:p w14:paraId="3C008D8B">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A22F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696" w:type="dxa"/>
            <w:vMerge w:val="continue"/>
            <w:noWrap w:val="0"/>
            <w:vAlign w:val="center"/>
          </w:tcPr>
          <w:p w14:paraId="27AC1E9E">
            <w:pPr>
              <w:pageBreakBefore w:val="0"/>
              <w:wordWrap/>
              <w:overflowPunct/>
              <w:topLinePunct w:val="0"/>
              <w:bidi w:val="0"/>
              <w:spacing w:line="360" w:lineRule="auto"/>
              <w:rPr>
                <w:rFonts w:hint="eastAsia" w:ascii="仿宋" w:hAnsi="仿宋" w:eastAsia="仿宋" w:cs="仿宋"/>
                <w:color w:val="000000"/>
                <w:sz w:val="24"/>
                <w:szCs w:val="24"/>
              </w:rPr>
            </w:pPr>
          </w:p>
        </w:tc>
        <w:tc>
          <w:tcPr>
            <w:tcW w:w="1082" w:type="dxa"/>
            <w:vMerge w:val="restart"/>
            <w:noWrap w:val="0"/>
            <w:vAlign w:val="center"/>
          </w:tcPr>
          <w:p w14:paraId="3B36530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8.3 </w:t>
            </w:r>
          </w:p>
        </w:tc>
        <w:tc>
          <w:tcPr>
            <w:tcW w:w="787" w:type="dxa"/>
            <w:vMerge w:val="restart"/>
            <w:noWrap w:val="0"/>
            <w:vAlign w:val="center"/>
          </w:tcPr>
          <w:p w14:paraId="4A6E8F4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密钥管理与密码算法要求</w:t>
            </w:r>
          </w:p>
        </w:tc>
        <w:tc>
          <w:tcPr>
            <w:tcW w:w="1025" w:type="dxa"/>
            <w:noWrap w:val="0"/>
            <w:vAlign w:val="center"/>
          </w:tcPr>
          <w:p w14:paraId="1C1F2AD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8.3.1</w:t>
            </w:r>
          </w:p>
        </w:tc>
        <w:tc>
          <w:tcPr>
            <w:tcW w:w="800" w:type="dxa"/>
            <w:noWrap w:val="0"/>
            <w:vAlign w:val="center"/>
          </w:tcPr>
          <w:p w14:paraId="2AD6936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密钥管理</w:t>
            </w:r>
          </w:p>
        </w:tc>
        <w:tc>
          <w:tcPr>
            <w:tcW w:w="3875" w:type="dxa"/>
            <w:noWrap w:val="0"/>
            <w:vAlign w:val="center"/>
          </w:tcPr>
          <w:p w14:paraId="7C8F463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8.3.1.1</w:t>
            </w:r>
            <w:r>
              <w:rPr>
                <w:rFonts w:hint="eastAsia" w:ascii="仿宋" w:hAnsi="仿宋" w:eastAsia="仿宋" w:cs="仿宋"/>
                <w:color w:val="000000"/>
                <w:sz w:val="24"/>
                <w:szCs w:val="24"/>
              </w:rPr>
              <w:t>支持独立密钥管理，密钥独立生成、保存和管理，不与业务数据库明文混放；</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lang w:val="en-US" w:eastAsia="zh-CN"/>
              </w:rPr>
              <w:t>8.3.1.2</w:t>
            </w:r>
            <w:r>
              <w:rPr>
                <w:rFonts w:hint="eastAsia" w:ascii="仿宋" w:hAnsi="仿宋" w:eastAsia="仿宋" w:cs="仿宋"/>
                <w:color w:val="000000"/>
                <w:sz w:val="24"/>
                <w:szCs w:val="24"/>
              </w:rPr>
              <w:t>支持主密钥、数据加密密钥或等效体系的初始化、导入、导出、备份与恢复，并支持SM4、SM2、SM3或等效国密能力。</w:t>
            </w:r>
          </w:p>
        </w:tc>
        <w:tc>
          <w:tcPr>
            <w:tcW w:w="1000" w:type="dxa"/>
            <w:noWrap w:val="0"/>
            <w:vAlign w:val="center"/>
          </w:tcPr>
          <w:p w14:paraId="3605D770">
            <w:pPr>
              <w:pageBreakBefore w:val="0"/>
              <w:wordWrap/>
              <w:overflowPunct/>
              <w:topLinePunct w:val="0"/>
              <w:bidi w:val="0"/>
              <w:spacing w:line="360" w:lineRule="auto"/>
              <w:jc w:val="center"/>
              <w:rPr>
                <w:rFonts w:hint="eastAsia" w:ascii="仿宋" w:hAnsi="仿宋" w:eastAsia="宋体" w:cs="仿宋"/>
                <w:color w:val="000000"/>
                <w:sz w:val="24"/>
                <w:szCs w:val="24"/>
                <w:lang w:eastAsia="zh-CN"/>
              </w:rPr>
            </w:pPr>
            <w:r>
              <w:rPr>
                <w:rFonts w:hint="eastAsia" w:ascii="仿宋" w:hAnsi="仿宋" w:eastAsia="仿宋" w:cs="仿宋"/>
                <w:color w:val="000000"/>
                <w:sz w:val="24"/>
                <w:szCs w:val="24"/>
                <w:lang w:val="en-US" w:eastAsia="zh-CN"/>
              </w:rPr>
              <w:t>否</w:t>
            </w:r>
          </w:p>
        </w:tc>
      </w:tr>
      <w:tr w14:paraId="12B8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96" w:type="dxa"/>
            <w:vMerge w:val="continue"/>
            <w:noWrap w:val="0"/>
            <w:vAlign w:val="center"/>
          </w:tcPr>
          <w:p w14:paraId="40DDA4E8">
            <w:pPr>
              <w:pageBreakBefore w:val="0"/>
              <w:wordWrap/>
              <w:overflowPunct/>
              <w:topLinePunct w:val="0"/>
              <w:bidi w:val="0"/>
              <w:spacing w:line="360" w:lineRule="auto"/>
              <w:rPr>
                <w:rFonts w:hint="eastAsia" w:ascii="仿宋" w:hAnsi="仿宋" w:eastAsia="仿宋" w:cs="仿宋"/>
                <w:color w:val="000000"/>
                <w:sz w:val="24"/>
                <w:szCs w:val="24"/>
              </w:rPr>
            </w:pPr>
          </w:p>
        </w:tc>
        <w:tc>
          <w:tcPr>
            <w:tcW w:w="1082" w:type="dxa"/>
            <w:vMerge w:val="continue"/>
            <w:noWrap w:val="0"/>
            <w:vAlign w:val="center"/>
          </w:tcPr>
          <w:p w14:paraId="04C78917">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26680C04">
            <w:pPr>
              <w:pageBreakBefore w:val="0"/>
              <w:wordWrap/>
              <w:overflowPunct/>
              <w:topLinePunct w:val="0"/>
              <w:bidi w:val="0"/>
              <w:spacing w:line="360" w:lineRule="auto"/>
              <w:rPr>
                <w:rFonts w:hint="eastAsia" w:ascii="仿宋" w:hAnsi="仿宋" w:eastAsia="仿宋" w:cs="仿宋"/>
                <w:color w:val="000000"/>
                <w:sz w:val="24"/>
                <w:szCs w:val="24"/>
              </w:rPr>
            </w:pPr>
          </w:p>
        </w:tc>
        <w:tc>
          <w:tcPr>
            <w:tcW w:w="1025" w:type="dxa"/>
            <w:noWrap w:val="0"/>
            <w:vAlign w:val="center"/>
          </w:tcPr>
          <w:p w14:paraId="512B3F2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8.3.2</w:t>
            </w:r>
          </w:p>
        </w:tc>
        <w:tc>
          <w:tcPr>
            <w:tcW w:w="800" w:type="dxa"/>
            <w:noWrap w:val="0"/>
            <w:vAlign w:val="center"/>
          </w:tcPr>
          <w:p w14:paraId="349FADF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密钥应用</w:t>
            </w:r>
          </w:p>
        </w:tc>
        <w:tc>
          <w:tcPr>
            <w:tcW w:w="3875" w:type="dxa"/>
            <w:noWrap w:val="0"/>
            <w:vAlign w:val="center"/>
          </w:tcPr>
          <w:p w14:paraId="2B6DA58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▲采用TEE时，密钥管理和关键使用过程宜限定在可信执行环境内，密钥不以明文形式出现在普通内存或日志中。</w:t>
            </w:r>
          </w:p>
        </w:tc>
        <w:tc>
          <w:tcPr>
            <w:tcW w:w="1000" w:type="dxa"/>
            <w:noWrap w:val="0"/>
            <w:vAlign w:val="center"/>
          </w:tcPr>
          <w:p w14:paraId="735FFFC7">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是，需提供产品截图或第三方测试报告</w:t>
            </w:r>
          </w:p>
        </w:tc>
      </w:tr>
      <w:tr w14:paraId="3224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6" w:type="dxa"/>
            <w:vMerge w:val="continue"/>
            <w:noWrap w:val="0"/>
            <w:vAlign w:val="center"/>
          </w:tcPr>
          <w:p w14:paraId="3A7C53AD">
            <w:pPr>
              <w:pageBreakBefore w:val="0"/>
              <w:wordWrap/>
              <w:overflowPunct/>
              <w:topLinePunct w:val="0"/>
              <w:bidi w:val="0"/>
              <w:spacing w:line="360" w:lineRule="auto"/>
              <w:rPr>
                <w:rFonts w:hint="eastAsia" w:ascii="仿宋" w:hAnsi="仿宋" w:eastAsia="仿宋" w:cs="仿宋"/>
                <w:color w:val="000000"/>
                <w:sz w:val="24"/>
                <w:szCs w:val="24"/>
              </w:rPr>
            </w:pPr>
          </w:p>
        </w:tc>
        <w:tc>
          <w:tcPr>
            <w:tcW w:w="1082" w:type="dxa"/>
            <w:vMerge w:val="restart"/>
            <w:noWrap w:val="0"/>
            <w:vAlign w:val="center"/>
          </w:tcPr>
          <w:p w14:paraId="18F4175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8.4 </w:t>
            </w:r>
          </w:p>
        </w:tc>
        <w:tc>
          <w:tcPr>
            <w:tcW w:w="787" w:type="dxa"/>
            <w:vMerge w:val="restart"/>
            <w:noWrap w:val="0"/>
            <w:vAlign w:val="center"/>
          </w:tcPr>
          <w:p w14:paraId="7227F68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可搜索加密与查询兼容要求</w:t>
            </w:r>
          </w:p>
        </w:tc>
        <w:tc>
          <w:tcPr>
            <w:tcW w:w="1025" w:type="dxa"/>
            <w:noWrap w:val="0"/>
            <w:vAlign w:val="center"/>
          </w:tcPr>
          <w:p w14:paraId="5EF59E5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8.4.1</w:t>
            </w:r>
          </w:p>
        </w:tc>
        <w:tc>
          <w:tcPr>
            <w:tcW w:w="800" w:type="dxa"/>
            <w:noWrap w:val="0"/>
            <w:vAlign w:val="center"/>
          </w:tcPr>
          <w:p w14:paraId="1FBC50C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加密搜索服务</w:t>
            </w:r>
          </w:p>
        </w:tc>
        <w:tc>
          <w:tcPr>
            <w:tcW w:w="3875" w:type="dxa"/>
            <w:noWrap w:val="0"/>
            <w:vAlign w:val="center"/>
          </w:tcPr>
          <w:p w14:paraId="591AE88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▲支持加密字段的等值查询或精确匹配查询，满足常见业务检索要求。</w:t>
            </w:r>
          </w:p>
        </w:tc>
        <w:tc>
          <w:tcPr>
            <w:tcW w:w="1000" w:type="dxa"/>
            <w:noWrap w:val="0"/>
            <w:vAlign w:val="center"/>
          </w:tcPr>
          <w:p w14:paraId="258D9E73">
            <w:pPr>
              <w:pageBreakBefore w:val="0"/>
              <w:wordWrap/>
              <w:overflowPunct/>
              <w:topLinePunct w:val="0"/>
              <w:bidi w:val="0"/>
              <w:spacing w:line="360" w:lineRule="auto"/>
              <w:jc w:val="center"/>
              <w:rPr>
                <w:rFonts w:hint="eastAsia" w:ascii="仿宋" w:hAnsi="仿宋" w:eastAsia="宋体" w:cs="仿宋"/>
                <w:color w:val="000000"/>
                <w:sz w:val="24"/>
                <w:szCs w:val="24"/>
                <w:lang w:eastAsia="zh-CN"/>
              </w:rPr>
            </w:pPr>
            <w:r>
              <w:rPr>
                <w:rFonts w:hint="eastAsia" w:ascii="仿宋" w:hAnsi="仿宋" w:eastAsia="仿宋" w:cs="仿宋"/>
                <w:color w:val="000000"/>
                <w:sz w:val="24"/>
                <w:szCs w:val="24"/>
                <w:lang w:val="en-US" w:eastAsia="zh-CN"/>
              </w:rPr>
              <w:t>否</w:t>
            </w:r>
          </w:p>
        </w:tc>
      </w:tr>
      <w:tr w14:paraId="2846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6" w:type="dxa"/>
            <w:vMerge w:val="continue"/>
            <w:noWrap w:val="0"/>
            <w:vAlign w:val="center"/>
          </w:tcPr>
          <w:p w14:paraId="2078BE18">
            <w:pPr>
              <w:pageBreakBefore w:val="0"/>
              <w:wordWrap/>
              <w:overflowPunct/>
              <w:topLinePunct w:val="0"/>
              <w:bidi w:val="0"/>
              <w:spacing w:line="360" w:lineRule="auto"/>
              <w:rPr>
                <w:rFonts w:hint="eastAsia" w:ascii="仿宋" w:hAnsi="仿宋" w:eastAsia="仿宋" w:cs="仿宋"/>
                <w:color w:val="000000"/>
                <w:sz w:val="24"/>
                <w:szCs w:val="24"/>
              </w:rPr>
            </w:pPr>
          </w:p>
        </w:tc>
        <w:tc>
          <w:tcPr>
            <w:tcW w:w="1082" w:type="dxa"/>
            <w:vMerge w:val="continue"/>
            <w:noWrap w:val="0"/>
            <w:vAlign w:val="center"/>
          </w:tcPr>
          <w:p w14:paraId="290FB7CF">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44BC9582">
            <w:pPr>
              <w:pageBreakBefore w:val="0"/>
              <w:wordWrap/>
              <w:overflowPunct/>
              <w:topLinePunct w:val="0"/>
              <w:bidi w:val="0"/>
              <w:spacing w:line="360" w:lineRule="auto"/>
              <w:rPr>
                <w:rFonts w:hint="eastAsia" w:ascii="仿宋" w:hAnsi="仿宋" w:eastAsia="仿宋" w:cs="仿宋"/>
                <w:color w:val="000000"/>
                <w:sz w:val="24"/>
                <w:szCs w:val="24"/>
              </w:rPr>
            </w:pPr>
          </w:p>
        </w:tc>
        <w:tc>
          <w:tcPr>
            <w:tcW w:w="1025" w:type="dxa"/>
            <w:noWrap w:val="0"/>
            <w:vAlign w:val="center"/>
          </w:tcPr>
          <w:p w14:paraId="67F6D05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8.4.2</w:t>
            </w:r>
          </w:p>
        </w:tc>
        <w:tc>
          <w:tcPr>
            <w:tcW w:w="800" w:type="dxa"/>
            <w:noWrap w:val="0"/>
            <w:vAlign w:val="center"/>
          </w:tcPr>
          <w:p w14:paraId="319035B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加密查询服务</w:t>
            </w:r>
          </w:p>
        </w:tc>
        <w:tc>
          <w:tcPr>
            <w:tcW w:w="3875" w:type="dxa"/>
            <w:noWrap w:val="0"/>
            <w:vAlign w:val="center"/>
          </w:tcPr>
          <w:p w14:paraId="38AE7DC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▲支持可搜索加密，在不暴露明文字段的情况下完成部分模糊查询、前缀查询或等效安全检索。</w:t>
            </w:r>
          </w:p>
        </w:tc>
        <w:tc>
          <w:tcPr>
            <w:tcW w:w="1000" w:type="dxa"/>
            <w:noWrap w:val="0"/>
            <w:vAlign w:val="center"/>
          </w:tcPr>
          <w:p w14:paraId="77A96F25">
            <w:pPr>
              <w:pageBreakBefore w:val="0"/>
              <w:wordWrap/>
              <w:overflowPunct/>
              <w:topLinePunct w:val="0"/>
              <w:bidi w:val="0"/>
              <w:spacing w:line="360" w:lineRule="auto"/>
              <w:jc w:val="center"/>
              <w:rPr>
                <w:rFonts w:hint="eastAsia" w:ascii="仿宋" w:hAnsi="仿宋" w:eastAsia="宋体" w:cs="仿宋"/>
                <w:color w:val="000000"/>
                <w:sz w:val="24"/>
                <w:szCs w:val="24"/>
                <w:lang w:eastAsia="zh-CN"/>
              </w:rPr>
            </w:pPr>
            <w:r>
              <w:rPr>
                <w:rFonts w:hint="eastAsia" w:ascii="仿宋" w:hAnsi="仿宋" w:eastAsia="仿宋" w:cs="仿宋"/>
                <w:color w:val="000000"/>
                <w:sz w:val="24"/>
                <w:szCs w:val="24"/>
                <w:lang w:val="en-US" w:eastAsia="zh-CN"/>
              </w:rPr>
              <w:t>否</w:t>
            </w:r>
          </w:p>
        </w:tc>
      </w:tr>
    </w:tbl>
    <w:p w14:paraId="0EEE6F9A">
      <w:pPr>
        <w:pStyle w:val="3"/>
        <w:keepNext/>
        <w:keepLines/>
        <w:pageBreakBefore w:val="0"/>
        <w:widowControl w:val="0"/>
        <w:numPr>
          <w:ilvl w:val="0"/>
          <w:numId w:val="0"/>
        </w:numPr>
        <w:kinsoku/>
        <w:wordWrap/>
        <w:overflowPunct/>
        <w:topLinePunct w:val="0"/>
        <w:autoSpaceDE/>
        <w:autoSpaceDN/>
        <w:bidi w:val="0"/>
        <w:adjustRightInd w:val="0"/>
        <w:snapToGrid/>
        <w:spacing w:before="0" w:after="0" w:line="360" w:lineRule="auto"/>
        <w:textAlignment w:val="baseline"/>
        <w:rPr>
          <w:rFonts w:hint="eastAsia" w:ascii="仿宋" w:hAnsi="仿宋" w:eastAsia="仿宋" w:cs="仿宋"/>
          <w:sz w:val="24"/>
          <w:szCs w:val="24"/>
        </w:rPr>
      </w:pPr>
      <w:r>
        <w:rPr>
          <w:rFonts w:hint="eastAsia" w:ascii="仿宋" w:hAnsi="仿宋" w:eastAsia="仿宋" w:cs="仿宋"/>
          <w:sz w:val="24"/>
          <w:szCs w:val="24"/>
        </w:rPr>
        <w:t>9</w:t>
      </w:r>
      <w:r>
        <w:rPr>
          <w:rFonts w:hint="eastAsia" w:ascii="仿宋" w:hAnsi="仿宋" w:eastAsia="仿宋" w:cs="仿宋"/>
          <w:sz w:val="24"/>
          <w:szCs w:val="24"/>
          <w:lang w:eastAsia="zh-CN"/>
        </w:rPr>
        <w:t>、</w:t>
      </w:r>
      <w:r>
        <w:rPr>
          <w:rFonts w:hint="eastAsia" w:ascii="仿宋" w:hAnsi="仿宋" w:eastAsia="仿宋" w:cs="仿宋"/>
          <w:sz w:val="24"/>
          <w:szCs w:val="24"/>
        </w:rPr>
        <w:t>医疗数据采集+移动端系统</w:t>
      </w:r>
    </w:p>
    <w:tbl>
      <w:tblPr>
        <w:tblStyle w:val="9"/>
        <w:tblW w:w="925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987"/>
        <w:gridCol w:w="813"/>
        <w:gridCol w:w="1012"/>
        <w:gridCol w:w="813"/>
        <w:gridCol w:w="3825"/>
        <w:gridCol w:w="1025"/>
      </w:tblGrid>
      <w:tr w14:paraId="5127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noWrap w:val="0"/>
            <w:vAlign w:val="center"/>
          </w:tcPr>
          <w:p w14:paraId="1AFFAEA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平台</w:t>
            </w:r>
          </w:p>
        </w:tc>
        <w:tc>
          <w:tcPr>
            <w:tcW w:w="987" w:type="dxa"/>
            <w:noWrap w:val="0"/>
            <w:vAlign w:val="center"/>
          </w:tcPr>
          <w:p w14:paraId="4EE49AB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一级标号</w:t>
            </w:r>
          </w:p>
        </w:tc>
        <w:tc>
          <w:tcPr>
            <w:tcW w:w="813" w:type="dxa"/>
            <w:noWrap w:val="0"/>
            <w:vAlign w:val="center"/>
          </w:tcPr>
          <w:p w14:paraId="441C3A0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一级功能</w:t>
            </w:r>
          </w:p>
        </w:tc>
        <w:tc>
          <w:tcPr>
            <w:tcW w:w="1012" w:type="dxa"/>
            <w:noWrap w:val="0"/>
            <w:vAlign w:val="center"/>
          </w:tcPr>
          <w:p w14:paraId="2A3D7F1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二级标号</w:t>
            </w:r>
          </w:p>
        </w:tc>
        <w:tc>
          <w:tcPr>
            <w:tcW w:w="813" w:type="dxa"/>
            <w:noWrap w:val="0"/>
            <w:vAlign w:val="center"/>
          </w:tcPr>
          <w:p w14:paraId="53457EB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二级功能</w:t>
            </w:r>
          </w:p>
        </w:tc>
        <w:tc>
          <w:tcPr>
            <w:tcW w:w="3825" w:type="dxa"/>
            <w:noWrap w:val="0"/>
            <w:vAlign w:val="center"/>
          </w:tcPr>
          <w:p w14:paraId="1BE7B37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功能描述</w:t>
            </w:r>
          </w:p>
        </w:tc>
        <w:tc>
          <w:tcPr>
            <w:tcW w:w="1025" w:type="dxa"/>
            <w:noWrap w:val="0"/>
            <w:vAlign w:val="center"/>
          </w:tcPr>
          <w:p w14:paraId="6D2B69AB">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证明材料</w:t>
            </w:r>
          </w:p>
        </w:tc>
      </w:tr>
      <w:tr w14:paraId="79F6F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9" w:hRule="atLeast"/>
        </w:trPr>
        <w:tc>
          <w:tcPr>
            <w:tcW w:w="778" w:type="dxa"/>
            <w:vMerge w:val="restart"/>
            <w:noWrap w:val="0"/>
            <w:vAlign w:val="center"/>
          </w:tcPr>
          <w:p w14:paraId="6C28D38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9医疗数据采集+移动端系统</w:t>
            </w:r>
          </w:p>
        </w:tc>
        <w:tc>
          <w:tcPr>
            <w:tcW w:w="987" w:type="dxa"/>
            <w:noWrap w:val="0"/>
            <w:vAlign w:val="center"/>
          </w:tcPr>
          <w:p w14:paraId="79EFA42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9.0 </w:t>
            </w:r>
          </w:p>
        </w:tc>
        <w:tc>
          <w:tcPr>
            <w:tcW w:w="813" w:type="dxa"/>
            <w:noWrap w:val="0"/>
            <w:vAlign w:val="center"/>
          </w:tcPr>
          <w:p w14:paraId="0AB4716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★整体需求</w:t>
            </w:r>
          </w:p>
        </w:tc>
        <w:tc>
          <w:tcPr>
            <w:tcW w:w="1012" w:type="dxa"/>
            <w:noWrap w:val="0"/>
            <w:vAlign w:val="center"/>
          </w:tcPr>
          <w:p w14:paraId="559CD1F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9.0 </w:t>
            </w:r>
          </w:p>
        </w:tc>
        <w:tc>
          <w:tcPr>
            <w:tcW w:w="813" w:type="dxa"/>
            <w:noWrap w:val="0"/>
            <w:vAlign w:val="center"/>
          </w:tcPr>
          <w:p w14:paraId="17E6299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w:t>
            </w:r>
          </w:p>
        </w:tc>
        <w:tc>
          <w:tcPr>
            <w:tcW w:w="3825" w:type="dxa"/>
            <w:noWrap w:val="0"/>
            <w:vAlign w:val="center"/>
          </w:tcPr>
          <w:p w14:paraId="11BA299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投标人需</w:t>
            </w:r>
            <w:r>
              <w:rPr>
                <w:rFonts w:hint="eastAsia" w:ascii="仿宋" w:hAnsi="仿宋" w:eastAsia="仿宋" w:cs="仿宋"/>
                <w:color w:val="000000"/>
                <w:sz w:val="24"/>
                <w:szCs w:val="24"/>
                <w:lang w:val="en-US" w:eastAsia="zh-CN"/>
              </w:rPr>
              <w:t>按要求</w:t>
            </w:r>
            <w:r>
              <w:rPr>
                <w:rFonts w:hint="eastAsia" w:ascii="仿宋" w:hAnsi="仿宋" w:eastAsia="仿宋" w:cs="仿宋"/>
                <w:color w:val="000000"/>
                <w:sz w:val="24"/>
                <w:szCs w:val="24"/>
              </w:rPr>
              <w:t>交付医疗数据采集+移动端系统；并能够整合联通链接医疗数据应用协同系统。</w:t>
            </w:r>
          </w:p>
        </w:tc>
        <w:tc>
          <w:tcPr>
            <w:tcW w:w="1025" w:type="dxa"/>
            <w:noWrap w:val="0"/>
            <w:vAlign w:val="center"/>
          </w:tcPr>
          <w:p w14:paraId="5E41ABAA">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是，需提供3年内依据业务方多中心业务需求协助此系统进行免费多中心培训服务承诺函。</w:t>
            </w:r>
          </w:p>
        </w:tc>
      </w:tr>
      <w:tr w14:paraId="14F27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8" w:type="dxa"/>
            <w:vMerge w:val="continue"/>
            <w:noWrap w:val="0"/>
            <w:vAlign w:val="center"/>
          </w:tcPr>
          <w:p w14:paraId="3748E882">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restart"/>
            <w:noWrap/>
            <w:vAlign w:val="center"/>
          </w:tcPr>
          <w:p w14:paraId="7CCC753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9.1</w:t>
            </w:r>
          </w:p>
        </w:tc>
        <w:tc>
          <w:tcPr>
            <w:tcW w:w="813" w:type="dxa"/>
            <w:vMerge w:val="restart"/>
            <w:noWrap w:val="0"/>
            <w:vAlign w:val="center"/>
          </w:tcPr>
          <w:p w14:paraId="5262098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项目管理</w:t>
            </w:r>
          </w:p>
        </w:tc>
        <w:tc>
          <w:tcPr>
            <w:tcW w:w="1012" w:type="dxa"/>
            <w:noWrap/>
            <w:vAlign w:val="center"/>
          </w:tcPr>
          <w:p w14:paraId="2791D91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9.1.1</w:t>
            </w:r>
          </w:p>
        </w:tc>
        <w:tc>
          <w:tcPr>
            <w:tcW w:w="813" w:type="dxa"/>
            <w:noWrap/>
            <w:vAlign w:val="center"/>
          </w:tcPr>
          <w:p w14:paraId="69259C8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创建项目</w:t>
            </w:r>
          </w:p>
        </w:tc>
        <w:tc>
          <w:tcPr>
            <w:tcW w:w="3825" w:type="dxa"/>
            <w:noWrap w:val="0"/>
            <w:vAlign w:val="center"/>
          </w:tcPr>
          <w:p w14:paraId="64B21EF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支持录入项目基础信息，生成唯一项目ID。</w:t>
            </w:r>
          </w:p>
        </w:tc>
        <w:tc>
          <w:tcPr>
            <w:tcW w:w="1025" w:type="dxa"/>
            <w:noWrap w:val="0"/>
            <w:vAlign w:val="center"/>
          </w:tcPr>
          <w:p w14:paraId="7CB6CCF1">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5C9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57FA24F0">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6B4C1CE2">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602854AB">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4812DFD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9.1.2</w:t>
            </w:r>
          </w:p>
        </w:tc>
        <w:tc>
          <w:tcPr>
            <w:tcW w:w="813" w:type="dxa"/>
            <w:noWrap/>
            <w:vAlign w:val="center"/>
          </w:tcPr>
          <w:p w14:paraId="05C9CAD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项目添加中心</w:t>
            </w:r>
          </w:p>
        </w:tc>
        <w:tc>
          <w:tcPr>
            <w:tcW w:w="3825" w:type="dxa"/>
            <w:noWrap w:val="0"/>
            <w:vAlign w:val="center"/>
          </w:tcPr>
          <w:p w14:paraId="403AD84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支持关联参与研究的医疗中心，配置中心负责人与权限，支持多中心管理。</w:t>
            </w:r>
          </w:p>
        </w:tc>
        <w:tc>
          <w:tcPr>
            <w:tcW w:w="1025" w:type="dxa"/>
            <w:noWrap w:val="0"/>
            <w:vAlign w:val="center"/>
          </w:tcPr>
          <w:p w14:paraId="47F0DD91">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D77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7460A163">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75C84F64">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50ABD315">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3907B39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9.1.3</w:t>
            </w:r>
          </w:p>
        </w:tc>
        <w:tc>
          <w:tcPr>
            <w:tcW w:w="813" w:type="dxa"/>
            <w:noWrap/>
            <w:vAlign w:val="center"/>
          </w:tcPr>
          <w:p w14:paraId="369097A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为项目添加项目用户</w:t>
            </w:r>
          </w:p>
        </w:tc>
        <w:tc>
          <w:tcPr>
            <w:tcW w:w="3825" w:type="dxa"/>
            <w:noWrap w:val="0"/>
            <w:vAlign w:val="center"/>
          </w:tcPr>
          <w:p w14:paraId="250359B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支持按角色分配用户，配置功能权限与数据权限。</w:t>
            </w:r>
          </w:p>
        </w:tc>
        <w:tc>
          <w:tcPr>
            <w:tcW w:w="1025" w:type="dxa"/>
            <w:noWrap w:val="0"/>
            <w:vAlign w:val="center"/>
          </w:tcPr>
          <w:p w14:paraId="732B1B7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983A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48410E42">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3A3BC71A">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4FE1B810">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7126135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9.1.4</w:t>
            </w:r>
          </w:p>
        </w:tc>
        <w:tc>
          <w:tcPr>
            <w:tcW w:w="813" w:type="dxa"/>
            <w:noWrap/>
            <w:vAlign w:val="center"/>
          </w:tcPr>
          <w:p w14:paraId="5B09E1F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模板研究管理</w:t>
            </w:r>
          </w:p>
        </w:tc>
        <w:tc>
          <w:tcPr>
            <w:tcW w:w="3825" w:type="dxa"/>
            <w:noWrap w:val="0"/>
            <w:vAlign w:val="center"/>
          </w:tcPr>
          <w:p w14:paraId="6EE6A0B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支持添加项目研究模板管理，提高项目效率。</w:t>
            </w:r>
          </w:p>
        </w:tc>
        <w:tc>
          <w:tcPr>
            <w:tcW w:w="1025" w:type="dxa"/>
            <w:noWrap w:val="0"/>
            <w:vAlign w:val="center"/>
          </w:tcPr>
          <w:p w14:paraId="5274F737">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9FC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53597C6A">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2745A5AA">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33519112">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31BC220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9.1.5</w:t>
            </w:r>
          </w:p>
        </w:tc>
        <w:tc>
          <w:tcPr>
            <w:tcW w:w="813" w:type="dxa"/>
            <w:noWrap/>
            <w:vAlign w:val="center"/>
          </w:tcPr>
          <w:p w14:paraId="494E75C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访视设计</w:t>
            </w:r>
          </w:p>
        </w:tc>
        <w:tc>
          <w:tcPr>
            <w:tcW w:w="3825" w:type="dxa"/>
            <w:noWrap w:val="0"/>
            <w:vAlign w:val="center"/>
          </w:tcPr>
          <w:p w14:paraId="33DF003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系统支持计划、非计划、动态访视模式。</w:t>
            </w:r>
          </w:p>
        </w:tc>
        <w:tc>
          <w:tcPr>
            <w:tcW w:w="1025" w:type="dxa"/>
            <w:noWrap w:val="0"/>
            <w:vAlign w:val="center"/>
          </w:tcPr>
          <w:p w14:paraId="6716C2C1">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24BE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778" w:type="dxa"/>
            <w:vMerge w:val="continue"/>
            <w:noWrap w:val="0"/>
            <w:vAlign w:val="center"/>
          </w:tcPr>
          <w:p w14:paraId="63E14F83">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restart"/>
            <w:noWrap/>
            <w:vAlign w:val="center"/>
          </w:tcPr>
          <w:p w14:paraId="06BE6B6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9.2</w:t>
            </w:r>
          </w:p>
        </w:tc>
        <w:tc>
          <w:tcPr>
            <w:tcW w:w="813" w:type="dxa"/>
            <w:vMerge w:val="restart"/>
            <w:noWrap/>
            <w:vAlign w:val="center"/>
          </w:tcPr>
          <w:p w14:paraId="489B3CC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CRF管理</w:t>
            </w:r>
          </w:p>
        </w:tc>
        <w:tc>
          <w:tcPr>
            <w:tcW w:w="1012" w:type="dxa"/>
            <w:noWrap/>
            <w:vAlign w:val="center"/>
          </w:tcPr>
          <w:p w14:paraId="5E704B1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9.2.1</w:t>
            </w:r>
          </w:p>
        </w:tc>
        <w:tc>
          <w:tcPr>
            <w:tcW w:w="813" w:type="dxa"/>
            <w:noWrap/>
            <w:vAlign w:val="center"/>
          </w:tcPr>
          <w:p w14:paraId="2DE2669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普通 CRF 设计</w:t>
            </w:r>
          </w:p>
        </w:tc>
        <w:tc>
          <w:tcPr>
            <w:tcW w:w="3825" w:type="dxa"/>
            <w:noWrap w:val="0"/>
            <w:vAlign w:val="center"/>
          </w:tcPr>
          <w:p w14:paraId="3F7793F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支持常规临床试验/真实世界研究的标准化CRF表单全流程可视化设计，可自定义表单区段划分，设置必填/选填、格式校验、范围限制等基础规则；</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支持嵌入简单字段间逻辑校验，生成符合研究方案要求的基础数据采集表单。</w:t>
            </w:r>
          </w:p>
        </w:tc>
        <w:tc>
          <w:tcPr>
            <w:tcW w:w="1025" w:type="dxa"/>
            <w:noWrap w:val="0"/>
            <w:vAlign w:val="center"/>
          </w:tcPr>
          <w:p w14:paraId="70526D0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3EAE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8" w:type="dxa"/>
            <w:vMerge w:val="continue"/>
            <w:noWrap w:val="0"/>
            <w:vAlign w:val="center"/>
          </w:tcPr>
          <w:p w14:paraId="35964A56">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0C4E9265">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7048862E">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008A895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9.2.2</w:t>
            </w:r>
          </w:p>
        </w:tc>
        <w:tc>
          <w:tcPr>
            <w:tcW w:w="813" w:type="dxa"/>
            <w:noWrap/>
            <w:vAlign w:val="center"/>
          </w:tcPr>
          <w:p w14:paraId="7EB5EF6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公用CRF设计</w:t>
            </w:r>
          </w:p>
        </w:tc>
        <w:tc>
          <w:tcPr>
            <w:tcW w:w="3825" w:type="dxa"/>
            <w:noWrap w:val="0"/>
            <w:vAlign w:val="center"/>
          </w:tcPr>
          <w:p w14:paraId="3656BCA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▲支持跨项目复用的通用表单，存入CRF库统一管理。</w:t>
            </w:r>
          </w:p>
        </w:tc>
        <w:tc>
          <w:tcPr>
            <w:tcW w:w="1025" w:type="dxa"/>
            <w:noWrap/>
            <w:vAlign w:val="center"/>
          </w:tcPr>
          <w:p w14:paraId="2279CF07">
            <w:pPr>
              <w:pageBreakBefore w:val="0"/>
              <w:wordWrap/>
              <w:overflowPunct/>
              <w:topLinePunct w:val="0"/>
              <w:bidi w:val="0"/>
              <w:spacing w:line="360" w:lineRule="auto"/>
              <w:jc w:val="center"/>
              <w:rPr>
                <w:rFonts w:hint="eastAsia" w:ascii="仿宋" w:hAnsi="仿宋" w:eastAsia="宋体" w:cs="仿宋"/>
                <w:color w:val="000000"/>
                <w:sz w:val="24"/>
                <w:szCs w:val="24"/>
                <w:lang w:eastAsia="zh-CN"/>
              </w:rPr>
            </w:pPr>
            <w:r>
              <w:rPr>
                <w:rFonts w:hint="eastAsia" w:ascii="仿宋" w:hAnsi="仿宋" w:eastAsia="仿宋" w:cs="仿宋"/>
                <w:color w:val="000000"/>
                <w:sz w:val="24"/>
                <w:szCs w:val="24"/>
                <w:lang w:val="en-US" w:eastAsia="zh-CN"/>
              </w:rPr>
              <w:t>否</w:t>
            </w:r>
          </w:p>
        </w:tc>
      </w:tr>
      <w:tr w14:paraId="09A8F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8" w:type="dxa"/>
            <w:vMerge w:val="continue"/>
            <w:noWrap w:val="0"/>
            <w:vAlign w:val="center"/>
          </w:tcPr>
          <w:p w14:paraId="2536BF5C">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173CBDD2">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45844805">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1A235E6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9.2.3</w:t>
            </w:r>
          </w:p>
        </w:tc>
        <w:tc>
          <w:tcPr>
            <w:tcW w:w="813" w:type="dxa"/>
            <w:noWrap/>
            <w:vAlign w:val="center"/>
          </w:tcPr>
          <w:p w14:paraId="701CAB4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事件预约</w:t>
            </w:r>
          </w:p>
        </w:tc>
        <w:tc>
          <w:tcPr>
            <w:tcW w:w="3825" w:type="dxa"/>
            <w:noWrap w:val="0"/>
            <w:vAlign w:val="center"/>
          </w:tcPr>
          <w:p w14:paraId="6EA8647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支持将某一访视下创建的CRF表单与其他访视进行跨节点关联，实现一次设计、多访视复用。</w:t>
            </w:r>
          </w:p>
        </w:tc>
        <w:tc>
          <w:tcPr>
            <w:tcW w:w="1025" w:type="dxa"/>
            <w:noWrap w:val="0"/>
            <w:vAlign w:val="center"/>
          </w:tcPr>
          <w:p w14:paraId="011E0DD9">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96E0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8" w:type="dxa"/>
            <w:vMerge w:val="continue"/>
            <w:noWrap w:val="0"/>
            <w:vAlign w:val="center"/>
          </w:tcPr>
          <w:p w14:paraId="297015EC">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3FF96B5B">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2368E974">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2D1AF7C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9.2.4</w:t>
            </w:r>
          </w:p>
        </w:tc>
        <w:tc>
          <w:tcPr>
            <w:tcW w:w="813" w:type="dxa"/>
            <w:noWrap/>
            <w:vAlign w:val="center"/>
          </w:tcPr>
          <w:p w14:paraId="2F109C2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动态CRF设计</w:t>
            </w:r>
          </w:p>
        </w:tc>
        <w:tc>
          <w:tcPr>
            <w:tcW w:w="3825" w:type="dxa"/>
            <w:noWrap w:val="0"/>
            <w:vAlign w:val="center"/>
          </w:tcPr>
          <w:p w14:paraId="30987C8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支持基于业务条件触发表单字段/区段的动态显示、隐藏、必填性变更或值自动填充，可配置多维度触发规则。</w:t>
            </w:r>
          </w:p>
        </w:tc>
        <w:tc>
          <w:tcPr>
            <w:tcW w:w="1025" w:type="dxa"/>
            <w:noWrap w:val="0"/>
            <w:vAlign w:val="center"/>
          </w:tcPr>
          <w:p w14:paraId="7BD3F118">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B00C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8" w:type="dxa"/>
            <w:vMerge w:val="continue"/>
            <w:noWrap w:val="0"/>
            <w:vAlign w:val="center"/>
          </w:tcPr>
          <w:p w14:paraId="47769430">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00922456">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5073634D">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031D7BF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9.2.5</w:t>
            </w:r>
          </w:p>
        </w:tc>
        <w:tc>
          <w:tcPr>
            <w:tcW w:w="813" w:type="dxa"/>
            <w:noWrap/>
            <w:vAlign w:val="center"/>
          </w:tcPr>
          <w:p w14:paraId="0A9BDB5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CRF库</w:t>
            </w:r>
          </w:p>
        </w:tc>
        <w:tc>
          <w:tcPr>
            <w:tcW w:w="3825" w:type="dxa"/>
            <w:noWrap w:val="0"/>
            <w:vAlign w:val="center"/>
          </w:tcPr>
          <w:p w14:paraId="1516C08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支持普通CRF、公用CRF、动态CRF的集中存储、分类检索、版本管理与复用。</w:t>
            </w:r>
          </w:p>
        </w:tc>
        <w:tc>
          <w:tcPr>
            <w:tcW w:w="1025" w:type="dxa"/>
            <w:noWrap w:val="0"/>
            <w:vAlign w:val="center"/>
          </w:tcPr>
          <w:p w14:paraId="367FAAEA">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F311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trPr>
        <w:tc>
          <w:tcPr>
            <w:tcW w:w="778" w:type="dxa"/>
            <w:vMerge w:val="continue"/>
            <w:noWrap w:val="0"/>
            <w:vAlign w:val="center"/>
          </w:tcPr>
          <w:p w14:paraId="41D52EED">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59EDEB2B">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0B1FA937">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445C418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9.2.6</w:t>
            </w:r>
          </w:p>
        </w:tc>
        <w:tc>
          <w:tcPr>
            <w:tcW w:w="813" w:type="dxa"/>
            <w:noWrap/>
            <w:vAlign w:val="center"/>
          </w:tcPr>
          <w:p w14:paraId="1F1C934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区段与变量设计</w:t>
            </w:r>
          </w:p>
        </w:tc>
        <w:tc>
          <w:tcPr>
            <w:tcW w:w="3825" w:type="dxa"/>
            <w:noWrap w:val="0"/>
            <w:vAlign w:val="center"/>
          </w:tcPr>
          <w:p w14:paraId="49B132B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支持按业务逻辑将CRF表单划分为多个独立的功能区段；</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支持普通区段及数据项;支持创建固定结构的独立功能区段；</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支持表格非固定行区段及数据项；支持创建可动态增删行的表格型区段；</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支持跨字段数值运算与逻辑关联；</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日期类型变量,支持定义日期,日期时间;可配置日期范围限制、自动计算规则、时间窗校验等属性。</w:t>
            </w:r>
          </w:p>
        </w:tc>
        <w:tc>
          <w:tcPr>
            <w:tcW w:w="1025" w:type="dxa"/>
            <w:noWrap w:val="0"/>
            <w:vAlign w:val="center"/>
          </w:tcPr>
          <w:p w14:paraId="1264EA64">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042A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8" w:type="dxa"/>
            <w:vMerge w:val="continue"/>
            <w:noWrap w:val="0"/>
            <w:vAlign w:val="center"/>
          </w:tcPr>
          <w:p w14:paraId="3B504229">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restart"/>
            <w:noWrap/>
            <w:vAlign w:val="center"/>
          </w:tcPr>
          <w:p w14:paraId="2A937EC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9.3</w:t>
            </w:r>
          </w:p>
        </w:tc>
        <w:tc>
          <w:tcPr>
            <w:tcW w:w="813" w:type="dxa"/>
            <w:vMerge w:val="restart"/>
            <w:noWrap w:val="0"/>
            <w:vAlign w:val="center"/>
          </w:tcPr>
          <w:p w14:paraId="1721BBC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逻辑核查</w:t>
            </w:r>
          </w:p>
        </w:tc>
        <w:tc>
          <w:tcPr>
            <w:tcW w:w="1012" w:type="dxa"/>
            <w:noWrap/>
            <w:vAlign w:val="center"/>
          </w:tcPr>
          <w:p w14:paraId="557C3FA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9.3.1</w:t>
            </w:r>
          </w:p>
        </w:tc>
        <w:tc>
          <w:tcPr>
            <w:tcW w:w="813" w:type="dxa"/>
            <w:noWrap/>
            <w:vAlign w:val="center"/>
          </w:tcPr>
          <w:p w14:paraId="2945963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规则计算</w:t>
            </w:r>
          </w:p>
        </w:tc>
        <w:tc>
          <w:tcPr>
            <w:tcW w:w="3825" w:type="dxa"/>
            <w:noWrap w:val="0"/>
            <w:vAlign w:val="center"/>
          </w:tcPr>
          <w:p w14:paraId="0715180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▲支持规则判断逻辑核查，支持大于，小于等多种逻辑核查运算，支持日期相关函数等配置，BMI计算函数。</w:t>
            </w:r>
          </w:p>
        </w:tc>
        <w:tc>
          <w:tcPr>
            <w:tcW w:w="1025" w:type="dxa"/>
            <w:noWrap/>
            <w:vAlign w:val="center"/>
          </w:tcPr>
          <w:p w14:paraId="005A6C40">
            <w:pPr>
              <w:pageBreakBefore w:val="0"/>
              <w:wordWrap/>
              <w:overflowPunct/>
              <w:topLinePunct w:val="0"/>
              <w:bidi w:val="0"/>
              <w:spacing w:line="360" w:lineRule="auto"/>
              <w:jc w:val="center"/>
              <w:rPr>
                <w:rFonts w:hint="eastAsia" w:ascii="仿宋" w:hAnsi="仿宋" w:eastAsia="宋体" w:cs="仿宋"/>
                <w:color w:val="000000"/>
                <w:sz w:val="24"/>
                <w:szCs w:val="24"/>
                <w:lang w:eastAsia="zh-CN"/>
              </w:rPr>
            </w:pPr>
            <w:r>
              <w:rPr>
                <w:rFonts w:hint="eastAsia" w:ascii="仿宋" w:hAnsi="仿宋" w:eastAsia="仿宋" w:cs="仿宋"/>
                <w:color w:val="000000"/>
                <w:sz w:val="24"/>
                <w:szCs w:val="24"/>
                <w:lang w:val="en-US" w:eastAsia="zh-CN"/>
              </w:rPr>
              <w:t>否</w:t>
            </w:r>
          </w:p>
        </w:tc>
      </w:tr>
      <w:tr w14:paraId="7AED6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47AF75CA">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1A5DAF19">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6D860443">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68C0220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9.3.2</w:t>
            </w:r>
          </w:p>
        </w:tc>
        <w:tc>
          <w:tcPr>
            <w:tcW w:w="813" w:type="dxa"/>
            <w:noWrap/>
            <w:vAlign w:val="center"/>
          </w:tcPr>
          <w:p w14:paraId="535BE0B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实验室正常值</w:t>
            </w:r>
          </w:p>
        </w:tc>
        <w:tc>
          <w:tcPr>
            <w:tcW w:w="3825" w:type="dxa"/>
            <w:noWrap w:val="0"/>
            <w:vAlign w:val="center"/>
          </w:tcPr>
          <w:p w14:paraId="1E39A94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系统支持实验室检查的全流程自动化质控。</w:t>
            </w:r>
          </w:p>
        </w:tc>
        <w:tc>
          <w:tcPr>
            <w:tcW w:w="1025" w:type="dxa"/>
            <w:noWrap w:val="0"/>
            <w:vAlign w:val="center"/>
          </w:tcPr>
          <w:p w14:paraId="00AE8578">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F6E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78" w:type="dxa"/>
            <w:vMerge w:val="continue"/>
            <w:noWrap w:val="0"/>
            <w:vAlign w:val="center"/>
          </w:tcPr>
          <w:p w14:paraId="3D186C61">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6E563E4A">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11B07866">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01C8B26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9.3.3</w:t>
            </w:r>
          </w:p>
        </w:tc>
        <w:tc>
          <w:tcPr>
            <w:tcW w:w="813" w:type="dxa"/>
            <w:noWrap/>
            <w:vAlign w:val="center"/>
          </w:tcPr>
          <w:p w14:paraId="18C4084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受试者管理</w:t>
            </w:r>
          </w:p>
        </w:tc>
        <w:tc>
          <w:tcPr>
            <w:tcW w:w="3825" w:type="dxa"/>
            <w:noWrap w:val="0"/>
            <w:vAlign w:val="center"/>
          </w:tcPr>
          <w:p w14:paraId="09C3D86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支持已经进行招募的受试者信息；</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支持受试者全周期状态查看。</w:t>
            </w:r>
          </w:p>
        </w:tc>
        <w:tc>
          <w:tcPr>
            <w:tcW w:w="1025" w:type="dxa"/>
            <w:noWrap w:val="0"/>
            <w:vAlign w:val="center"/>
          </w:tcPr>
          <w:p w14:paraId="139FC9F4">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17E7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7B738811">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0D4C0D72">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4F921839">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7FB7A6B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9.3.4</w:t>
            </w:r>
          </w:p>
        </w:tc>
        <w:tc>
          <w:tcPr>
            <w:tcW w:w="813" w:type="dxa"/>
            <w:noWrap/>
            <w:vAlign w:val="center"/>
          </w:tcPr>
          <w:p w14:paraId="72A32AA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受试者数据录入</w:t>
            </w:r>
          </w:p>
        </w:tc>
        <w:tc>
          <w:tcPr>
            <w:tcW w:w="3825" w:type="dxa"/>
            <w:noWrap w:val="0"/>
            <w:vAlign w:val="center"/>
          </w:tcPr>
          <w:p w14:paraId="657719C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支持访视视图与表单视图进行录入</w:t>
            </w:r>
          </w:p>
        </w:tc>
        <w:tc>
          <w:tcPr>
            <w:tcW w:w="1025" w:type="dxa"/>
            <w:noWrap w:val="0"/>
            <w:vAlign w:val="center"/>
          </w:tcPr>
          <w:p w14:paraId="1F58FEB5">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9D20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68E40C9F">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738D956F">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35263CAD">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2CF9F2F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9.3.5</w:t>
            </w:r>
          </w:p>
        </w:tc>
        <w:tc>
          <w:tcPr>
            <w:tcW w:w="813" w:type="dxa"/>
            <w:noWrap/>
            <w:vAlign w:val="center"/>
          </w:tcPr>
          <w:p w14:paraId="17AFC6D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访视状态</w:t>
            </w:r>
          </w:p>
        </w:tc>
        <w:tc>
          <w:tcPr>
            <w:tcW w:w="3825" w:type="dxa"/>
            <w:noWrap w:val="0"/>
            <w:vAlign w:val="center"/>
          </w:tcPr>
          <w:p w14:paraId="6FFABD2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支持未开始，录入中，已完成</w:t>
            </w:r>
          </w:p>
        </w:tc>
        <w:tc>
          <w:tcPr>
            <w:tcW w:w="1025" w:type="dxa"/>
            <w:noWrap w:val="0"/>
            <w:vAlign w:val="center"/>
          </w:tcPr>
          <w:p w14:paraId="4D4E74EA">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EC08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7D4A0AFB">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3F02D060">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3A5C37C9">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5C7D8A7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9.3.6</w:t>
            </w:r>
          </w:p>
        </w:tc>
        <w:tc>
          <w:tcPr>
            <w:tcW w:w="813" w:type="dxa"/>
            <w:noWrap/>
            <w:vAlign w:val="center"/>
          </w:tcPr>
          <w:p w14:paraId="6B7A863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CRF状态</w:t>
            </w:r>
          </w:p>
        </w:tc>
        <w:tc>
          <w:tcPr>
            <w:tcW w:w="3825" w:type="dxa"/>
            <w:noWrap w:val="0"/>
            <w:vAlign w:val="center"/>
          </w:tcPr>
          <w:p w14:paraId="19737C2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支持未开始，未完成，已完成，与访视状态形成层级联动，</w:t>
            </w:r>
          </w:p>
        </w:tc>
        <w:tc>
          <w:tcPr>
            <w:tcW w:w="1025" w:type="dxa"/>
            <w:noWrap w:val="0"/>
            <w:vAlign w:val="center"/>
          </w:tcPr>
          <w:p w14:paraId="49E0A6FB">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FDD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8" w:type="dxa"/>
            <w:vMerge w:val="continue"/>
            <w:noWrap w:val="0"/>
            <w:vAlign w:val="center"/>
          </w:tcPr>
          <w:p w14:paraId="54ECD9AB">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220E7595">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5D28CAA3">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296835D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9.3.7</w:t>
            </w:r>
          </w:p>
        </w:tc>
        <w:tc>
          <w:tcPr>
            <w:tcW w:w="813" w:type="dxa"/>
            <w:noWrap/>
            <w:vAlign w:val="center"/>
          </w:tcPr>
          <w:p w14:paraId="7E1595E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CRF数据录入</w:t>
            </w:r>
          </w:p>
        </w:tc>
        <w:tc>
          <w:tcPr>
            <w:tcW w:w="3825" w:type="dxa"/>
            <w:noWrap w:val="0"/>
            <w:vAlign w:val="center"/>
          </w:tcPr>
          <w:p w14:paraId="46354F6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支持普通区段录入，表格非固定区段录入，表格固定区段录入，添加页区段录入，保存提交和标记CRF完成提交</w:t>
            </w:r>
          </w:p>
        </w:tc>
        <w:tc>
          <w:tcPr>
            <w:tcW w:w="1025" w:type="dxa"/>
            <w:noWrap w:val="0"/>
            <w:vAlign w:val="center"/>
          </w:tcPr>
          <w:p w14:paraId="6C452FE1">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E7B8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061335C7">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646E58F9">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132D7F3D">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51012E6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9.3.8</w:t>
            </w:r>
          </w:p>
        </w:tc>
        <w:tc>
          <w:tcPr>
            <w:tcW w:w="813" w:type="dxa"/>
            <w:noWrap/>
            <w:vAlign w:val="center"/>
          </w:tcPr>
          <w:p w14:paraId="18E9076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CRF数据注释</w:t>
            </w:r>
          </w:p>
        </w:tc>
        <w:tc>
          <w:tcPr>
            <w:tcW w:w="3825" w:type="dxa"/>
            <w:noWrap w:val="0"/>
            <w:vAlign w:val="center"/>
          </w:tcPr>
          <w:p w14:paraId="49DD13A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支持注释录入注释描述与查看</w:t>
            </w:r>
          </w:p>
        </w:tc>
        <w:tc>
          <w:tcPr>
            <w:tcW w:w="1025" w:type="dxa"/>
            <w:noWrap w:val="0"/>
            <w:vAlign w:val="center"/>
          </w:tcPr>
          <w:p w14:paraId="1A49FF10">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2E4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0B8DCA96">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186D5489">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121A0A07">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02E6DF6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9.3.9</w:t>
            </w:r>
          </w:p>
        </w:tc>
        <w:tc>
          <w:tcPr>
            <w:tcW w:w="813" w:type="dxa"/>
            <w:noWrap w:val="0"/>
            <w:vAlign w:val="center"/>
          </w:tcPr>
          <w:p w14:paraId="4E7EAD9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数据质疑</w:t>
            </w:r>
          </w:p>
        </w:tc>
        <w:tc>
          <w:tcPr>
            <w:tcW w:w="3825" w:type="dxa"/>
            <w:noWrap w:val="0"/>
            <w:vAlign w:val="center"/>
          </w:tcPr>
          <w:p w14:paraId="4A3F6F5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支持人工质疑，系统质疑，质疑报表；覆盖质疑生成、流转、处理、跟踪与统计全流程</w:t>
            </w:r>
          </w:p>
        </w:tc>
        <w:tc>
          <w:tcPr>
            <w:tcW w:w="1025" w:type="dxa"/>
            <w:noWrap w:val="0"/>
            <w:vAlign w:val="center"/>
          </w:tcPr>
          <w:p w14:paraId="3C6C71BB">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83B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8" w:type="dxa"/>
            <w:vMerge w:val="continue"/>
            <w:noWrap w:val="0"/>
            <w:vAlign w:val="center"/>
          </w:tcPr>
          <w:p w14:paraId="0D39D4E3">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4DA34CD4">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2596BEDA">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6C00201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9.3.10</w:t>
            </w:r>
          </w:p>
        </w:tc>
        <w:tc>
          <w:tcPr>
            <w:tcW w:w="813" w:type="dxa"/>
            <w:noWrap/>
            <w:vAlign w:val="center"/>
          </w:tcPr>
          <w:p w14:paraId="4B4B467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SDV</w:t>
            </w:r>
          </w:p>
        </w:tc>
        <w:tc>
          <w:tcPr>
            <w:tcW w:w="3825" w:type="dxa"/>
            <w:noWrap w:val="0"/>
            <w:vAlign w:val="center"/>
          </w:tcPr>
          <w:p w14:paraId="0A1187D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支持SDV设计和验证记录</w:t>
            </w:r>
          </w:p>
        </w:tc>
        <w:tc>
          <w:tcPr>
            <w:tcW w:w="1025" w:type="dxa"/>
            <w:noWrap w:val="0"/>
            <w:vAlign w:val="center"/>
          </w:tcPr>
          <w:p w14:paraId="2F5AE071">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6DAA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6242400E">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1AC90AC4">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23732F3A">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3462060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9.3.11</w:t>
            </w:r>
          </w:p>
        </w:tc>
        <w:tc>
          <w:tcPr>
            <w:tcW w:w="813" w:type="dxa"/>
            <w:noWrap/>
            <w:vAlign w:val="center"/>
          </w:tcPr>
          <w:p w14:paraId="6707CB0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DM 审核</w:t>
            </w:r>
          </w:p>
        </w:tc>
        <w:tc>
          <w:tcPr>
            <w:tcW w:w="3825" w:type="dxa"/>
            <w:noWrap w:val="0"/>
            <w:vAlign w:val="center"/>
          </w:tcPr>
          <w:p w14:paraId="2DE025E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支持单表单精细化审核与批量模式，支持审核记录全量查询</w:t>
            </w:r>
          </w:p>
        </w:tc>
        <w:tc>
          <w:tcPr>
            <w:tcW w:w="1025" w:type="dxa"/>
            <w:noWrap w:val="0"/>
            <w:vAlign w:val="center"/>
          </w:tcPr>
          <w:p w14:paraId="0AFD7193">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8783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07897E29">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1C48C46D">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06B629E6">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18F02A6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9.3.12</w:t>
            </w:r>
          </w:p>
        </w:tc>
        <w:tc>
          <w:tcPr>
            <w:tcW w:w="813" w:type="dxa"/>
            <w:noWrap/>
            <w:vAlign w:val="center"/>
          </w:tcPr>
          <w:p w14:paraId="45A2117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电子签名</w:t>
            </w:r>
          </w:p>
        </w:tc>
        <w:tc>
          <w:tcPr>
            <w:tcW w:w="3825" w:type="dxa"/>
            <w:noWrap w:val="0"/>
            <w:vAlign w:val="center"/>
          </w:tcPr>
          <w:p w14:paraId="74E6B7F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支持电子签名已签名</w:t>
            </w:r>
          </w:p>
        </w:tc>
        <w:tc>
          <w:tcPr>
            <w:tcW w:w="1025" w:type="dxa"/>
            <w:noWrap w:val="0"/>
            <w:vAlign w:val="center"/>
          </w:tcPr>
          <w:p w14:paraId="2DA9BAC3">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EC31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17E6BEA2">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7F2624EC">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35731ACF">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7533C47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9.3.13</w:t>
            </w:r>
          </w:p>
        </w:tc>
        <w:tc>
          <w:tcPr>
            <w:tcW w:w="813" w:type="dxa"/>
            <w:noWrap/>
            <w:vAlign w:val="center"/>
          </w:tcPr>
          <w:p w14:paraId="36A2595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冻结与锁定</w:t>
            </w:r>
          </w:p>
        </w:tc>
        <w:tc>
          <w:tcPr>
            <w:tcW w:w="3825" w:type="dxa"/>
            <w:noWrap w:val="0"/>
            <w:vAlign w:val="center"/>
          </w:tcPr>
          <w:p w14:paraId="2640630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支持冻结和锁定数据</w:t>
            </w:r>
          </w:p>
        </w:tc>
        <w:tc>
          <w:tcPr>
            <w:tcW w:w="1025" w:type="dxa"/>
            <w:noWrap w:val="0"/>
            <w:vAlign w:val="center"/>
          </w:tcPr>
          <w:p w14:paraId="730037ED">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7227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8" w:type="dxa"/>
            <w:vMerge w:val="continue"/>
            <w:noWrap w:val="0"/>
            <w:vAlign w:val="center"/>
          </w:tcPr>
          <w:p w14:paraId="71998706">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12DB9323">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39F53D09">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07C0D90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9.3.14</w:t>
            </w:r>
          </w:p>
        </w:tc>
        <w:tc>
          <w:tcPr>
            <w:tcW w:w="813" w:type="dxa"/>
            <w:noWrap/>
            <w:vAlign w:val="center"/>
          </w:tcPr>
          <w:p w14:paraId="4F898A4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稽查轨迹</w:t>
            </w:r>
          </w:p>
        </w:tc>
        <w:tc>
          <w:tcPr>
            <w:tcW w:w="3825" w:type="dxa"/>
            <w:noWrap w:val="0"/>
            <w:vAlign w:val="center"/>
          </w:tcPr>
          <w:p w14:paraId="2EC3645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支持CRF内稽查轨迹，覆盖所有数据操作的完整记录与追溯。</w:t>
            </w:r>
          </w:p>
        </w:tc>
        <w:tc>
          <w:tcPr>
            <w:tcW w:w="1025" w:type="dxa"/>
            <w:noWrap w:val="0"/>
            <w:vAlign w:val="center"/>
          </w:tcPr>
          <w:p w14:paraId="394272A0">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BA12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67208957">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6C7A2A3D">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65E69A23">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3D32A93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9.3.15</w:t>
            </w:r>
          </w:p>
        </w:tc>
        <w:tc>
          <w:tcPr>
            <w:tcW w:w="813" w:type="dxa"/>
            <w:noWrap/>
            <w:vAlign w:val="center"/>
          </w:tcPr>
          <w:p w14:paraId="628C13C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统计报表</w:t>
            </w:r>
          </w:p>
        </w:tc>
        <w:tc>
          <w:tcPr>
            <w:tcW w:w="3825" w:type="dxa"/>
            <w:noWrap w:val="0"/>
            <w:vAlign w:val="center"/>
          </w:tcPr>
          <w:p w14:paraId="7859179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支持研究事件情况报表，显示各中心研究事件对比；数据项缺失情况报表</w:t>
            </w:r>
          </w:p>
        </w:tc>
        <w:tc>
          <w:tcPr>
            <w:tcW w:w="1025" w:type="dxa"/>
            <w:noWrap w:val="0"/>
            <w:vAlign w:val="center"/>
          </w:tcPr>
          <w:p w14:paraId="74C9284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0505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32287CB8">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restart"/>
            <w:noWrap/>
            <w:vAlign w:val="center"/>
          </w:tcPr>
          <w:p w14:paraId="00F3D6F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9.4</w:t>
            </w:r>
          </w:p>
        </w:tc>
        <w:tc>
          <w:tcPr>
            <w:tcW w:w="813" w:type="dxa"/>
            <w:vMerge w:val="restart"/>
            <w:noWrap w:val="0"/>
            <w:vAlign w:val="center"/>
          </w:tcPr>
          <w:p w14:paraId="1B71B09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可信事前实时质控</w:t>
            </w:r>
          </w:p>
        </w:tc>
        <w:tc>
          <w:tcPr>
            <w:tcW w:w="1012" w:type="dxa"/>
            <w:noWrap/>
            <w:vAlign w:val="center"/>
          </w:tcPr>
          <w:p w14:paraId="05ED1F2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9.4.1</w:t>
            </w:r>
          </w:p>
        </w:tc>
        <w:tc>
          <w:tcPr>
            <w:tcW w:w="813" w:type="dxa"/>
            <w:noWrap/>
            <w:vAlign w:val="center"/>
          </w:tcPr>
          <w:p w14:paraId="4ACEB99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分布式质控链接</w:t>
            </w:r>
          </w:p>
        </w:tc>
        <w:tc>
          <w:tcPr>
            <w:tcW w:w="3825" w:type="dxa"/>
            <w:noWrap w:val="0"/>
            <w:vAlign w:val="center"/>
          </w:tcPr>
          <w:p w14:paraId="0F434C5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▲通过可信硬件和客户端，实现质控数据链接</w:t>
            </w:r>
          </w:p>
        </w:tc>
        <w:tc>
          <w:tcPr>
            <w:tcW w:w="1025" w:type="dxa"/>
            <w:noWrap w:val="0"/>
            <w:vAlign w:val="center"/>
          </w:tcPr>
          <w:p w14:paraId="551804E8">
            <w:pPr>
              <w:pageBreakBefore w:val="0"/>
              <w:wordWrap/>
              <w:overflowPunct/>
              <w:topLinePunct w:val="0"/>
              <w:bidi w:val="0"/>
              <w:spacing w:line="360" w:lineRule="auto"/>
              <w:jc w:val="center"/>
              <w:rPr>
                <w:rFonts w:hint="eastAsia" w:ascii="仿宋" w:hAnsi="仿宋" w:eastAsia="宋体" w:cs="仿宋"/>
                <w:color w:val="000000"/>
                <w:sz w:val="24"/>
                <w:szCs w:val="24"/>
                <w:lang w:eastAsia="zh-CN"/>
              </w:rPr>
            </w:pPr>
            <w:r>
              <w:rPr>
                <w:rFonts w:hint="eastAsia" w:ascii="仿宋" w:hAnsi="仿宋" w:eastAsia="仿宋" w:cs="仿宋"/>
                <w:color w:val="000000"/>
                <w:sz w:val="24"/>
                <w:szCs w:val="24"/>
                <w:lang w:val="en-US" w:eastAsia="zh-CN"/>
              </w:rPr>
              <w:t>否</w:t>
            </w:r>
          </w:p>
        </w:tc>
      </w:tr>
      <w:tr w14:paraId="520A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4F16FE83">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02EDCC97">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54300A54">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0DCB1DA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9.4.2</w:t>
            </w:r>
          </w:p>
        </w:tc>
        <w:tc>
          <w:tcPr>
            <w:tcW w:w="813" w:type="dxa"/>
            <w:noWrap/>
            <w:vAlign w:val="center"/>
          </w:tcPr>
          <w:p w14:paraId="7B7B108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编码管理</w:t>
            </w:r>
          </w:p>
        </w:tc>
        <w:tc>
          <w:tcPr>
            <w:tcW w:w="3825" w:type="dxa"/>
            <w:noWrap w:val="0"/>
            <w:vAlign w:val="center"/>
          </w:tcPr>
          <w:p w14:paraId="777F439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近义词管理，自动编码，手工编码，清除编码，编码审核。</w:t>
            </w:r>
          </w:p>
        </w:tc>
        <w:tc>
          <w:tcPr>
            <w:tcW w:w="1025" w:type="dxa"/>
            <w:noWrap w:val="0"/>
            <w:vAlign w:val="center"/>
          </w:tcPr>
          <w:p w14:paraId="32027492">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61D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02CB9C13">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65EABF81">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25AE0AA1">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6CF0551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9.4.3</w:t>
            </w:r>
          </w:p>
        </w:tc>
        <w:tc>
          <w:tcPr>
            <w:tcW w:w="813" w:type="dxa"/>
            <w:noWrap/>
            <w:vAlign w:val="center"/>
          </w:tcPr>
          <w:p w14:paraId="1316E63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近义词管理</w:t>
            </w:r>
          </w:p>
        </w:tc>
        <w:tc>
          <w:tcPr>
            <w:tcW w:w="3825" w:type="dxa"/>
            <w:noWrap w:val="0"/>
            <w:vAlign w:val="center"/>
          </w:tcPr>
          <w:p w14:paraId="56414F1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支持医疗术语近义词库</w:t>
            </w:r>
          </w:p>
        </w:tc>
        <w:tc>
          <w:tcPr>
            <w:tcW w:w="1025" w:type="dxa"/>
            <w:noWrap w:val="0"/>
            <w:vAlign w:val="center"/>
          </w:tcPr>
          <w:p w14:paraId="1A29A002">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17C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4AD6DAD7">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70E38A55">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38930F1E">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784511C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9.4.4</w:t>
            </w:r>
          </w:p>
        </w:tc>
        <w:tc>
          <w:tcPr>
            <w:tcW w:w="813" w:type="dxa"/>
            <w:noWrap/>
            <w:vAlign w:val="center"/>
          </w:tcPr>
          <w:p w14:paraId="0E4637B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自动编码</w:t>
            </w:r>
          </w:p>
        </w:tc>
        <w:tc>
          <w:tcPr>
            <w:tcW w:w="3825" w:type="dxa"/>
            <w:noWrap w:val="0"/>
            <w:vAlign w:val="center"/>
          </w:tcPr>
          <w:p w14:paraId="041CD21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支持标准编码库与近义词库，对录入的临床文本数据进行自动匹配与编码</w:t>
            </w:r>
          </w:p>
        </w:tc>
        <w:tc>
          <w:tcPr>
            <w:tcW w:w="1025" w:type="dxa"/>
            <w:noWrap w:val="0"/>
            <w:vAlign w:val="center"/>
          </w:tcPr>
          <w:p w14:paraId="3DE80FE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788A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08CE5FEE">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6898DA5C">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5B297ECC">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2E19463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9.4.5</w:t>
            </w:r>
          </w:p>
        </w:tc>
        <w:tc>
          <w:tcPr>
            <w:tcW w:w="813" w:type="dxa"/>
            <w:noWrap/>
            <w:vAlign w:val="center"/>
          </w:tcPr>
          <w:p w14:paraId="3C8C61D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手工编码</w:t>
            </w:r>
          </w:p>
        </w:tc>
        <w:tc>
          <w:tcPr>
            <w:tcW w:w="3825" w:type="dxa"/>
            <w:noWrap w:val="0"/>
            <w:vAlign w:val="center"/>
          </w:tcPr>
          <w:p w14:paraId="4E9DC0B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支持编码人员进行手工编码</w:t>
            </w:r>
          </w:p>
        </w:tc>
        <w:tc>
          <w:tcPr>
            <w:tcW w:w="1025" w:type="dxa"/>
            <w:noWrap w:val="0"/>
            <w:vAlign w:val="center"/>
          </w:tcPr>
          <w:p w14:paraId="23A13D3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DFE7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67510B3C">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19AE9399">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3EA60196">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45A2E29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9.4.6</w:t>
            </w:r>
          </w:p>
        </w:tc>
        <w:tc>
          <w:tcPr>
            <w:tcW w:w="813" w:type="dxa"/>
            <w:noWrap/>
            <w:vAlign w:val="center"/>
          </w:tcPr>
          <w:p w14:paraId="579FA2E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清除编码</w:t>
            </w:r>
          </w:p>
        </w:tc>
        <w:tc>
          <w:tcPr>
            <w:tcW w:w="3825" w:type="dxa"/>
            <w:noWrap w:val="0"/>
            <w:vAlign w:val="center"/>
          </w:tcPr>
          <w:p w14:paraId="116D8B8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持对已编码的数据项进行编码清除操作</w:t>
            </w:r>
          </w:p>
        </w:tc>
        <w:tc>
          <w:tcPr>
            <w:tcW w:w="1025" w:type="dxa"/>
            <w:noWrap w:val="0"/>
            <w:vAlign w:val="center"/>
          </w:tcPr>
          <w:p w14:paraId="44AE6621">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8C29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6D0AB5A0">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13A8F028">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0B07F5B3">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526A56B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9.4.7</w:t>
            </w:r>
          </w:p>
        </w:tc>
        <w:tc>
          <w:tcPr>
            <w:tcW w:w="813" w:type="dxa"/>
            <w:noWrap/>
            <w:vAlign w:val="center"/>
          </w:tcPr>
          <w:p w14:paraId="50D2878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编码审核</w:t>
            </w:r>
          </w:p>
        </w:tc>
        <w:tc>
          <w:tcPr>
            <w:tcW w:w="3825" w:type="dxa"/>
            <w:noWrap w:val="0"/>
            <w:vAlign w:val="center"/>
          </w:tcPr>
          <w:p w14:paraId="13D4C75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支持审核人员对自动编码与手工编码的结果进行审核，</w:t>
            </w:r>
          </w:p>
        </w:tc>
        <w:tc>
          <w:tcPr>
            <w:tcW w:w="1025" w:type="dxa"/>
            <w:noWrap w:val="0"/>
            <w:vAlign w:val="center"/>
          </w:tcPr>
          <w:p w14:paraId="45A517CF">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5CE0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8" w:type="dxa"/>
            <w:vMerge w:val="continue"/>
            <w:noWrap w:val="0"/>
            <w:vAlign w:val="center"/>
          </w:tcPr>
          <w:p w14:paraId="061DBB17">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restart"/>
            <w:noWrap/>
            <w:vAlign w:val="center"/>
          </w:tcPr>
          <w:p w14:paraId="16D57FB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9.5</w:t>
            </w:r>
          </w:p>
        </w:tc>
        <w:tc>
          <w:tcPr>
            <w:tcW w:w="813" w:type="dxa"/>
            <w:vMerge w:val="restart"/>
            <w:noWrap w:val="0"/>
            <w:vAlign w:val="center"/>
          </w:tcPr>
          <w:p w14:paraId="20D1C78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可信数据归集</w:t>
            </w:r>
          </w:p>
        </w:tc>
        <w:tc>
          <w:tcPr>
            <w:tcW w:w="1012" w:type="dxa"/>
            <w:noWrap/>
            <w:vAlign w:val="center"/>
          </w:tcPr>
          <w:p w14:paraId="0B0115C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9.5.1</w:t>
            </w:r>
          </w:p>
        </w:tc>
        <w:tc>
          <w:tcPr>
            <w:tcW w:w="813" w:type="dxa"/>
            <w:noWrap/>
            <w:vAlign w:val="center"/>
          </w:tcPr>
          <w:p w14:paraId="0350D89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数据导出</w:t>
            </w:r>
          </w:p>
        </w:tc>
        <w:tc>
          <w:tcPr>
            <w:tcW w:w="3825" w:type="dxa"/>
            <w:noWrap w:val="0"/>
            <w:vAlign w:val="center"/>
          </w:tcPr>
          <w:p w14:paraId="65B89A6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支持数据库结构导出，数据导出Excel，导出 Data CRF，导出Blank CRF</w:t>
            </w:r>
          </w:p>
        </w:tc>
        <w:tc>
          <w:tcPr>
            <w:tcW w:w="1025" w:type="dxa"/>
            <w:noWrap w:val="0"/>
            <w:vAlign w:val="center"/>
          </w:tcPr>
          <w:p w14:paraId="7C3F47F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697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8" w:type="dxa"/>
            <w:vMerge w:val="continue"/>
            <w:noWrap w:val="0"/>
            <w:vAlign w:val="center"/>
          </w:tcPr>
          <w:p w14:paraId="2C853818">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0CA4CF5A">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7E7DDF53">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7472BD5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9.5.2</w:t>
            </w:r>
          </w:p>
        </w:tc>
        <w:tc>
          <w:tcPr>
            <w:tcW w:w="813" w:type="dxa"/>
            <w:noWrap/>
            <w:vAlign w:val="center"/>
          </w:tcPr>
          <w:p w14:paraId="7F8444A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数据迁移</w:t>
            </w:r>
          </w:p>
        </w:tc>
        <w:tc>
          <w:tcPr>
            <w:tcW w:w="3825" w:type="dxa"/>
            <w:noWrap w:val="0"/>
            <w:vAlign w:val="center"/>
          </w:tcPr>
          <w:p w14:paraId="70F2E1E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支持系统内跨 CRF、跨访视的可信数据迁移功能</w:t>
            </w:r>
          </w:p>
        </w:tc>
        <w:tc>
          <w:tcPr>
            <w:tcW w:w="1025" w:type="dxa"/>
            <w:noWrap w:val="0"/>
            <w:vAlign w:val="center"/>
          </w:tcPr>
          <w:p w14:paraId="79487707">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DAC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65DE0485">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restart"/>
            <w:noWrap/>
            <w:vAlign w:val="center"/>
          </w:tcPr>
          <w:p w14:paraId="142B7EC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9.6</w:t>
            </w:r>
          </w:p>
        </w:tc>
        <w:tc>
          <w:tcPr>
            <w:tcW w:w="813" w:type="dxa"/>
            <w:vMerge w:val="restart"/>
            <w:noWrap w:val="0"/>
            <w:vAlign w:val="center"/>
          </w:tcPr>
          <w:p w14:paraId="6939959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系统管理</w:t>
            </w:r>
          </w:p>
        </w:tc>
        <w:tc>
          <w:tcPr>
            <w:tcW w:w="1012" w:type="dxa"/>
            <w:noWrap/>
            <w:vAlign w:val="center"/>
          </w:tcPr>
          <w:p w14:paraId="6968974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9.6.1</w:t>
            </w:r>
          </w:p>
        </w:tc>
        <w:tc>
          <w:tcPr>
            <w:tcW w:w="813" w:type="dxa"/>
            <w:noWrap/>
            <w:vAlign w:val="center"/>
          </w:tcPr>
          <w:p w14:paraId="7339A9F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申办方管理</w:t>
            </w:r>
          </w:p>
        </w:tc>
        <w:tc>
          <w:tcPr>
            <w:tcW w:w="3825" w:type="dxa"/>
            <w:noWrap w:val="0"/>
            <w:vAlign w:val="center"/>
          </w:tcPr>
          <w:p w14:paraId="3D8F741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支持多申办方项目的统一管理，维护申办方基础信息与项目关联关系。</w:t>
            </w:r>
          </w:p>
        </w:tc>
        <w:tc>
          <w:tcPr>
            <w:tcW w:w="1025" w:type="dxa"/>
            <w:noWrap w:val="0"/>
            <w:vAlign w:val="center"/>
          </w:tcPr>
          <w:p w14:paraId="40A25DE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2124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26DE76FC">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264D75E4">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6AA60B96">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5E1A6E6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9.6.2</w:t>
            </w:r>
          </w:p>
        </w:tc>
        <w:tc>
          <w:tcPr>
            <w:tcW w:w="813" w:type="dxa"/>
            <w:noWrap/>
            <w:vAlign w:val="center"/>
          </w:tcPr>
          <w:p w14:paraId="241C73A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注释类型管理</w:t>
            </w:r>
          </w:p>
        </w:tc>
        <w:tc>
          <w:tcPr>
            <w:tcW w:w="3825" w:type="dxa"/>
            <w:noWrap w:val="0"/>
            <w:vAlign w:val="center"/>
          </w:tcPr>
          <w:p w14:paraId="79CE466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支持数据注释进行标准化分类管理</w:t>
            </w:r>
          </w:p>
        </w:tc>
        <w:tc>
          <w:tcPr>
            <w:tcW w:w="1025" w:type="dxa"/>
            <w:noWrap w:val="0"/>
            <w:vAlign w:val="center"/>
          </w:tcPr>
          <w:p w14:paraId="7D870BED">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B09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73935D3F">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3351BB7D">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3885B0C2">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3E1F695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9.6.3</w:t>
            </w:r>
          </w:p>
        </w:tc>
        <w:tc>
          <w:tcPr>
            <w:tcW w:w="813" w:type="dxa"/>
            <w:noWrap/>
            <w:vAlign w:val="center"/>
          </w:tcPr>
          <w:p w14:paraId="44D0DA2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单位配置</w:t>
            </w:r>
          </w:p>
        </w:tc>
        <w:tc>
          <w:tcPr>
            <w:tcW w:w="3825" w:type="dxa"/>
            <w:noWrap w:val="0"/>
            <w:vAlign w:val="center"/>
          </w:tcPr>
          <w:p w14:paraId="31EB72A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支持系统全局统一的计量单位标准体系，规范所有数据录入的单位格式。</w:t>
            </w:r>
          </w:p>
        </w:tc>
        <w:tc>
          <w:tcPr>
            <w:tcW w:w="1025" w:type="dxa"/>
            <w:noWrap w:val="0"/>
            <w:vAlign w:val="center"/>
          </w:tcPr>
          <w:p w14:paraId="11E0CB4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3962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45C11DCA">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5C19E81C">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54F9CC01">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0D850B4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9.6.4</w:t>
            </w:r>
          </w:p>
        </w:tc>
        <w:tc>
          <w:tcPr>
            <w:tcW w:w="813" w:type="dxa"/>
            <w:noWrap/>
            <w:vAlign w:val="center"/>
          </w:tcPr>
          <w:p w14:paraId="55DA0B9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公告管理</w:t>
            </w:r>
          </w:p>
        </w:tc>
        <w:tc>
          <w:tcPr>
            <w:tcW w:w="3825" w:type="dxa"/>
            <w:noWrap w:val="0"/>
            <w:vAlign w:val="center"/>
          </w:tcPr>
          <w:p w14:paraId="080972A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支持系统内信息发布与通知渠道</w:t>
            </w:r>
          </w:p>
        </w:tc>
        <w:tc>
          <w:tcPr>
            <w:tcW w:w="1025" w:type="dxa"/>
            <w:noWrap w:val="0"/>
            <w:vAlign w:val="center"/>
          </w:tcPr>
          <w:p w14:paraId="3C3EF40F">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0D7B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8" w:type="dxa"/>
            <w:vMerge w:val="continue"/>
            <w:noWrap w:val="0"/>
            <w:vAlign w:val="center"/>
          </w:tcPr>
          <w:p w14:paraId="7ECA6035">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309971DB">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6BCC22AD">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0E3237C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9.6.5</w:t>
            </w:r>
          </w:p>
        </w:tc>
        <w:tc>
          <w:tcPr>
            <w:tcW w:w="813" w:type="dxa"/>
            <w:noWrap/>
            <w:vAlign w:val="center"/>
          </w:tcPr>
          <w:p w14:paraId="208DEAF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角色管理</w:t>
            </w:r>
          </w:p>
        </w:tc>
        <w:tc>
          <w:tcPr>
            <w:tcW w:w="3825" w:type="dxa"/>
            <w:noWrap w:val="0"/>
            <w:vAlign w:val="center"/>
          </w:tcPr>
          <w:p w14:paraId="4814C81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支持自定义角色名称与描述，如 "数据管理员"、"监查员"、"研究者"、"CRC"、"申办方代表"等</w:t>
            </w:r>
          </w:p>
        </w:tc>
        <w:tc>
          <w:tcPr>
            <w:tcW w:w="1025" w:type="dxa"/>
            <w:noWrap w:val="0"/>
            <w:vAlign w:val="center"/>
          </w:tcPr>
          <w:p w14:paraId="24C2DBF9">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43B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373B2FB5">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vMerge w:val="continue"/>
            <w:noWrap w:val="0"/>
            <w:vAlign w:val="center"/>
          </w:tcPr>
          <w:p w14:paraId="7C407A2C">
            <w:pPr>
              <w:pageBreakBefore w:val="0"/>
              <w:wordWrap/>
              <w:overflowPunct/>
              <w:topLinePunct w:val="0"/>
              <w:bidi w:val="0"/>
              <w:spacing w:line="360" w:lineRule="auto"/>
              <w:rPr>
                <w:rFonts w:hint="eastAsia" w:ascii="仿宋" w:hAnsi="仿宋" w:eastAsia="仿宋" w:cs="仿宋"/>
                <w:color w:val="000000"/>
                <w:sz w:val="24"/>
                <w:szCs w:val="24"/>
              </w:rPr>
            </w:pPr>
          </w:p>
        </w:tc>
        <w:tc>
          <w:tcPr>
            <w:tcW w:w="813" w:type="dxa"/>
            <w:vMerge w:val="continue"/>
            <w:noWrap w:val="0"/>
            <w:vAlign w:val="center"/>
          </w:tcPr>
          <w:p w14:paraId="72686399">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5CC31E4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9.6.6</w:t>
            </w:r>
          </w:p>
        </w:tc>
        <w:tc>
          <w:tcPr>
            <w:tcW w:w="813" w:type="dxa"/>
            <w:noWrap/>
            <w:vAlign w:val="center"/>
          </w:tcPr>
          <w:p w14:paraId="281CE7A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用户管理</w:t>
            </w:r>
          </w:p>
        </w:tc>
        <w:tc>
          <w:tcPr>
            <w:tcW w:w="3825" w:type="dxa"/>
            <w:noWrap w:val="0"/>
            <w:vAlign w:val="center"/>
          </w:tcPr>
          <w:p w14:paraId="1345DA4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支持新增、编辑、删除系统用户，维护用户姓名、登录账号、密码等。</w:t>
            </w:r>
          </w:p>
        </w:tc>
        <w:tc>
          <w:tcPr>
            <w:tcW w:w="1025" w:type="dxa"/>
            <w:noWrap w:val="0"/>
            <w:vAlign w:val="center"/>
          </w:tcPr>
          <w:p w14:paraId="392DF6F0">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54A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778" w:type="dxa"/>
            <w:vMerge w:val="continue"/>
            <w:noWrap w:val="0"/>
            <w:vAlign w:val="center"/>
          </w:tcPr>
          <w:p w14:paraId="3BB4F8DA">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ign w:val="center"/>
          </w:tcPr>
          <w:p w14:paraId="593EA24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9.7</w:t>
            </w:r>
          </w:p>
        </w:tc>
        <w:tc>
          <w:tcPr>
            <w:tcW w:w="813" w:type="dxa"/>
            <w:noWrap/>
            <w:vAlign w:val="center"/>
          </w:tcPr>
          <w:p w14:paraId="436DA17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参与入组</w:t>
            </w:r>
          </w:p>
        </w:tc>
        <w:tc>
          <w:tcPr>
            <w:tcW w:w="1012" w:type="dxa"/>
            <w:noWrap/>
            <w:vAlign w:val="center"/>
          </w:tcPr>
          <w:p w14:paraId="1A33EFE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9.7.1</w:t>
            </w:r>
          </w:p>
        </w:tc>
        <w:tc>
          <w:tcPr>
            <w:tcW w:w="813" w:type="dxa"/>
            <w:noWrap/>
            <w:vAlign w:val="center"/>
          </w:tcPr>
          <w:p w14:paraId="379AB20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受试者自主参与入组</w:t>
            </w:r>
          </w:p>
        </w:tc>
        <w:tc>
          <w:tcPr>
            <w:tcW w:w="3825" w:type="dxa"/>
            <w:noWrap w:val="0"/>
            <w:vAlign w:val="center"/>
          </w:tcPr>
          <w:p w14:paraId="3EA0FC0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受试者通过扫码快速进入研究专属页面，完成全流程自主操作：可在线查看并签署电子知情同意书，自主填写筛选期基础信息与健康问卷，提交入组申请；实时查看个人入组状态、访视计划与用药提醒，接收系统自动推送的访视通知、用药提醒与复查提示；支持在线提交不良事件报告与咨询问题，提升受试者参与感与依从性。</w:t>
            </w:r>
          </w:p>
        </w:tc>
        <w:tc>
          <w:tcPr>
            <w:tcW w:w="1025" w:type="dxa"/>
            <w:noWrap w:val="0"/>
            <w:vAlign w:val="center"/>
          </w:tcPr>
          <w:p w14:paraId="55B20E75">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F5CE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78" w:type="dxa"/>
            <w:vMerge w:val="continue"/>
            <w:noWrap w:val="0"/>
            <w:vAlign w:val="center"/>
          </w:tcPr>
          <w:p w14:paraId="32F5C973">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ign w:val="center"/>
          </w:tcPr>
          <w:p w14:paraId="3ABCCBA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9.8</w:t>
            </w:r>
          </w:p>
        </w:tc>
        <w:tc>
          <w:tcPr>
            <w:tcW w:w="813" w:type="dxa"/>
            <w:noWrap w:val="0"/>
            <w:vAlign w:val="center"/>
          </w:tcPr>
          <w:p w14:paraId="10C07BF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表单录入</w:t>
            </w:r>
          </w:p>
        </w:tc>
        <w:tc>
          <w:tcPr>
            <w:tcW w:w="1012" w:type="dxa"/>
            <w:noWrap/>
            <w:vAlign w:val="center"/>
          </w:tcPr>
          <w:p w14:paraId="75C45A5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9.8.1</w:t>
            </w:r>
          </w:p>
        </w:tc>
        <w:tc>
          <w:tcPr>
            <w:tcW w:w="813" w:type="dxa"/>
            <w:noWrap/>
            <w:vAlign w:val="center"/>
          </w:tcPr>
          <w:p w14:paraId="7CC4B4D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移动端便捷表单录入</w:t>
            </w:r>
          </w:p>
        </w:tc>
        <w:tc>
          <w:tcPr>
            <w:tcW w:w="3825" w:type="dxa"/>
            <w:noWrap w:val="0"/>
            <w:vAlign w:val="center"/>
          </w:tcPr>
          <w:p w14:paraId="6D39EBA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适配手机、平板等移动设备屏幕，提供与 PC 端功能一致的 CRF 表单录入能力：支持 CRC、研究者在床边、诊室等现场场景下实时录入生命体征、体格检查、用药记录等数据。</w:t>
            </w:r>
          </w:p>
        </w:tc>
        <w:tc>
          <w:tcPr>
            <w:tcW w:w="1025" w:type="dxa"/>
            <w:noWrap w:val="0"/>
            <w:vAlign w:val="center"/>
          </w:tcPr>
          <w:p w14:paraId="17AA0BD4">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E4F9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778" w:type="dxa"/>
            <w:vMerge w:val="continue"/>
            <w:noWrap w:val="0"/>
            <w:vAlign w:val="center"/>
          </w:tcPr>
          <w:p w14:paraId="1B73983B">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ign w:val="center"/>
          </w:tcPr>
          <w:p w14:paraId="393403E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9.9</w:t>
            </w:r>
          </w:p>
        </w:tc>
        <w:tc>
          <w:tcPr>
            <w:tcW w:w="813" w:type="dxa"/>
            <w:noWrap w:val="0"/>
            <w:vAlign w:val="center"/>
          </w:tcPr>
          <w:p w14:paraId="6C245B2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分布式多源服务对接</w:t>
            </w:r>
          </w:p>
        </w:tc>
        <w:tc>
          <w:tcPr>
            <w:tcW w:w="1012" w:type="dxa"/>
            <w:noWrap/>
            <w:vAlign w:val="center"/>
          </w:tcPr>
          <w:p w14:paraId="06B30DE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9.9.1</w:t>
            </w:r>
          </w:p>
        </w:tc>
        <w:tc>
          <w:tcPr>
            <w:tcW w:w="813" w:type="dxa"/>
            <w:noWrap/>
            <w:vAlign w:val="center"/>
          </w:tcPr>
          <w:p w14:paraId="3A6EF32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多源数据接口对接</w:t>
            </w:r>
          </w:p>
        </w:tc>
        <w:tc>
          <w:tcPr>
            <w:tcW w:w="3825" w:type="dxa"/>
            <w:noWrap w:val="0"/>
            <w:vAlign w:val="center"/>
          </w:tcPr>
          <w:p w14:paraId="21DAD02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标准化数据接口，支持与各类智能医疗设备、可穿戴设备及医院信息系统对接：可自动同步智能血压计、血糖仪、心电仪等设备的测量数据，自动同步可穿戴设备采集的步数、心率、睡眠等连续数据；支持对接医院 LIS、HIS 系统，自动获取检验检查结果与诊疗记录，减少人工重复录入，从源头降低数据错误率。</w:t>
            </w:r>
          </w:p>
        </w:tc>
        <w:tc>
          <w:tcPr>
            <w:tcW w:w="1025" w:type="dxa"/>
            <w:noWrap w:val="0"/>
            <w:vAlign w:val="center"/>
          </w:tcPr>
          <w:p w14:paraId="628383B9">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bl>
    <w:p w14:paraId="57F2358E">
      <w:pPr>
        <w:pStyle w:val="3"/>
        <w:keepNext/>
        <w:keepLines/>
        <w:pageBreakBefore w:val="0"/>
        <w:widowControl w:val="0"/>
        <w:numPr>
          <w:ilvl w:val="0"/>
          <w:numId w:val="0"/>
        </w:numPr>
        <w:kinsoku/>
        <w:wordWrap/>
        <w:overflowPunct/>
        <w:topLinePunct w:val="0"/>
        <w:autoSpaceDE/>
        <w:autoSpaceDN/>
        <w:bidi w:val="0"/>
        <w:adjustRightInd w:val="0"/>
        <w:snapToGrid/>
        <w:spacing w:before="0" w:after="0" w:line="360" w:lineRule="auto"/>
        <w:textAlignment w:val="baseline"/>
        <w:rPr>
          <w:rFonts w:hint="eastAsia" w:ascii="仿宋" w:hAnsi="仿宋" w:eastAsia="仿宋" w:cs="仿宋"/>
          <w:sz w:val="24"/>
          <w:szCs w:val="24"/>
        </w:rPr>
      </w:pPr>
      <w:r>
        <w:rPr>
          <w:rFonts w:hint="eastAsia" w:ascii="仿宋" w:hAnsi="仿宋" w:eastAsia="仿宋" w:cs="仿宋"/>
          <w:sz w:val="24"/>
          <w:szCs w:val="24"/>
        </w:rPr>
        <w:t>10</w:t>
      </w:r>
      <w:r>
        <w:rPr>
          <w:rFonts w:hint="eastAsia" w:ascii="仿宋" w:hAnsi="仿宋" w:eastAsia="仿宋" w:cs="仿宋"/>
          <w:sz w:val="24"/>
          <w:szCs w:val="24"/>
          <w:lang w:eastAsia="zh-CN"/>
        </w:rPr>
        <w:t>、</w:t>
      </w:r>
      <w:r>
        <w:rPr>
          <w:rFonts w:hint="eastAsia" w:ascii="仿宋" w:hAnsi="仿宋" w:eastAsia="仿宋" w:cs="仿宋"/>
          <w:sz w:val="24"/>
          <w:szCs w:val="24"/>
        </w:rPr>
        <w:t>中央随机化管理系统</w:t>
      </w:r>
    </w:p>
    <w:tbl>
      <w:tblPr>
        <w:tblStyle w:val="9"/>
        <w:tblW w:w="927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012"/>
        <w:gridCol w:w="763"/>
        <w:gridCol w:w="1000"/>
        <w:gridCol w:w="787"/>
        <w:gridCol w:w="3875"/>
        <w:gridCol w:w="1063"/>
      </w:tblGrid>
      <w:tr w14:paraId="49A7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noWrap w:val="0"/>
            <w:vAlign w:val="center"/>
          </w:tcPr>
          <w:p w14:paraId="6E3B41A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平台</w:t>
            </w:r>
          </w:p>
        </w:tc>
        <w:tc>
          <w:tcPr>
            <w:tcW w:w="1012" w:type="dxa"/>
            <w:noWrap w:val="0"/>
            <w:vAlign w:val="center"/>
          </w:tcPr>
          <w:p w14:paraId="5CAD06C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一级标号</w:t>
            </w:r>
          </w:p>
        </w:tc>
        <w:tc>
          <w:tcPr>
            <w:tcW w:w="763" w:type="dxa"/>
            <w:noWrap w:val="0"/>
            <w:vAlign w:val="center"/>
          </w:tcPr>
          <w:p w14:paraId="3BD5F67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一级功能</w:t>
            </w:r>
          </w:p>
        </w:tc>
        <w:tc>
          <w:tcPr>
            <w:tcW w:w="1000" w:type="dxa"/>
            <w:noWrap w:val="0"/>
            <w:vAlign w:val="center"/>
          </w:tcPr>
          <w:p w14:paraId="135ED4C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二级标号</w:t>
            </w:r>
          </w:p>
        </w:tc>
        <w:tc>
          <w:tcPr>
            <w:tcW w:w="787" w:type="dxa"/>
            <w:noWrap w:val="0"/>
            <w:vAlign w:val="center"/>
          </w:tcPr>
          <w:p w14:paraId="0F108D4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二级功能</w:t>
            </w:r>
          </w:p>
        </w:tc>
        <w:tc>
          <w:tcPr>
            <w:tcW w:w="3875" w:type="dxa"/>
            <w:noWrap w:val="0"/>
            <w:vAlign w:val="center"/>
          </w:tcPr>
          <w:p w14:paraId="38C62F7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功能描述</w:t>
            </w:r>
          </w:p>
        </w:tc>
        <w:tc>
          <w:tcPr>
            <w:tcW w:w="1063" w:type="dxa"/>
            <w:noWrap w:val="0"/>
            <w:vAlign w:val="center"/>
          </w:tcPr>
          <w:p w14:paraId="66D38F20">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证明材料</w:t>
            </w:r>
          </w:p>
        </w:tc>
      </w:tr>
      <w:tr w14:paraId="611F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778" w:type="dxa"/>
            <w:vMerge w:val="restart"/>
            <w:noWrap w:val="0"/>
            <w:vAlign w:val="center"/>
          </w:tcPr>
          <w:p w14:paraId="4D05CAA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10中央随机化管理系统</w:t>
            </w:r>
          </w:p>
        </w:tc>
        <w:tc>
          <w:tcPr>
            <w:tcW w:w="1012" w:type="dxa"/>
            <w:noWrap w:val="0"/>
            <w:vAlign w:val="center"/>
          </w:tcPr>
          <w:p w14:paraId="062C2B1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10.0 </w:t>
            </w:r>
          </w:p>
        </w:tc>
        <w:tc>
          <w:tcPr>
            <w:tcW w:w="763" w:type="dxa"/>
            <w:noWrap w:val="0"/>
            <w:vAlign w:val="center"/>
          </w:tcPr>
          <w:p w14:paraId="0606A58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★整体需求</w:t>
            </w:r>
          </w:p>
        </w:tc>
        <w:tc>
          <w:tcPr>
            <w:tcW w:w="1000" w:type="dxa"/>
            <w:noWrap w:val="0"/>
            <w:vAlign w:val="center"/>
          </w:tcPr>
          <w:p w14:paraId="46B286D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10.0 </w:t>
            </w:r>
          </w:p>
        </w:tc>
        <w:tc>
          <w:tcPr>
            <w:tcW w:w="787" w:type="dxa"/>
            <w:noWrap w:val="0"/>
            <w:vAlign w:val="center"/>
          </w:tcPr>
          <w:p w14:paraId="15C99D0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w:t>
            </w:r>
          </w:p>
        </w:tc>
        <w:tc>
          <w:tcPr>
            <w:tcW w:w="3875" w:type="dxa"/>
            <w:noWrap w:val="0"/>
            <w:vAlign w:val="center"/>
          </w:tcPr>
          <w:p w14:paraId="0829689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★投标人需</w:t>
            </w:r>
            <w:r>
              <w:rPr>
                <w:rFonts w:hint="eastAsia" w:ascii="仿宋" w:hAnsi="仿宋" w:eastAsia="仿宋" w:cs="仿宋"/>
                <w:color w:val="000000"/>
                <w:sz w:val="24"/>
                <w:szCs w:val="24"/>
                <w:lang w:val="en-US" w:eastAsia="zh-CN"/>
              </w:rPr>
              <w:t>按要求</w:t>
            </w:r>
            <w:r>
              <w:rPr>
                <w:rFonts w:hint="eastAsia" w:ascii="仿宋" w:hAnsi="仿宋" w:eastAsia="仿宋" w:cs="仿宋"/>
                <w:color w:val="000000"/>
                <w:sz w:val="24"/>
                <w:szCs w:val="24"/>
              </w:rPr>
              <w:t>交付中央随机化管理系统；并能够整合联通链接医疗数据应用协同系统。</w:t>
            </w:r>
          </w:p>
        </w:tc>
        <w:tc>
          <w:tcPr>
            <w:tcW w:w="1063" w:type="dxa"/>
            <w:noWrap w:val="0"/>
            <w:vAlign w:val="center"/>
          </w:tcPr>
          <w:p w14:paraId="44C955E4">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379D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5D1E5D88">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vMerge w:val="restart"/>
            <w:noWrap/>
            <w:vAlign w:val="center"/>
          </w:tcPr>
          <w:p w14:paraId="0E6BBEE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10.1</w:t>
            </w:r>
          </w:p>
        </w:tc>
        <w:tc>
          <w:tcPr>
            <w:tcW w:w="763" w:type="dxa"/>
            <w:vMerge w:val="restart"/>
            <w:noWrap w:val="0"/>
            <w:vAlign w:val="center"/>
          </w:tcPr>
          <w:p w14:paraId="55E855E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方案设计与管理</w:t>
            </w:r>
          </w:p>
        </w:tc>
        <w:tc>
          <w:tcPr>
            <w:tcW w:w="1000" w:type="dxa"/>
            <w:noWrap/>
            <w:vAlign w:val="center"/>
          </w:tcPr>
          <w:p w14:paraId="5494372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10.1.1</w:t>
            </w:r>
          </w:p>
        </w:tc>
        <w:tc>
          <w:tcPr>
            <w:tcW w:w="787" w:type="dxa"/>
            <w:noWrap w:val="0"/>
            <w:vAlign w:val="center"/>
          </w:tcPr>
          <w:p w14:paraId="0741F6A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项目随机方案配置 </w:t>
            </w:r>
          </w:p>
        </w:tc>
        <w:tc>
          <w:tcPr>
            <w:tcW w:w="3875" w:type="dxa"/>
            <w:noWrap w:val="0"/>
            <w:vAlign w:val="center"/>
          </w:tcPr>
          <w:p w14:paraId="3C1092B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支持随即方案的创建与编辑和删除与发布；支持方案锁定与归档。</w:t>
            </w:r>
          </w:p>
        </w:tc>
        <w:tc>
          <w:tcPr>
            <w:tcW w:w="1063" w:type="dxa"/>
            <w:noWrap w:val="0"/>
            <w:vAlign w:val="center"/>
          </w:tcPr>
          <w:p w14:paraId="0CF6D157">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89F2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3382AE19">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vMerge w:val="continue"/>
            <w:noWrap w:val="0"/>
            <w:vAlign w:val="center"/>
          </w:tcPr>
          <w:p w14:paraId="081924E3">
            <w:pPr>
              <w:pageBreakBefore w:val="0"/>
              <w:wordWrap/>
              <w:overflowPunct/>
              <w:topLinePunct w:val="0"/>
              <w:bidi w:val="0"/>
              <w:spacing w:line="360" w:lineRule="auto"/>
              <w:rPr>
                <w:rFonts w:hint="eastAsia" w:ascii="仿宋" w:hAnsi="仿宋" w:eastAsia="仿宋" w:cs="仿宋"/>
                <w:color w:val="000000"/>
                <w:sz w:val="24"/>
                <w:szCs w:val="24"/>
              </w:rPr>
            </w:pPr>
          </w:p>
        </w:tc>
        <w:tc>
          <w:tcPr>
            <w:tcW w:w="763" w:type="dxa"/>
            <w:vMerge w:val="continue"/>
            <w:noWrap w:val="0"/>
            <w:vAlign w:val="center"/>
          </w:tcPr>
          <w:p w14:paraId="4C0143DE">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noWrap/>
            <w:vAlign w:val="center"/>
          </w:tcPr>
          <w:p w14:paraId="534D57E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10.1.2</w:t>
            </w:r>
          </w:p>
        </w:tc>
        <w:tc>
          <w:tcPr>
            <w:tcW w:w="787" w:type="dxa"/>
            <w:noWrap w:val="0"/>
            <w:vAlign w:val="center"/>
          </w:tcPr>
          <w:p w14:paraId="736B384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研究中心管理</w:t>
            </w:r>
          </w:p>
        </w:tc>
        <w:tc>
          <w:tcPr>
            <w:tcW w:w="3875" w:type="dxa"/>
            <w:noWrap w:val="0"/>
            <w:vAlign w:val="center"/>
          </w:tcPr>
          <w:p w14:paraId="15722D3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支持关联参与研究中心，支持分组配额管理。</w:t>
            </w:r>
          </w:p>
        </w:tc>
        <w:tc>
          <w:tcPr>
            <w:tcW w:w="1063" w:type="dxa"/>
            <w:noWrap w:val="0"/>
            <w:vAlign w:val="center"/>
          </w:tcPr>
          <w:p w14:paraId="5F6EDFC5">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B682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0EEE7F0A">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noWrap/>
            <w:vAlign w:val="center"/>
          </w:tcPr>
          <w:p w14:paraId="3B547E7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10.2</w:t>
            </w:r>
          </w:p>
        </w:tc>
        <w:tc>
          <w:tcPr>
            <w:tcW w:w="763" w:type="dxa"/>
            <w:noWrap/>
            <w:vAlign w:val="center"/>
          </w:tcPr>
          <w:p w14:paraId="5E17514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分组管理</w:t>
            </w:r>
          </w:p>
        </w:tc>
        <w:tc>
          <w:tcPr>
            <w:tcW w:w="1000" w:type="dxa"/>
            <w:noWrap/>
            <w:vAlign w:val="center"/>
          </w:tcPr>
          <w:p w14:paraId="0F8DE10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10.2.1</w:t>
            </w:r>
          </w:p>
        </w:tc>
        <w:tc>
          <w:tcPr>
            <w:tcW w:w="787" w:type="dxa"/>
            <w:noWrap w:val="0"/>
            <w:vAlign w:val="center"/>
          </w:tcPr>
          <w:p w14:paraId="6D10AF7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分组定义，分层因素管理</w:t>
            </w:r>
          </w:p>
        </w:tc>
        <w:tc>
          <w:tcPr>
            <w:tcW w:w="3875" w:type="dxa"/>
            <w:noWrap w:val="0"/>
            <w:vAlign w:val="center"/>
          </w:tcPr>
          <w:p w14:paraId="7EA1207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支持配置分层因素，分组配额，支持分组可视化全流程控制。</w:t>
            </w:r>
          </w:p>
        </w:tc>
        <w:tc>
          <w:tcPr>
            <w:tcW w:w="1063" w:type="dxa"/>
            <w:noWrap w:val="0"/>
            <w:vAlign w:val="center"/>
          </w:tcPr>
          <w:p w14:paraId="0135334D">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0EE5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78" w:type="dxa"/>
            <w:vMerge w:val="continue"/>
            <w:noWrap w:val="0"/>
            <w:vAlign w:val="center"/>
          </w:tcPr>
          <w:p w14:paraId="14EE355E">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vMerge w:val="restart"/>
            <w:noWrap/>
            <w:vAlign w:val="center"/>
          </w:tcPr>
          <w:p w14:paraId="3931AE1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w:t>
            </w:r>
          </w:p>
        </w:tc>
        <w:tc>
          <w:tcPr>
            <w:tcW w:w="763" w:type="dxa"/>
            <w:vMerge w:val="restart"/>
            <w:noWrap w:val="0"/>
            <w:vAlign w:val="center"/>
          </w:tcPr>
          <w:p w14:paraId="53D78F9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随机管理</w:t>
            </w:r>
          </w:p>
        </w:tc>
        <w:tc>
          <w:tcPr>
            <w:tcW w:w="1000" w:type="dxa"/>
            <w:noWrap/>
            <w:vAlign w:val="center"/>
          </w:tcPr>
          <w:p w14:paraId="50448B5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10.3.1</w:t>
            </w:r>
          </w:p>
        </w:tc>
        <w:tc>
          <w:tcPr>
            <w:tcW w:w="787" w:type="dxa"/>
            <w:noWrap/>
            <w:vAlign w:val="center"/>
          </w:tcPr>
          <w:p w14:paraId="7EF73D6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随机序列生成 </w:t>
            </w:r>
          </w:p>
        </w:tc>
        <w:tc>
          <w:tcPr>
            <w:tcW w:w="3875" w:type="dxa"/>
            <w:noWrap w:val="0"/>
            <w:vAlign w:val="center"/>
          </w:tcPr>
          <w:p w14:paraId="70E17EF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▲在项目启动阶段由后台自动预生成加密随机序列，随机序列全程不可查看、不可预测、不可篡改，仅在受试者入组时按顺序自动分配。</w:t>
            </w:r>
          </w:p>
        </w:tc>
        <w:tc>
          <w:tcPr>
            <w:tcW w:w="1063" w:type="dxa"/>
            <w:noWrap w:val="0"/>
            <w:vAlign w:val="center"/>
          </w:tcPr>
          <w:p w14:paraId="67B55360">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否</w:t>
            </w:r>
          </w:p>
        </w:tc>
      </w:tr>
      <w:tr w14:paraId="03F32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5961DEE8">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vMerge w:val="continue"/>
            <w:noWrap w:val="0"/>
            <w:vAlign w:val="center"/>
          </w:tcPr>
          <w:p w14:paraId="46202876">
            <w:pPr>
              <w:pageBreakBefore w:val="0"/>
              <w:wordWrap/>
              <w:overflowPunct/>
              <w:topLinePunct w:val="0"/>
              <w:bidi w:val="0"/>
              <w:spacing w:line="360" w:lineRule="auto"/>
              <w:rPr>
                <w:rFonts w:hint="eastAsia" w:ascii="仿宋" w:hAnsi="仿宋" w:eastAsia="仿宋" w:cs="仿宋"/>
                <w:color w:val="000000"/>
                <w:sz w:val="24"/>
                <w:szCs w:val="24"/>
              </w:rPr>
            </w:pPr>
          </w:p>
        </w:tc>
        <w:tc>
          <w:tcPr>
            <w:tcW w:w="763" w:type="dxa"/>
            <w:vMerge w:val="continue"/>
            <w:noWrap w:val="0"/>
            <w:vAlign w:val="center"/>
          </w:tcPr>
          <w:p w14:paraId="1FF2D26F">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noWrap/>
            <w:vAlign w:val="center"/>
          </w:tcPr>
          <w:p w14:paraId="00AB5F4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10.3.2</w:t>
            </w:r>
          </w:p>
        </w:tc>
        <w:tc>
          <w:tcPr>
            <w:tcW w:w="787" w:type="dxa"/>
            <w:noWrap/>
            <w:vAlign w:val="center"/>
          </w:tcPr>
          <w:p w14:paraId="21A3206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重复随机校验</w:t>
            </w:r>
          </w:p>
        </w:tc>
        <w:tc>
          <w:tcPr>
            <w:tcW w:w="3875" w:type="dxa"/>
            <w:noWrap w:val="0"/>
            <w:vAlign w:val="center"/>
          </w:tcPr>
          <w:p w14:paraId="700B25D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支持可自动识别同一受试者重复随机、异常请求、非法调用等行为，系统将自动拒绝重复分配并同步记录异常日志。</w:t>
            </w:r>
          </w:p>
        </w:tc>
        <w:tc>
          <w:tcPr>
            <w:tcW w:w="1063" w:type="dxa"/>
            <w:noWrap w:val="0"/>
            <w:vAlign w:val="center"/>
          </w:tcPr>
          <w:p w14:paraId="2E848D5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72F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02248589">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vMerge w:val="restart"/>
            <w:noWrap/>
            <w:vAlign w:val="center"/>
          </w:tcPr>
          <w:p w14:paraId="0AC0165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10.4</w:t>
            </w:r>
          </w:p>
        </w:tc>
        <w:tc>
          <w:tcPr>
            <w:tcW w:w="763" w:type="dxa"/>
            <w:vMerge w:val="restart"/>
            <w:noWrap w:val="0"/>
            <w:vAlign w:val="center"/>
          </w:tcPr>
          <w:p w14:paraId="2E5E5FC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盲态与揭盲管理</w:t>
            </w:r>
          </w:p>
        </w:tc>
        <w:tc>
          <w:tcPr>
            <w:tcW w:w="1000" w:type="dxa"/>
            <w:noWrap/>
            <w:vAlign w:val="center"/>
          </w:tcPr>
          <w:p w14:paraId="4FE8440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10.4.1</w:t>
            </w:r>
          </w:p>
        </w:tc>
        <w:tc>
          <w:tcPr>
            <w:tcW w:w="787" w:type="dxa"/>
            <w:noWrap w:val="0"/>
            <w:vAlign w:val="center"/>
          </w:tcPr>
          <w:p w14:paraId="71CF7C3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盲态设计与维护 </w:t>
            </w:r>
          </w:p>
        </w:tc>
        <w:tc>
          <w:tcPr>
            <w:tcW w:w="3875" w:type="dxa"/>
            <w:noWrap w:val="0"/>
            <w:vAlign w:val="center"/>
          </w:tcPr>
          <w:p w14:paraId="0239C39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支持单盲与双盲两种试验盲法配置，可对分组信息进行加密存储与权限隔离，默认对所有人员不可见。</w:t>
            </w:r>
          </w:p>
        </w:tc>
        <w:tc>
          <w:tcPr>
            <w:tcW w:w="1063" w:type="dxa"/>
            <w:noWrap w:val="0"/>
            <w:vAlign w:val="center"/>
          </w:tcPr>
          <w:p w14:paraId="1F131738">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974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4AA348A0">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vMerge w:val="continue"/>
            <w:noWrap w:val="0"/>
            <w:vAlign w:val="center"/>
          </w:tcPr>
          <w:p w14:paraId="4B7DC3D6">
            <w:pPr>
              <w:pageBreakBefore w:val="0"/>
              <w:wordWrap/>
              <w:overflowPunct/>
              <w:topLinePunct w:val="0"/>
              <w:bidi w:val="0"/>
              <w:spacing w:line="360" w:lineRule="auto"/>
              <w:rPr>
                <w:rFonts w:hint="eastAsia" w:ascii="仿宋" w:hAnsi="仿宋" w:eastAsia="仿宋" w:cs="仿宋"/>
                <w:color w:val="000000"/>
                <w:sz w:val="24"/>
                <w:szCs w:val="24"/>
              </w:rPr>
            </w:pPr>
          </w:p>
        </w:tc>
        <w:tc>
          <w:tcPr>
            <w:tcW w:w="763" w:type="dxa"/>
            <w:vMerge w:val="continue"/>
            <w:noWrap w:val="0"/>
            <w:vAlign w:val="center"/>
          </w:tcPr>
          <w:p w14:paraId="5C3060FB">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noWrap/>
            <w:vAlign w:val="center"/>
          </w:tcPr>
          <w:p w14:paraId="2D1660F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10.4.2</w:t>
            </w:r>
          </w:p>
        </w:tc>
        <w:tc>
          <w:tcPr>
            <w:tcW w:w="787" w:type="dxa"/>
            <w:noWrap/>
            <w:vAlign w:val="center"/>
          </w:tcPr>
          <w:p w14:paraId="2E689BB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揭盲管理 </w:t>
            </w:r>
          </w:p>
        </w:tc>
        <w:tc>
          <w:tcPr>
            <w:tcW w:w="3875" w:type="dxa"/>
            <w:noWrap w:val="0"/>
            <w:vAlign w:val="center"/>
          </w:tcPr>
          <w:p w14:paraId="691B17B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▲支持基于可信硬件的单例紧急揭盲，试验结束揭盲，破盲监测预警。</w:t>
            </w:r>
          </w:p>
        </w:tc>
        <w:tc>
          <w:tcPr>
            <w:tcW w:w="1063" w:type="dxa"/>
            <w:noWrap w:val="0"/>
            <w:vAlign w:val="center"/>
          </w:tcPr>
          <w:p w14:paraId="464B111B">
            <w:pPr>
              <w:pageBreakBefore w:val="0"/>
              <w:wordWrap/>
              <w:overflowPunct/>
              <w:topLinePunct w:val="0"/>
              <w:bidi w:val="0"/>
              <w:spacing w:line="360" w:lineRule="auto"/>
              <w:jc w:val="center"/>
              <w:rPr>
                <w:rFonts w:hint="eastAsia" w:ascii="仿宋" w:hAnsi="仿宋" w:eastAsia="宋体" w:cs="仿宋"/>
                <w:color w:val="000000"/>
                <w:sz w:val="24"/>
                <w:szCs w:val="24"/>
                <w:lang w:eastAsia="zh-CN"/>
              </w:rPr>
            </w:pPr>
            <w:r>
              <w:rPr>
                <w:rFonts w:hint="eastAsia" w:ascii="仿宋" w:hAnsi="仿宋" w:eastAsia="仿宋" w:cs="仿宋"/>
                <w:color w:val="000000"/>
                <w:sz w:val="24"/>
                <w:szCs w:val="24"/>
                <w:lang w:val="en-US" w:eastAsia="zh-CN"/>
              </w:rPr>
              <w:t>否</w:t>
            </w:r>
          </w:p>
        </w:tc>
      </w:tr>
      <w:tr w14:paraId="208E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78" w:type="dxa"/>
            <w:vMerge w:val="continue"/>
            <w:noWrap w:val="0"/>
            <w:vAlign w:val="center"/>
          </w:tcPr>
          <w:p w14:paraId="3BD74C08">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vMerge w:val="restart"/>
            <w:noWrap/>
            <w:vAlign w:val="center"/>
          </w:tcPr>
          <w:p w14:paraId="1D89838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10.5</w:t>
            </w:r>
          </w:p>
        </w:tc>
        <w:tc>
          <w:tcPr>
            <w:tcW w:w="763" w:type="dxa"/>
            <w:vMerge w:val="restart"/>
            <w:noWrap w:val="0"/>
            <w:vAlign w:val="center"/>
          </w:tcPr>
          <w:p w14:paraId="56D1B3B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日志与审计管理</w:t>
            </w:r>
          </w:p>
        </w:tc>
        <w:tc>
          <w:tcPr>
            <w:tcW w:w="1000" w:type="dxa"/>
            <w:noWrap/>
            <w:vAlign w:val="center"/>
          </w:tcPr>
          <w:p w14:paraId="37BD971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10.5.1</w:t>
            </w:r>
          </w:p>
        </w:tc>
        <w:tc>
          <w:tcPr>
            <w:tcW w:w="787" w:type="dxa"/>
            <w:noWrap/>
            <w:vAlign w:val="center"/>
          </w:tcPr>
          <w:p w14:paraId="22B357B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操作日志</w:t>
            </w:r>
          </w:p>
        </w:tc>
        <w:tc>
          <w:tcPr>
            <w:tcW w:w="3875" w:type="dxa"/>
            <w:noWrap w:val="0"/>
            <w:vAlign w:val="center"/>
          </w:tcPr>
          <w:p w14:paraId="4981A0F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支持全流程操作日志自动记录，覆盖用户登录、随机分配、揭盲操作、配置修改、数据导出等所有关键操作，完整留存操作人、操作时间、操作内容与结果状态；支持日志导出功能。</w:t>
            </w:r>
          </w:p>
        </w:tc>
        <w:tc>
          <w:tcPr>
            <w:tcW w:w="1063" w:type="dxa"/>
            <w:noWrap w:val="0"/>
            <w:vAlign w:val="center"/>
          </w:tcPr>
          <w:p w14:paraId="3508C83A">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74F7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66724A0E">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vMerge w:val="continue"/>
            <w:noWrap w:val="0"/>
            <w:vAlign w:val="center"/>
          </w:tcPr>
          <w:p w14:paraId="20F4A185">
            <w:pPr>
              <w:pageBreakBefore w:val="0"/>
              <w:wordWrap/>
              <w:overflowPunct/>
              <w:topLinePunct w:val="0"/>
              <w:bidi w:val="0"/>
              <w:spacing w:line="360" w:lineRule="auto"/>
              <w:rPr>
                <w:rFonts w:hint="eastAsia" w:ascii="仿宋" w:hAnsi="仿宋" w:eastAsia="仿宋" w:cs="仿宋"/>
                <w:color w:val="000000"/>
                <w:sz w:val="24"/>
                <w:szCs w:val="24"/>
              </w:rPr>
            </w:pPr>
          </w:p>
        </w:tc>
        <w:tc>
          <w:tcPr>
            <w:tcW w:w="763" w:type="dxa"/>
            <w:vMerge w:val="continue"/>
            <w:noWrap w:val="0"/>
            <w:vAlign w:val="center"/>
          </w:tcPr>
          <w:p w14:paraId="07122D97">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noWrap/>
            <w:vAlign w:val="center"/>
          </w:tcPr>
          <w:p w14:paraId="05A42F2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10.5.2</w:t>
            </w:r>
          </w:p>
        </w:tc>
        <w:tc>
          <w:tcPr>
            <w:tcW w:w="787" w:type="dxa"/>
            <w:noWrap/>
            <w:vAlign w:val="center"/>
          </w:tcPr>
          <w:p w14:paraId="244C664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异常行为告警 </w:t>
            </w:r>
          </w:p>
        </w:tc>
        <w:tc>
          <w:tcPr>
            <w:tcW w:w="3875" w:type="dxa"/>
            <w:noWrap w:val="0"/>
            <w:vAlign w:val="center"/>
          </w:tcPr>
          <w:p w14:paraId="7914F07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对重复随机、越权访问、非法揭盲操作自动审计预警。</w:t>
            </w:r>
          </w:p>
        </w:tc>
        <w:tc>
          <w:tcPr>
            <w:tcW w:w="1063" w:type="dxa"/>
            <w:noWrap w:val="0"/>
            <w:vAlign w:val="center"/>
          </w:tcPr>
          <w:p w14:paraId="44BD0613">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5A3F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6C66D909">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vMerge w:val="continue"/>
            <w:noWrap w:val="0"/>
            <w:vAlign w:val="center"/>
          </w:tcPr>
          <w:p w14:paraId="6BE2CBF9">
            <w:pPr>
              <w:pageBreakBefore w:val="0"/>
              <w:wordWrap/>
              <w:overflowPunct/>
              <w:topLinePunct w:val="0"/>
              <w:bidi w:val="0"/>
              <w:spacing w:line="360" w:lineRule="auto"/>
              <w:rPr>
                <w:rFonts w:hint="eastAsia" w:ascii="仿宋" w:hAnsi="仿宋" w:eastAsia="仿宋" w:cs="仿宋"/>
                <w:color w:val="000000"/>
                <w:sz w:val="24"/>
                <w:szCs w:val="24"/>
              </w:rPr>
            </w:pPr>
          </w:p>
        </w:tc>
        <w:tc>
          <w:tcPr>
            <w:tcW w:w="763" w:type="dxa"/>
            <w:vMerge w:val="continue"/>
            <w:noWrap w:val="0"/>
            <w:vAlign w:val="center"/>
          </w:tcPr>
          <w:p w14:paraId="5634AB71">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noWrap/>
            <w:vAlign w:val="center"/>
          </w:tcPr>
          <w:p w14:paraId="2A3E5F8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10.5.3</w:t>
            </w:r>
          </w:p>
        </w:tc>
        <w:tc>
          <w:tcPr>
            <w:tcW w:w="787" w:type="dxa"/>
            <w:noWrap/>
            <w:vAlign w:val="center"/>
          </w:tcPr>
          <w:p w14:paraId="5941161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日志不可篡改 </w:t>
            </w:r>
          </w:p>
        </w:tc>
        <w:tc>
          <w:tcPr>
            <w:tcW w:w="3875" w:type="dxa"/>
            <w:noWrap w:val="0"/>
            <w:vAlign w:val="center"/>
          </w:tcPr>
          <w:p w14:paraId="630BA2B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支持区块链存证，无法删除修改。</w:t>
            </w:r>
          </w:p>
        </w:tc>
        <w:tc>
          <w:tcPr>
            <w:tcW w:w="1063" w:type="dxa"/>
            <w:noWrap w:val="0"/>
            <w:vAlign w:val="center"/>
          </w:tcPr>
          <w:p w14:paraId="6A172878">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807C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77F0F059">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vMerge w:val="restart"/>
            <w:noWrap/>
            <w:vAlign w:val="center"/>
          </w:tcPr>
          <w:p w14:paraId="0B6B849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10.6</w:t>
            </w:r>
          </w:p>
        </w:tc>
        <w:tc>
          <w:tcPr>
            <w:tcW w:w="763" w:type="dxa"/>
            <w:vMerge w:val="restart"/>
            <w:noWrap w:val="0"/>
            <w:vAlign w:val="center"/>
          </w:tcPr>
          <w:p w14:paraId="1023D98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数据接口管理</w:t>
            </w:r>
          </w:p>
        </w:tc>
        <w:tc>
          <w:tcPr>
            <w:tcW w:w="1000" w:type="dxa"/>
            <w:noWrap/>
            <w:vAlign w:val="center"/>
          </w:tcPr>
          <w:p w14:paraId="3F4409A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10.6.1</w:t>
            </w:r>
          </w:p>
        </w:tc>
        <w:tc>
          <w:tcPr>
            <w:tcW w:w="787" w:type="dxa"/>
            <w:noWrap/>
            <w:vAlign w:val="center"/>
          </w:tcPr>
          <w:p w14:paraId="7A9DB0B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EDC 系统接口 </w:t>
            </w:r>
          </w:p>
        </w:tc>
        <w:tc>
          <w:tcPr>
            <w:tcW w:w="3875" w:type="dxa"/>
            <w:noWrap w:val="0"/>
            <w:vAlign w:val="center"/>
          </w:tcPr>
          <w:p w14:paraId="11D7D33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与电子数据采集系统对接，自动同步受试者信息与随机结果。</w:t>
            </w:r>
          </w:p>
        </w:tc>
        <w:tc>
          <w:tcPr>
            <w:tcW w:w="1063" w:type="dxa"/>
            <w:noWrap w:val="0"/>
            <w:vAlign w:val="center"/>
          </w:tcPr>
          <w:p w14:paraId="05361C31">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FB8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1F3A6538">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vMerge w:val="continue"/>
            <w:noWrap w:val="0"/>
            <w:vAlign w:val="center"/>
          </w:tcPr>
          <w:p w14:paraId="0B77C203">
            <w:pPr>
              <w:pageBreakBefore w:val="0"/>
              <w:wordWrap/>
              <w:overflowPunct/>
              <w:topLinePunct w:val="0"/>
              <w:bidi w:val="0"/>
              <w:spacing w:line="360" w:lineRule="auto"/>
              <w:rPr>
                <w:rFonts w:hint="eastAsia" w:ascii="仿宋" w:hAnsi="仿宋" w:eastAsia="仿宋" w:cs="仿宋"/>
                <w:color w:val="000000"/>
                <w:sz w:val="24"/>
                <w:szCs w:val="24"/>
              </w:rPr>
            </w:pPr>
          </w:p>
        </w:tc>
        <w:tc>
          <w:tcPr>
            <w:tcW w:w="763" w:type="dxa"/>
            <w:vMerge w:val="continue"/>
            <w:noWrap w:val="0"/>
            <w:vAlign w:val="center"/>
          </w:tcPr>
          <w:p w14:paraId="6C55EB01">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noWrap/>
            <w:vAlign w:val="center"/>
          </w:tcPr>
          <w:p w14:paraId="239AD8C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10.6.2</w:t>
            </w:r>
          </w:p>
        </w:tc>
        <w:tc>
          <w:tcPr>
            <w:tcW w:w="787" w:type="dxa"/>
            <w:noWrap/>
            <w:vAlign w:val="center"/>
          </w:tcPr>
          <w:p w14:paraId="71B8E06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临床试验项目管理接口 </w:t>
            </w:r>
          </w:p>
        </w:tc>
        <w:tc>
          <w:tcPr>
            <w:tcW w:w="3875" w:type="dxa"/>
            <w:noWrap w:val="0"/>
            <w:vAlign w:val="center"/>
          </w:tcPr>
          <w:p w14:paraId="6883E63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对接项目管理平台，同步中心、受试者、用药信息。</w:t>
            </w:r>
          </w:p>
        </w:tc>
        <w:tc>
          <w:tcPr>
            <w:tcW w:w="1063" w:type="dxa"/>
            <w:noWrap w:val="0"/>
            <w:vAlign w:val="center"/>
          </w:tcPr>
          <w:p w14:paraId="71C6E67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EDC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42ABF19E">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vMerge w:val="continue"/>
            <w:noWrap w:val="0"/>
            <w:vAlign w:val="center"/>
          </w:tcPr>
          <w:p w14:paraId="7FC075EA">
            <w:pPr>
              <w:pageBreakBefore w:val="0"/>
              <w:wordWrap/>
              <w:overflowPunct/>
              <w:topLinePunct w:val="0"/>
              <w:bidi w:val="0"/>
              <w:spacing w:line="360" w:lineRule="auto"/>
              <w:rPr>
                <w:rFonts w:hint="eastAsia" w:ascii="仿宋" w:hAnsi="仿宋" w:eastAsia="仿宋" w:cs="仿宋"/>
                <w:color w:val="000000"/>
                <w:sz w:val="24"/>
                <w:szCs w:val="24"/>
              </w:rPr>
            </w:pPr>
          </w:p>
        </w:tc>
        <w:tc>
          <w:tcPr>
            <w:tcW w:w="763" w:type="dxa"/>
            <w:vMerge w:val="continue"/>
            <w:noWrap w:val="0"/>
            <w:vAlign w:val="center"/>
          </w:tcPr>
          <w:p w14:paraId="3E3FCD7C">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noWrap/>
            <w:vAlign w:val="center"/>
          </w:tcPr>
          <w:p w14:paraId="125F3D3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10.6.3</w:t>
            </w:r>
          </w:p>
        </w:tc>
        <w:tc>
          <w:tcPr>
            <w:tcW w:w="787" w:type="dxa"/>
            <w:noWrap/>
            <w:vAlign w:val="center"/>
          </w:tcPr>
          <w:p w14:paraId="094DB86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随机数据导出接口 </w:t>
            </w:r>
          </w:p>
        </w:tc>
        <w:tc>
          <w:tcPr>
            <w:tcW w:w="3875" w:type="dxa"/>
            <w:noWrap w:val="0"/>
            <w:vAlign w:val="center"/>
          </w:tcPr>
          <w:p w14:paraId="4797846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支持标准化格式导出随机表、揭盲表、日志表。</w:t>
            </w:r>
          </w:p>
        </w:tc>
        <w:tc>
          <w:tcPr>
            <w:tcW w:w="1063" w:type="dxa"/>
            <w:noWrap w:val="0"/>
            <w:vAlign w:val="center"/>
          </w:tcPr>
          <w:p w14:paraId="46828DFF">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4A67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03940898">
            <w:pPr>
              <w:pageBreakBefore w:val="0"/>
              <w:wordWrap/>
              <w:overflowPunct/>
              <w:topLinePunct w:val="0"/>
              <w:bidi w:val="0"/>
              <w:spacing w:line="360" w:lineRule="auto"/>
              <w:rPr>
                <w:rFonts w:hint="eastAsia" w:ascii="仿宋" w:hAnsi="仿宋" w:eastAsia="仿宋" w:cs="仿宋"/>
                <w:color w:val="000000"/>
                <w:sz w:val="24"/>
                <w:szCs w:val="24"/>
              </w:rPr>
            </w:pPr>
          </w:p>
        </w:tc>
        <w:tc>
          <w:tcPr>
            <w:tcW w:w="1012" w:type="dxa"/>
            <w:vMerge w:val="continue"/>
            <w:noWrap w:val="0"/>
            <w:vAlign w:val="center"/>
          </w:tcPr>
          <w:p w14:paraId="588A7E3C">
            <w:pPr>
              <w:pageBreakBefore w:val="0"/>
              <w:wordWrap/>
              <w:overflowPunct/>
              <w:topLinePunct w:val="0"/>
              <w:bidi w:val="0"/>
              <w:spacing w:line="360" w:lineRule="auto"/>
              <w:rPr>
                <w:rFonts w:hint="eastAsia" w:ascii="仿宋" w:hAnsi="仿宋" w:eastAsia="仿宋" w:cs="仿宋"/>
                <w:color w:val="000000"/>
                <w:sz w:val="24"/>
                <w:szCs w:val="24"/>
              </w:rPr>
            </w:pPr>
          </w:p>
        </w:tc>
        <w:tc>
          <w:tcPr>
            <w:tcW w:w="763" w:type="dxa"/>
            <w:vMerge w:val="continue"/>
            <w:noWrap w:val="0"/>
            <w:vAlign w:val="center"/>
          </w:tcPr>
          <w:p w14:paraId="2245C6C4">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noWrap/>
            <w:vAlign w:val="center"/>
          </w:tcPr>
          <w:p w14:paraId="4F04DDF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10.6.4</w:t>
            </w:r>
          </w:p>
        </w:tc>
        <w:tc>
          <w:tcPr>
            <w:tcW w:w="787" w:type="dxa"/>
            <w:noWrap/>
            <w:vAlign w:val="center"/>
          </w:tcPr>
          <w:p w14:paraId="4762B55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权限与安全接口 </w:t>
            </w:r>
          </w:p>
        </w:tc>
        <w:tc>
          <w:tcPr>
            <w:tcW w:w="3875" w:type="dxa"/>
            <w:noWrap w:val="0"/>
            <w:vAlign w:val="center"/>
          </w:tcPr>
          <w:p w14:paraId="79BCCCD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▲支持统一身份认证、电子签名以及基于可信硬件的加密数据管理。</w:t>
            </w:r>
          </w:p>
        </w:tc>
        <w:tc>
          <w:tcPr>
            <w:tcW w:w="1063" w:type="dxa"/>
            <w:noWrap w:val="0"/>
            <w:vAlign w:val="center"/>
          </w:tcPr>
          <w:p w14:paraId="0E2A01E6">
            <w:pPr>
              <w:pageBreakBefore w:val="0"/>
              <w:wordWrap/>
              <w:overflowPunct/>
              <w:topLinePunct w:val="0"/>
              <w:bidi w:val="0"/>
              <w:spacing w:line="360" w:lineRule="auto"/>
              <w:jc w:val="center"/>
              <w:rPr>
                <w:rFonts w:hint="eastAsia" w:ascii="仿宋" w:hAnsi="仿宋" w:eastAsia="宋体" w:cs="仿宋"/>
                <w:color w:val="000000"/>
                <w:sz w:val="24"/>
                <w:szCs w:val="24"/>
                <w:lang w:eastAsia="zh-CN"/>
              </w:rPr>
            </w:pPr>
            <w:r>
              <w:rPr>
                <w:rFonts w:hint="eastAsia" w:ascii="仿宋" w:hAnsi="仿宋" w:eastAsia="仿宋" w:cs="仿宋"/>
                <w:color w:val="000000"/>
                <w:sz w:val="24"/>
                <w:szCs w:val="24"/>
                <w:lang w:val="en-US" w:eastAsia="zh-CN"/>
              </w:rPr>
              <w:t>否</w:t>
            </w:r>
          </w:p>
        </w:tc>
      </w:tr>
    </w:tbl>
    <w:p w14:paraId="498B7764">
      <w:pPr>
        <w:pStyle w:val="3"/>
        <w:keepNext/>
        <w:keepLines/>
        <w:pageBreakBefore w:val="0"/>
        <w:widowControl w:val="0"/>
        <w:numPr>
          <w:ilvl w:val="0"/>
          <w:numId w:val="0"/>
        </w:numPr>
        <w:kinsoku/>
        <w:wordWrap/>
        <w:overflowPunct/>
        <w:topLinePunct w:val="0"/>
        <w:autoSpaceDE/>
        <w:autoSpaceDN/>
        <w:bidi w:val="0"/>
        <w:adjustRightInd w:val="0"/>
        <w:snapToGrid/>
        <w:spacing w:before="0" w:after="0" w:line="360" w:lineRule="auto"/>
        <w:textAlignment w:val="baseline"/>
        <w:rPr>
          <w:rFonts w:hint="eastAsia" w:ascii="仿宋" w:hAnsi="仿宋" w:eastAsia="仿宋" w:cs="仿宋"/>
          <w:sz w:val="24"/>
          <w:szCs w:val="24"/>
        </w:rPr>
      </w:pPr>
      <w:r>
        <w:rPr>
          <w:rFonts w:hint="eastAsia" w:ascii="仿宋" w:hAnsi="仿宋" w:eastAsia="仿宋" w:cs="仿宋"/>
          <w:sz w:val="24"/>
          <w:szCs w:val="24"/>
        </w:rPr>
        <w:t>11</w:t>
      </w:r>
      <w:r>
        <w:rPr>
          <w:rFonts w:hint="eastAsia" w:ascii="仿宋" w:hAnsi="仿宋" w:eastAsia="仿宋" w:cs="仿宋"/>
          <w:sz w:val="24"/>
          <w:szCs w:val="24"/>
          <w:lang w:eastAsia="zh-CN"/>
        </w:rPr>
        <w:t>、</w:t>
      </w:r>
      <w:r>
        <w:rPr>
          <w:rFonts w:hint="eastAsia" w:ascii="仿宋" w:hAnsi="仿宋" w:eastAsia="仿宋" w:cs="仿宋"/>
          <w:sz w:val="24"/>
          <w:szCs w:val="24"/>
        </w:rPr>
        <w:t>人工智能医疗随访智能引擎+随访系统</w:t>
      </w:r>
    </w:p>
    <w:tbl>
      <w:tblPr>
        <w:tblStyle w:val="9"/>
        <w:tblW w:w="932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960"/>
        <w:gridCol w:w="818"/>
        <w:gridCol w:w="1056"/>
        <w:gridCol w:w="862"/>
        <w:gridCol w:w="3759"/>
        <w:gridCol w:w="1089"/>
      </w:tblGrid>
      <w:tr w14:paraId="3F213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90" w:type="dxa"/>
            <w:noWrap w:val="0"/>
            <w:vAlign w:val="center"/>
          </w:tcPr>
          <w:p w14:paraId="425AC6E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平台</w:t>
            </w:r>
          </w:p>
        </w:tc>
        <w:tc>
          <w:tcPr>
            <w:tcW w:w="963" w:type="dxa"/>
            <w:noWrap w:val="0"/>
            <w:vAlign w:val="center"/>
          </w:tcPr>
          <w:p w14:paraId="15ED354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一级标号</w:t>
            </w:r>
          </w:p>
        </w:tc>
        <w:tc>
          <w:tcPr>
            <w:tcW w:w="825" w:type="dxa"/>
            <w:noWrap w:val="0"/>
            <w:vAlign w:val="center"/>
          </w:tcPr>
          <w:p w14:paraId="35C40D8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一级功能</w:t>
            </w:r>
          </w:p>
        </w:tc>
        <w:tc>
          <w:tcPr>
            <w:tcW w:w="987" w:type="dxa"/>
            <w:noWrap w:val="0"/>
            <w:vAlign w:val="center"/>
          </w:tcPr>
          <w:p w14:paraId="5ADC37B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二级标号</w:t>
            </w:r>
          </w:p>
        </w:tc>
        <w:tc>
          <w:tcPr>
            <w:tcW w:w="862" w:type="dxa"/>
            <w:noWrap w:val="0"/>
            <w:vAlign w:val="center"/>
          </w:tcPr>
          <w:p w14:paraId="315F7B5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二级功能</w:t>
            </w:r>
          </w:p>
        </w:tc>
        <w:tc>
          <w:tcPr>
            <w:tcW w:w="3813" w:type="dxa"/>
            <w:noWrap w:val="0"/>
            <w:vAlign w:val="center"/>
          </w:tcPr>
          <w:p w14:paraId="3FAEC51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功能描述</w:t>
            </w:r>
          </w:p>
        </w:tc>
        <w:tc>
          <w:tcPr>
            <w:tcW w:w="1088" w:type="dxa"/>
            <w:noWrap w:val="0"/>
            <w:vAlign w:val="center"/>
          </w:tcPr>
          <w:p w14:paraId="360FC5A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证明材料</w:t>
            </w:r>
          </w:p>
        </w:tc>
      </w:tr>
      <w:tr w14:paraId="6580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790" w:type="dxa"/>
            <w:vMerge w:val="restart"/>
            <w:noWrap w:val="0"/>
            <w:vAlign w:val="center"/>
          </w:tcPr>
          <w:p w14:paraId="7FA8AEE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11人工智能医疗随访智能引擎+随访系统</w:t>
            </w:r>
          </w:p>
        </w:tc>
        <w:tc>
          <w:tcPr>
            <w:tcW w:w="963" w:type="dxa"/>
            <w:noWrap w:val="0"/>
            <w:vAlign w:val="center"/>
          </w:tcPr>
          <w:p w14:paraId="4416294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11.0 </w:t>
            </w:r>
          </w:p>
        </w:tc>
        <w:tc>
          <w:tcPr>
            <w:tcW w:w="825" w:type="dxa"/>
            <w:noWrap w:val="0"/>
            <w:vAlign w:val="center"/>
          </w:tcPr>
          <w:p w14:paraId="3E86B51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★整体需求</w:t>
            </w:r>
          </w:p>
        </w:tc>
        <w:tc>
          <w:tcPr>
            <w:tcW w:w="987" w:type="dxa"/>
            <w:noWrap w:val="0"/>
            <w:vAlign w:val="center"/>
          </w:tcPr>
          <w:p w14:paraId="7386C05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11.0 </w:t>
            </w:r>
          </w:p>
        </w:tc>
        <w:tc>
          <w:tcPr>
            <w:tcW w:w="862" w:type="dxa"/>
            <w:noWrap w:val="0"/>
            <w:vAlign w:val="center"/>
          </w:tcPr>
          <w:p w14:paraId="7BD9EE9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w:t>
            </w:r>
          </w:p>
        </w:tc>
        <w:tc>
          <w:tcPr>
            <w:tcW w:w="3813" w:type="dxa"/>
            <w:noWrap w:val="0"/>
            <w:vAlign w:val="center"/>
          </w:tcPr>
          <w:p w14:paraId="2EC6134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★投标人需</w:t>
            </w:r>
            <w:r>
              <w:rPr>
                <w:rFonts w:hint="eastAsia" w:ascii="仿宋" w:hAnsi="仿宋" w:eastAsia="仿宋" w:cs="仿宋"/>
                <w:color w:val="000000"/>
                <w:sz w:val="24"/>
                <w:szCs w:val="24"/>
                <w:lang w:val="en-US" w:eastAsia="zh-CN"/>
              </w:rPr>
              <w:t>按要求</w:t>
            </w:r>
            <w:r>
              <w:rPr>
                <w:rFonts w:hint="eastAsia" w:ascii="仿宋" w:hAnsi="仿宋" w:eastAsia="仿宋" w:cs="仿宋"/>
                <w:color w:val="000000"/>
                <w:sz w:val="24"/>
                <w:szCs w:val="24"/>
              </w:rPr>
              <w:t>交付人工智能医疗随访智能引擎+随访系统；并能够整合联通链接医疗数据应用协同系统。</w:t>
            </w:r>
          </w:p>
        </w:tc>
        <w:tc>
          <w:tcPr>
            <w:tcW w:w="1088" w:type="dxa"/>
            <w:noWrap w:val="0"/>
            <w:vAlign w:val="center"/>
          </w:tcPr>
          <w:p w14:paraId="5CBC440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F139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90" w:type="dxa"/>
            <w:vMerge w:val="continue"/>
            <w:noWrap w:val="0"/>
            <w:vAlign w:val="center"/>
          </w:tcPr>
          <w:p w14:paraId="729C00FD">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restart"/>
            <w:noWrap w:val="0"/>
            <w:vAlign w:val="center"/>
          </w:tcPr>
          <w:p w14:paraId="0FD77EA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11.1</w:t>
            </w:r>
          </w:p>
        </w:tc>
        <w:tc>
          <w:tcPr>
            <w:tcW w:w="825" w:type="dxa"/>
            <w:vMerge w:val="restart"/>
            <w:noWrap w:val="0"/>
            <w:vAlign w:val="center"/>
          </w:tcPr>
          <w:p w14:paraId="7C163F5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AI交互引擎管理</w:t>
            </w:r>
          </w:p>
        </w:tc>
        <w:tc>
          <w:tcPr>
            <w:tcW w:w="987" w:type="dxa"/>
            <w:noWrap w:val="0"/>
            <w:vAlign w:val="center"/>
          </w:tcPr>
          <w:p w14:paraId="129887C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11.1.1</w:t>
            </w:r>
          </w:p>
        </w:tc>
        <w:tc>
          <w:tcPr>
            <w:tcW w:w="862" w:type="dxa"/>
            <w:noWrap/>
            <w:vAlign w:val="center"/>
          </w:tcPr>
          <w:p w14:paraId="3D065EE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过程追溯</w:t>
            </w:r>
          </w:p>
        </w:tc>
        <w:tc>
          <w:tcPr>
            <w:tcW w:w="3813" w:type="dxa"/>
            <w:noWrap w:val="0"/>
            <w:vAlign w:val="center"/>
          </w:tcPr>
          <w:p w14:paraId="6F55CD9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▲系统可以查看、回听机器人和患者的整个交流过程，此功能具备</w:t>
            </w:r>
          </w:p>
        </w:tc>
        <w:tc>
          <w:tcPr>
            <w:tcW w:w="1088" w:type="dxa"/>
            <w:noWrap/>
            <w:vAlign w:val="center"/>
          </w:tcPr>
          <w:p w14:paraId="47A593F2">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是，需提供</w:t>
            </w:r>
            <w:r>
              <w:rPr>
                <w:rFonts w:hint="eastAsia" w:ascii="仿宋" w:hAnsi="仿宋" w:eastAsia="仿宋" w:cs="仿宋"/>
                <w:color w:val="000000"/>
                <w:sz w:val="24"/>
                <w:szCs w:val="24"/>
                <w:lang w:val="en-US" w:eastAsia="zh-CN"/>
              </w:rPr>
              <w:t>类似产品或功能的</w:t>
            </w:r>
            <w:r>
              <w:rPr>
                <w:rFonts w:hint="eastAsia" w:ascii="仿宋" w:hAnsi="仿宋" w:eastAsia="仿宋" w:cs="仿宋"/>
                <w:color w:val="000000"/>
                <w:sz w:val="24"/>
                <w:szCs w:val="24"/>
              </w:rPr>
              <w:t>第三方检测机构出具的软件测试报告。</w:t>
            </w:r>
          </w:p>
        </w:tc>
      </w:tr>
      <w:tr w14:paraId="014BA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90" w:type="dxa"/>
            <w:vMerge w:val="continue"/>
            <w:noWrap w:val="0"/>
            <w:vAlign w:val="center"/>
          </w:tcPr>
          <w:p w14:paraId="0421AA1E">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56782DB6">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43133A06">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053D216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11.1.2</w:t>
            </w:r>
          </w:p>
        </w:tc>
        <w:tc>
          <w:tcPr>
            <w:tcW w:w="862" w:type="dxa"/>
            <w:noWrap/>
            <w:vAlign w:val="center"/>
          </w:tcPr>
          <w:p w14:paraId="024F1EF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AI审核</w:t>
            </w:r>
          </w:p>
        </w:tc>
        <w:tc>
          <w:tcPr>
            <w:tcW w:w="3813" w:type="dxa"/>
            <w:noWrap w:val="0"/>
            <w:vAlign w:val="center"/>
          </w:tcPr>
          <w:p w14:paraId="751F3B6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▲提供AI结果审核功能，并将随访问卷根据可信度评分划分为高可信、中可信、低可信，便于人工进行审查核对，</w:t>
            </w:r>
          </w:p>
        </w:tc>
        <w:tc>
          <w:tcPr>
            <w:tcW w:w="1088" w:type="dxa"/>
            <w:noWrap/>
            <w:vAlign w:val="center"/>
          </w:tcPr>
          <w:p w14:paraId="11A73B5F">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是，需提供</w:t>
            </w:r>
            <w:r>
              <w:rPr>
                <w:rFonts w:hint="eastAsia" w:ascii="仿宋" w:hAnsi="仿宋" w:eastAsia="仿宋" w:cs="仿宋"/>
                <w:color w:val="000000"/>
                <w:sz w:val="24"/>
                <w:szCs w:val="24"/>
                <w:lang w:val="en-US" w:eastAsia="zh-CN"/>
              </w:rPr>
              <w:t>类似产品或功能的</w:t>
            </w:r>
            <w:r>
              <w:rPr>
                <w:rFonts w:hint="eastAsia" w:ascii="仿宋" w:hAnsi="仿宋" w:eastAsia="仿宋" w:cs="仿宋"/>
                <w:color w:val="000000"/>
                <w:sz w:val="24"/>
                <w:szCs w:val="24"/>
              </w:rPr>
              <w:t>第三方检测机构出具的软件测试报告。</w:t>
            </w:r>
          </w:p>
        </w:tc>
      </w:tr>
      <w:tr w14:paraId="7ADA1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90" w:type="dxa"/>
            <w:vMerge w:val="continue"/>
            <w:noWrap w:val="0"/>
            <w:vAlign w:val="center"/>
          </w:tcPr>
          <w:p w14:paraId="61C78AE3">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71DEE2ED">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4BBE72D5">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7D6C0C5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11.1.3</w:t>
            </w:r>
          </w:p>
        </w:tc>
        <w:tc>
          <w:tcPr>
            <w:tcW w:w="862" w:type="dxa"/>
            <w:noWrap/>
            <w:vAlign w:val="center"/>
          </w:tcPr>
          <w:p w14:paraId="42E9930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快捷互动</w:t>
            </w:r>
          </w:p>
        </w:tc>
        <w:tc>
          <w:tcPr>
            <w:tcW w:w="3813" w:type="dxa"/>
            <w:noWrap w:val="0"/>
            <w:vAlign w:val="center"/>
          </w:tcPr>
          <w:p w14:paraId="0C897EA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针对已选中患者，提供一站式快捷操作能力，支持一键手动拨号、短信精准推送、健康宣教推送、随访问卷表单下发、满意度调查问卷推送等功能。</w:t>
            </w:r>
          </w:p>
        </w:tc>
        <w:tc>
          <w:tcPr>
            <w:tcW w:w="1088" w:type="dxa"/>
            <w:noWrap/>
            <w:vAlign w:val="center"/>
          </w:tcPr>
          <w:p w14:paraId="5CDBB766">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D12A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790" w:type="dxa"/>
            <w:vMerge w:val="continue"/>
            <w:noWrap w:val="0"/>
            <w:vAlign w:val="center"/>
          </w:tcPr>
          <w:p w14:paraId="70AF7278">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restart"/>
            <w:noWrap w:val="0"/>
            <w:vAlign w:val="center"/>
          </w:tcPr>
          <w:p w14:paraId="62D4C1F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11.2</w:t>
            </w:r>
          </w:p>
        </w:tc>
        <w:tc>
          <w:tcPr>
            <w:tcW w:w="825" w:type="dxa"/>
            <w:vMerge w:val="restart"/>
            <w:noWrap w:val="0"/>
            <w:vAlign w:val="center"/>
          </w:tcPr>
          <w:p w14:paraId="4887138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语音能力管理</w:t>
            </w:r>
          </w:p>
        </w:tc>
        <w:tc>
          <w:tcPr>
            <w:tcW w:w="987" w:type="dxa"/>
            <w:noWrap w:val="0"/>
            <w:vAlign w:val="center"/>
          </w:tcPr>
          <w:p w14:paraId="6EA7DA3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11.2.1</w:t>
            </w:r>
          </w:p>
        </w:tc>
        <w:tc>
          <w:tcPr>
            <w:tcW w:w="862" w:type="dxa"/>
            <w:noWrap/>
            <w:vAlign w:val="center"/>
          </w:tcPr>
          <w:p w14:paraId="2D9EFA7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语音识别系统</w:t>
            </w:r>
          </w:p>
        </w:tc>
        <w:tc>
          <w:tcPr>
            <w:tcW w:w="3813" w:type="dxa"/>
            <w:noWrap w:val="0"/>
            <w:vAlign w:val="center"/>
          </w:tcPr>
          <w:p w14:paraId="3D53E69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▲支持将随访过程中患者的语音内容精准转化为标准化文字信息。</w:t>
            </w:r>
            <w:r>
              <w:rPr>
                <w:rFonts w:hint="eastAsia" w:ascii="仿宋" w:hAnsi="仿宋" w:eastAsia="仿宋" w:cs="仿宋"/>
                <w:color w:val="000000"/>
                <w:sz w:val="24"/>
                <w:szCs w:val="24"/>
                <w:lang w:val="en-US" w:eastAsia="zh-CN"/>
              </w:rPr>
              <w:t>需支持</w:t>
            </w:r>
            <w:r>
              <w:rPr>
                <w:rFonts w:hint="eastAsia" w:ascii="仿宋" w:hAnsi="仿宋" w:eastAsia="仿宋" w:cs="仿宋"/>
                <w:color w:val="000000"/>
                <w:sz w:val="24"/>
                <w:szCs w:val="24"/>
              </w:rPr>
              <w:t>定向降噪、远场识别</w:t>
            </w:r>
            <w:r>
              <w:rPr>
                <w:rFonts w:hint="eastAsia" w:ascii="仿宋" w:hAnsi="仿宋" w:eastAsia="仿宋" w:cs="仿宋"/>
                <w:color w:val="000000"/>
                <w:sz w:val="24"/>
                <w:szCs w:val="24"/>
                <w:lang w:val="en-US" w:eastAsia="zh-CN"/>
              </w:rPr>
              <w:t>等</w:t>
            </w:r>
            <w:r>
              <w:rPr>
                <w:rFonts w:hint="eastAsia" w:ascii="仿宋" w:hAnsi="仿宋" w:eastAsia="仿宋" w:cs="仿宋"/>
                <w:color w:val="000000"/>
                <w:sz w:val="24"/>
                <w:szCs w:val="24"/>
              </w:rPr>
              <w:t>核心技术，可有效优化嘈杂噪声环境、8K 低采样率场景下的识别效果</w:t>
            </w:r>
          </w:p>
        </w:tc>
        <w:tc>
          <w:tcPr>
            <w:tcW w:w="1088" w:type="dxa"/>
            <w:noWrap/>
            <w:vAlign w:val="center"/>
          </w:tcPr>
          <w:p w14:paraId="1205D440">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是，需提供</w:t>
            </w:r>
            <w:r>
              <w:rPr>
                <w:rFonts w:hint="eastAsia" w:ascii="仿宋" w:hAnsi="仿宋" w:eastAsia="仿宋" w:cs="仿宋"/>
                <w:color w:val="000000"/>
                <w:sz w:val="24"/>
                <w:szCs w:val="24"/>
                <w:lang w:val="en-US" w:eastAsia="zh-CN"/>
              </w:rPr>
              <w:t>类似产品或功能的</w:t>
            </w:r>
            <w:r>
              <w:rPr>
                <w:rFonts w:hint="eastAsia" w:ascii="仿宋" w:hAnsi="仿宋" w:eastAsia="仿宋" w:cs="仿宋"/>
                <w:color w:val="000000"/>
                <w:sz w:val="24"/>
                <w:szCs w:val="24"/>
              </w:rPr>
              <w:t>第三方检测机构出具的软件测试报告。</w:t>
            </w:r>
          </w:p>
        </w:tc>
      </w:tr>
      <w:tr w14:paraId="7657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3BD6AAEC">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580315AD">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65DBA15A">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71E61AE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11.2.2</w:t>
            </w:r>
          </w:p>
        </w:tc>
        <w:tc>
          <w:tcPr>
            <w:tcW w:w="862" w:type="dxa"/>
            <w:noWrap/>
            <w:vAlign w:val="center"/>
          </w:tcPr>
          <w:p w14:paraId="596AD1E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语音合成系统</w:t>
            </w:r>
          </w:p>
        </w:tc>
        <w:tc>
          <w:tcPr>
            <w:tcW w:w="3813" w:type="dxa"/>
            <w:noWrap w:val="0"/>
            <w:vAlign w:val="center"/>
          </w:tcPr>
          <w:p w14:paraId="53DE0B9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需</w:t>
            </w:r>
            <w:r>
              <w:rPr>
                <w:rFonts w:hint="eastAsia" w:ascii="仿宋" w:hAnsi="仿宋" w:eastAsia="仿宋" w:cs="仿宋"/>
                <w:color w:val="000000"/>
                <w:sz w:val="24"/>
                <w:szCs w:val="24"/>
              </w:rPr>
              <w:t>支持合成语音流畅自然、高度贴近真人发声</w:t>
            </w:r>
          </w:p>
        </w:tc>
        <w:tc>
          <w:tcPr>
            <w:tcW w:w="1088" w:type="dxa"/>
            <w:noWrap/>
            <w:vAlign w:val="center"/>
          </w:tcPr>
          <w:p w14:paraId="1F9F2D69">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EE4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90" w:type="dxa"/>
            <w:vMerge w:val="continue"/>
            <w:noWrap w:val="0"/>
            <w:vAlign w:val="center"/>
          </w:tcPr>
          <w:p w14:paraId="07582C53">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noWrap w:val="0"/>
            <w:vAlign w:val="center"/>
          </w:tcPr>
          <w:p w14:paraId="50DFF83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11.3</w:t>
            </w:r>
          </w:p>
        </w:tc>
        <w:tc>
          <w:tcPr>
            <w:tcW w:w="825" w:type="dxa"/>
            <w:noWrap w:val="0"/>
            <w:vAlign w:val="center"/>
          </w:tcPr>
          <w:p w14:paraId="0C53DF4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自然语言处理管理</w:t>
            </w:r>
          </w:p>
        </w:tc>
        <w:tc>
          <w:tcPr>
            <w:tcW w:w="987" w:type="dxa"/>
            <w:noWrap w:val="0"/>
            <w:vAlign w:val="center"/>
          </w:tcPr>
          <w:p w14:paraId="3F5986C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11.3.1</w:t>
            </w:r>
          </w:p>
        </w:tc>
        <w:tc>
          <w:tcPr>
            <w:tcW w:w="862" w:type="dxa"/>
            <w:noWrap w:val="0"/>
            <w:vAlign w:val="center"/>
          </w:tcPr>
          <w:p w14:paraId="6BC9F8A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自然语言处理管理</w:t>
            </w:r>
          </w:p>
        </w:tc>
        <w:tc>
          <w:tcPr>
            <w:tcW w:w="3813" w:type="dxa"/>
            <w:noWrap w:val="0"/>
            <w:vAlign w:val="center"/>
          </w:tcPr>
          <w:p w14:paraId="61AE9A6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智能分析、理解AI电话随访过程中患者的口语化表达，自动完成随访问卷每题填写、答案可信度评分，支持对患者语音回复内容进行关键信息抽取、解析与标准化处理。</w:t>
            </w:r>
          </w:p>
        </w:tc>
        <w:tc>
          <w:tcPr>
            <w:tcW w:w="1088" w:type="dxa"/>
            <w:noWrap/>
            <w:vAlign w:val="center"/>
          </w:tcPr>
          <w:p w14:paraId="16EEAC2D">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C590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90" w:type="dxa"/>
            <w:vMerge w:val="continue"/>
            <w:noWrap w:val="0"/>
            <w:vAlign w:val="center"/>
          </w:tcPr>
          <w:p w14:paraId="46EF3B6A">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restart"/>
            <w:noWrap w:val="0"/>
            <w:vAlign w:val="center"/>
          </w:tcPr>
          <w:p w14:paraId="048E6D6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11.4</w:t>
            </w:r>
          </w:p>
        </w:tc>
        <w:tc>
          <w:tcPr>
            <w:tcW w:w="825" w:type="dxa"/>
            <w:vMerge w:val="restart"/>
            <w:noWrap w:val="0"/>
            <w:vAlign w:val="center"/>
          </w:tcPr>
          <w:p w14:paraId="7C0B5DE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智能外呼管理</w:t>
            </w:r>
          </w:p>
        </w:tc>
        <w:tc>
          <w:tcPr>
            <w:tcW w:w="987" w:type="dxa"/>
            <w:noWrap w:val="0"/>
            <w:vAlign w:val="center"/>
          </w:tcPr>
          <w:p w14:paraId="3F53042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11.4.1</w:t>
            </w:r>
          </w:p>
        </w:tc>
        <w:tc>
          <w:tcPr>
            <w:tcW w:w="862" w:type="dxa"/>
            <w:noWrap/>
            <w:vAlign w:val="center"/>
          </w:tcPr>
          <w:p w14:paraId="4107479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随访结果回写自动化</w:t>
            </w:r>
          </w:p>
        </w:tc>
        <w:tc>
          <w:tcPr>
            <w:tcW w:w="3813" w:type="dxa"/>
            <w:noWrap w:val="0"/>
            <w:vAlign w:val="center"/>
          </w:tcPr>
          <w:p w14:paraId="71C8A83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支持每日待随访任务批量下发至AI语音电话机器人随访自动化引擎，完成随访后，可将各类随访结果实时回写至随访业务系统，实现数据同步、流程闭环，无需人工手动录入。</w:t>
            </w:r>
          </w:p>
        </w:tc>
        <w:tc>
          <w:tcPr>
            <w:tcW w:w="1088" w:type="dxa"/>
            <w:noWrap/>
            <w:vAlign w:val="center"/>
          </w:tcPr>
          <w:p w14:paraId="5B494E59">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6AE2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90" w:type="dxa"/>
            <w:vMerge w:val="continue"/>
            <w:noWrap w:val="0"/>
            <w:vAlign w:val="center"/>
          </w:tcPr>
          <w:p w14:paraId="17E94671">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71A2F275">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331C8A73">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4E1DEAD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11.4.2</w:t>
            </w:r>
          </w:p>
        </w:tc>
        <w:tc>
          <w:tcPr>
            <w:tcW w:w="862" w:type="dxa"/>
            <w:noWrap/>
            <w:vAlign w:val="center"/>
          </w:tcPr>
          <w:p w14:paraId="4F55FFC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AI 随访自动化</w:t>
            </w:r>
          </w:p>
        </w:tc>
        <w:tc>
          <w:tcPr>
            <w:tcW w:w="3813" w:type="dxa"/>
            <w:noWrap w:val="0"/>
            <w:vAlign w:val="center"/>
          </w:tcPr>
          <w:p w14:paraId="6D02DAC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接收AI随访任务，统一调试任务队列。AI机器人自动给患者打电话进行问题交互，并完成整个随访过程，并提供AI随访实时结果相关API供调用。</w:t>
            </w:r>
          </w:p>
        </w:tc>
        <w:tc>
          <w:tcPr>
            <w:tcW w:w="1088" w:type="dxa"/>
            <w:noWrap/>
            <w:vAlign w:val="center"/>
          </w:tcPr>
          <w:p w14:paraId="38D1848C">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DBB9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90" w:type="dxa"/>
            <w:vMerge w:val="continue"/>
            <w:noWrap w:val="0"/>
            <w:vAlign w:val="center"/>
          </w:tcPr>
          <w:p w14:paraId="41E0D283">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05D33F56">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60CB6616">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11777B0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11.4.3</w:t>
            </w:r>
          </w:p>
        </w:tc>
        <w:tc>
          <w:tcPr>
            <w:tcW w:w="862" w:type="dxa"/>
            <w:noWrap/>
            <w:vAlign w:val="center"/>
          </w:tcPr>
          <w:p w14:paraId="0A9B3D6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语音网关服务</w:t>
            </w:r>
          </w:p>
        </w:tc>
        <w:tc>
          <w:tcPr>
            <w:tcW w:w="3813" w:type="dxa"/>
            <w:noWrap w:val="0"/>
            <w:vAlign w:val="center"/>
          </w:tcPr>
          <w:p w14:paraId="5F86B66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支持AI随访任务自动化下发，完成与医院各电话线路的精准对接，支持多线路并发通讯调用，保障大规模随访任务稳定执行。</w:t>
            </w:r>
          </w:p>
        </w:tc>
        <w:tc>
          <w:tcPr>
            <w:tcW w:w="1088" w:type="dxa"/>
            <w:noWrap/>
            <w:vAlign w:val="center"/>
          </w:tcPr>
          <w:p w14:paraId="2C975D0D">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A944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5CD7F297">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16AADA30">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086604C3">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7130D5A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11.4.4</w:t>
            </w:r>
          </w:p>
        </w:tc>
        <w:tc>
          <w:tcPr>
            <w:tcW w:w="862" w:type="dxa"/>
            <w:noWrap/>
            <w:vAlign w:val="center"/>
          </w:tcPr>
          <w:p w14:paraId="6B367FD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AI 机器人随访</w:t>
            </w:r>
          </w:p>
        </w:tc>
        <w:tc>
          <w:tcPr>
            <w:tcW w:w="3813" w:type="dxa"/>
            <w:noWrap w:val="0"/>
            <w:vAlign w:val="center"/>
          </w:tcPr>
          <w:p w14:paraId="64D9318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支持AI电话机器人全自动拨打随访电话，独立完成全程语音交互、问卷问答、结果汇总，自动生成随访报告。</w:t>
            </w:r>
          </w:p>
        </w:tc>
        <w:tc>
          <w:tcPr>
            <w:tcW w:w="1088" w:type="dxa"/>
            <w:noWrap/>
            <w:vAlign w:val="center"/>
          </w:tcPr>
          <w:p w14:paraId="1894AB89">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91F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90" w:type="dxa"/>
            <w:vMerge w:val="continue"/>
            <w:noWrap w:val="0"/>
            <w:vAlign w:val="center"/>
          </w:tcPr>
          <w:p w14:paraId="414FAB5D">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5AE6162C">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6CFB26F6">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14F5288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11.4.5</w:t>
            </w:r>
          </w:p>
        </w:tc>
        <w:tc>
          <w:tcPr>
            <w:tcW w:w="862" w:type="dxa"/>
            <w:noWrap/>
            <w:vAlign w:val="center"/>
          </w:tcPr>
          <w:p w14:paraId="00D0E63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AI机器人调查</w:t>
            </w:r>
          </w:p>
        </w:tc>
        <w:tc>
          <w:tcPr>
            <w:tcW w:w="3813" w:type="dxa"/>
            <w:noWrap w:val="0"/>
            <w:vAlign w:val="center"/>
          </w:tcPr>
          <w:p w14:paraId="7A327CF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AI电话机器人全自动完成满意度调查通话、问答与结果汇总，无需人工干预，批量高效完成调查任务并自动生成调查报告。</w:t>
            </w:r>
          </w:p>
        </w:tc>
        <w:tc>
          <w:tcPr>
            <w:tcW w:w="1088" w:type="dxa"/>
            <w:noWrap/>
            <w:vAlign w:val="center"/>
          </w:tcPr>
          <w:p w14:paraId="3C76D556">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313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19DD02D0">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14AA6586">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04FC0547">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74CDE88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11.4.6</w:t>
            </w:r>
          </w:p>
        </w:tc>
        <w:tc>
          <w:tcPr>
            <w:tcW w:w="862" w:type="dxa"/>
            <w:noWrap/>
            <w:vAlign w:val="center"/>
          </w:tcPr>
          <w:p w14:paraId="2571534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AI机器人电话提醒</w:t>
            </w:r>
          </w:p>
        </w:tc>
        <w:tc>
          <w:tcPr>
            <w:tcW w:w="3813" w:type="dxa"/>
            <w:noWrap w:val="0"/>
            <w:vAlign w:val="center"/>
          </w:tcPr>
          <w:p w14:paraId="33AC567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支持通过AI机器人电话方式向患者推送复诊提醒。</w:t>
            </w:r>
          </w:p>
        </w:tc>
        <w:tc>
          <w:tcPr>
            <w:tcW w:w="1088" w:type="dxa"/>
            <w:noWrap/>
            <w:vAlign w:val="center"/>
          </w:tcPr>
          <w:p w14:paraId="7532FA2A">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A92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104F3F32">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7D56624B">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7B177987">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6E5825C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11.4.7</w:t>
            </w:r>
          </w:p>
        </w:tc>
        <w:tc>
          <w:tcPr>
            <w:tcW w:w="862" w:type="dxa"/>
            <w:noWrap/>
            <w:vAlign w:val="center"/>
          </w:tcPr>
          <w:p w14:paraId="6EE3F0D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AI机器人电话宣教</w:t>
            </w:r>
          </w:p>
        </w:tc>
        <w:tc>
          <w:tcPr>
            <w:tcW w:w="3813" w:type="dxa"/>
            <w:noWrap w:val="0"/>
            <w:vAlign w:val="center"/>
          </w:tcPr>
          <w:p w14:paraId="77C1BC3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支持AI语音电话自动为患者推送健康宣教知识，实现语音直达宣教。</w:t>
            </w:r>
          </w:p>
        </w:tc>
        <w:tc>
          <w:tcPr>
            <w:tcW w:w="1088" w:type="dxa"/>
            <w:noWrap/>
            <w:vAlign w:val="center"/>
          </w:tcPr>
          <w:p w14:paraId="1ACFF44C">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F39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5E208953">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restart"/>
            <w:noWrap w:val="0"/>
            <w:vAlign w:val="center"/>
          </w:tcPr>
          <w:p w14:paraId="1857E94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11.5</w:t>
            </w:r>
          </w:p>
        </w:tc>
        <w:tc>
          <w:tcPr>
            <w:tcW w:w="825" w:type="dxa"/>
            <w:vMerge w:val="restart"/>
            <w:noWrap w:val="0"/>
            <w:vAlign w:val="center"/>
          </w:tcPr>
          <w:p w14:paraId="7B2C1AF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人工智能随访业务服务</w:t>
            </w:r>
          </w:p>
        </w:tc>
        <w:tc>
          <w:tcPr>
            <w:tcW w:w="987" w:type="dxa"/>
            <w:noWrap w:val="0"/>
            <w:vAlign w:val="center"/>
          </w:tcPr>
          <w:p w14:paraId="145295D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11.5.1</w:t>
            </w:r>
          </w:p>
        </w:tc>
        <w:tc>
          <w:tcPr>
            <w:tcW w:w="862" w:type="dxa"/>
            <w:noWrap/>
            <w:vAlign w:val="center"/>
          </w:tcPr>
          <w:p w14:paraId="7C3F142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工作站模块</w:t>
            </w:r>
          </w:p>
        </w:tc>
        <w:tc>
          <w:tcPr>
            <w:tcW w:w="3813" w:type="dxa"/>
            <w:noWrap w:val="0"/>
            <w:vAlign w:val="center"/>
          </w:tcPr>
          <w:p w14:paraId="48CC2F9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支持我的随访、随访任务历史查询功能，自动生成随访任务、展示执行进度，支持历史任务多条件查询复盘。</w:t>
            </w:r>
          </w:p>
        </w:tc>
        <w:tc>
          <w:tcPr>
            <w:tcW w:w="1088" w:type="dxa"/>
            <w:noWrap/>
            <w:vAlign w:val="center"/>
          </w:tcPr>
          <w:p w14:paraId="3C25C0E7">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3AE3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3AEF0023">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30959C57">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2B252F89">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4226844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11.5.2</w:t>
            </w:r>
          </w:p>
        </w:tc>
        <w:tc>
          <w:tcPr>
            <w:tcW w:w="862" w:type="dxa"/>
            <w:noWrap/>
            <w:vAlign w:val="center"/>
          </w:tcPr>
          <w:p w14:paraId="3BD4DAF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人工智能出院随访模块</w:t>
            </w:r>
          </w:p>
        </w:tc>
        <w:tc>
          <w:tcPr>
            <w:tcW w:w="3813" w:type="dxa"/>
            <w:noWrap w:val="0"/>
            <w:vAlign w:val="center"/>
          </w:tcPr>
          <w:p w14:paraId="73E995A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支持随访计划制定、规则设定、多渠道随访、任务推送、结果处理等全流程出院随访业务。</w:t>
            </w:r>
          </w:p>
        </w:tc>
        <w:tc>
          <w:tcPr>
            <w:tcW w:w="1088" w:type="dxa"/>
            <w:noWrap/>
            <w:vAlign w:val="center"/>
          </w:tcPr>
          <w:p w14:paraId="46D72B1F">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8D0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2BE05538">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591EC02D">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016F6D66">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32B77C5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11.5.3</w:t>
            </w:r>
          </w:p>
        </w:tc>
        <w:tc>
          <w:tcPr>
            <w:tcW w:w="862" w:type="dxa"/>
            <w:noWrap/>
            <w:vAlign w:val="center"/>
          </w:tcPr>
          <w:p w14:paraId="0F0D4B0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人工智能患者服务中心模块</w:t>
            </w:r>
          </w:p>
        </w:tc>
        <w:tc>
          <w:tcPr>
            <w:tcW w:w="3813" w:type="dxa"/>
            <w:noWrap w:val="0"/>
            <w:vAlign w:val="center"/>
          </w:tcPr>
          <w:p w14:paraId="5B458D6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支持满意度调查等多类患者服务，支持多渠道调查与结果闭环管理。</w:t>
            </w:r>
          </w:p>
        </w:tc>
        <w:tc>
          <w:tcPr>
            <w:tcW w:w="1088" w:type="dxa"/>
            <w:noWrap/>
            <w:vAlign w:val="center"/>
          </w:tcPr>
          <w:p w14:paraId="54C6B16D">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3B2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13319AC0">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049F404C">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58991FA4">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0EEBC89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11.5.4</w:t>
            </w:r>
          </w:p>
        </w:tc>
        <w:tc>
          <w:tcPr>
            <w:tcW w:w="862" w:type="dxa"/>
            <w:noWrap/>
            <w:vAlign w:val="center"/>
          </w:tcPr>
          <w:p w14:paraId="346B06A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人工智能复诊中心</w:t>
            </w:r>
          </w:p>
        </w:tc>
        <w:tc>
          <w:tcPr>
            <w:tcW w:w="3813" w:type="dxa"/>
            <w:noWrap w:val="0"/>
            <w:vAlign w:val="center"/>
          </w:tcPr>
          <w:p w14:paraId="03C93EF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支持复诊计划制定、患者自动筛选、复诊消息管理与多渠道提醒。</w:t>
            </w:r>
          </w:p>
        </w:tc>
        <w:tc>
          <w:tcPr>
            <w:tcW w:w="1088" w:type="dxa"/>
            <w:noWrap/>
            <w:vAlign w:val="center"/>
          </w:tcPr>
          <w:p w14:paraId="5331FF5B">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931E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6F3AA705">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76AE5193">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3F26F097">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3F318F7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11.5.5</w:t>
            </w:r>
          </w:p>
        </w:tc>
        <w:tc>
          <w:tcPr>
            <w:tcW w:w="862" w:type="dxa"/>
            <w:noWrap/>
            <w:vAlign w:val="center"/>
          </w:tcPr>
          <w:p w14:paraId="3615C89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人工智能健康宣教模块</w:t>
            </w:r>
          </w:p>
        </w:tc>
        <w:tc>
          <w:tcPr>
            <w:tcW w:w="3813" w:type="dxa"/>
            <w:noWrap w:val="0"/>
            <w:vAlign w:val="center"/>
          </w:tcPr>
          <w:p w14:paraId="3C126D5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支持宣教配置、患者筛选、多渠道推送、结果跟踪与效果评价，覆盖在院与出院宣教。</w:t>
            </w:r>
          </w:p>
        </w:tc>
        <w:tc>
          <w:tcPr>
            <w:tcW w:w="1088" w:type="dxa"/>
            <w:noWrap/>
            <w:vAlign w:val="center"/>
          </w:tcPr>
          <w:p w14:paraId="72746A3F">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2D7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90" w:type="dxa"/>
            <w:vMerge w:val="continue"/>
            <w:noWrap w:val="0"/>
            <w:vAlign w:val="center"/>
          </w:tcPr>
          <w:p w14:paraId="3BABE4B2">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0EB6496D">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055B1EEB">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4C7B50E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11.5.6</w:t>
            </w:r>
          </w:p>
        </w:tc>
        <w:tc>
          <w:tcPr>
            <w:tcW w:w="862" w:type="dxa"/>
            <w:noWrap/>
            <w:vAlign w:val="center"/>
          </w:tcPr>
          <w:p w14:paraId="14F0E41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大屏实时监控模块</w:t>
            </w:r>
          </w:p>
        </w:tc>
        <w:tc>
          <w:tcPr>
            <w:tcW w:w="3813" w:type="dxa"/>
            <w:noWrap w:val="0"/>
            <w:vAlign w:val="center"/>
          </w:tcPr>
          <w:p w14:paraId="64F8F23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▲支持可视化大屏实时监控全院随访业务数据，动态展示业务运行状态与核心统计指标</w:t>
            </w:r>
          </w:p>
        </w:tc>
        <w:tc>
          <w:tcPr>
            <w:tcW w:w="1088" w:type="dxa"/>
            <w:noWrap/>
            <w:vAlign w:val="center"/>
          </w:tcPr>
          <w:p w14:paraId="4F3D2C11">
            <w:pPr>
              <w:pageBreakBefore w:val="0"/>
              <w:wordWrap/>
              <w:overflowPunct/>
              <w:topLinePunct w:val="0"/>
              <w:bidi w:val="0"/>
              <w:spacing w:line="360" w:lineRule="auto"/>
              <w:jc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rPr>
              <w:t>是，需提供</w:t>
            </w:r>
            <w:r>
              <w:rPr>
                <w:rFonts w:hint="eastAsia" w:ascii="仿宋" w:hAnsi="仿宋" w:eastAsia="仿宋" w:cs="仿宋"/>
                <w:color w:val="000000"/>
                <w:sz w:val="24"/>
                <w:szCs w:val="24"/>
                <w:lang w:val="en-US" w:eastAsia="zh-CN"/>
              </w:rPr>
              <w:t>类似产品的功能截图</w:t>
            </w:r>
          </w:p>
        </w:tc>
      </w:tr>
      <w:tr w14:paraId="01AB5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90" w:type="dxa"/>
            <w:vMerge w:val="continue"/>
            <w:noWrap w:val="0"/>
            <w:vAlign w:val="center"/>
          </w:tcPr>
          <w:p w14:paraId="33669315">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restart"/>
            <w:noWrap w:val="0"/>
            <w:vAlign w:val="center"/>
          </w:tcPr>
          <w:p w14:paraId="573894E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11.6</w:t>
            </w:r>
          </w:p>
        </w:tc>
        <w:tc>
          <w:tcPr>
            <w:tcW w:w="825" w:type="dxa"/>
            <w:vMerge w:val="restart"/>
            <w:noWrap w:val="0"/>
            <w:vAlign w:val="center"/>
          </w:tcPr>
          <w:p w14:paraId="60B0C0A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患者健康档案</w:t>
            </w:r>
          </w:p>
        </w:tc>
        <w:tc>
          <w:tcPr>
            <w:tcW w:w="987" w:type="dxa"/>
            <w:noWrap w:val="0"/>
            <w:vAlign w:val="center"/>
          </w:tcPr>
          <w:p w14:paraId="5CE7A0A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11.6.1</w:t>
            </w:r>
          </w:p>
        </w:tc>
        <w:tc>
          <w:tcPr>
            <w:tcW w:w="862" w:type="dxa"/>
            <w:noWrap/>
            <w:vAlign w:val="center"/>
          </w:tcPr>
          <w:p w14:paraId="4D1571E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患者信息管理</w:t>
            </w:r>
          </w:p>
        </w:tc>
        <w:tc>
          <w:tcPr>
            <w:tcW w:w="3813" w:type="dxa"/>
            <w:noWrap w:val="0"/>
            <w:vAlign w:val="center"/>
          </w:tcPr>
          <w:p w14:paraId="01738E7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支持对接医院 HIS 系统、电子病历系统，自动同步患者全量就诊数据并智能分类，支持人工标注患者标签，精准标记重点关注人群。</w:t>
            </w:r>
          </w:p>
        </w:tc>
        <w:tc>
          <w:tcPr>
            <w:tcW w:w="1088" w:type="dxa"/>
            <w:noWrap/>
            <w:vAlign w:val="center"/>
          </w:tcPr>
          <w:p w14:paraId="774DBEE9">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95D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90" w:type="dxa"/>
            <w:vMerge w:val="continue"/>
            <w:noWrap w:val="0"/>
            <w:vAlign w:val="center"/>
          </w:tcPr>
          <w:p w14:paraId="14EE9AF6">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3F0F1616">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4F6AEC9F">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0E7C8B3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11.6.2</w:t>
            </w:r>
          </w:p>
        </w:tc>
        <w:tc>
          <w:tcPr>
            <w:tcW w:w="862" w:type="dxa"/>
            <w:noWrap/>
            <w:vAlign w:val="center"/>
          </w:tcPr>
          <w:p w14:paraId="370A3C5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院内系统对接</w:t>
            </w:r>
          </w:p>
        </w:tc>
        <w:tc>
          <w:tcPr>
            <w:tcW w:w="3813" w:type="dxa"/>
            <w:noWrap w:val="0"/>
            <w:vAlign w:val="center"/>
          </w:tcPr>
          <w:p w14:paraId="7730CF3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支持与医院HIS、LIS、电子病历等核心业务系统无缝对接，自动同步患者基础信息、就诊记录、检查检验数据、住院信息等内容，实现院内数据互联互通。</w:t>
            </w:r>
          </w:p>
        </w:tc>
        <w:tc>
          <w:tcPr>
            <w:tcW w:w="1088" w:type="dxa"/>
            <w:noWrap/>
            <w:vAlign w:val="center"/>
          </w:tcPr>
          <w:p w14:paraId="34F26F00">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2731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90" w:type="dxa"/>
            <w:vMerge w:val="continue"/>
            <w:noWrap w:val="0"/>
            <w:vAlign w:val="center"/>
          </w:tcPr>
          <w:p w14:paraId="2C942AAF">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restart"/>
            <w:noWrap w:val="0"/>
            <w:vAlign w:val="center"/>
          </w:tcPr>
          <w:p w14:paraId="7D978F0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11.7</w:t>
            </w:r>
          </w:p>
        </w:tc>
        <w:tc>
          <w:tcPr>
            <w:tcW w:w="825" w:type="dxa"/>
            <w:vMerge w:val="restart"/>
            <w:noWrap w:val="0"/>
            <w:vAlign w:val="center"/>
          </w:tcPr>
          <w:p w14:paraId="11796DE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知识库</w:t>
            </w:r>
          </w:p>
        </w:tc>
        <w:tc>
          <w:tcPr>
            <w:tcW w:w="987" w:type="dxa"/>
            <w:noWrap w:val="0"/>
            <w:vAlign w:val="center"/>
          </w:tcPr>
          <w:p w14:paraId="03BD6F8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11.7.1</w:t>
            </w:r>
          </w:p>
        </w:tc>
        <w:tc>
          <w:tcPr>
            <w:tcW w:w="862" w:type="dxa"/>
            <w:noWrap/>
            <w:vAlign w:val="center"/>
          </w:tcPr>
          <w:p w14:paraId="79E37A4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模板库管理</w:t>
            </w:r>
          </w:p>
        </w:tc>
        <w:tc>
          <w:tcPr>
            <w:tcW w:w="3813" w:type="dxa"/>
            <w:noWrap w:val="0"/>
            <w:vAlign w:val="center"/>
          </w:tcPr>
          <w:p w14:paraId="500C76D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支持标准化问卷统一管理能力，集中分类归档随访问卷、满意度调查问卷等，支持创建、编辑、个性化定制与全周期维护。</w:t>
            </w:r>
          </w:p>
        </w:tc>
        <w:tc>
          <w:tcPr>
            <w:tcW w:w="1088" w:type="dxa"/>
            <w:noWrap/>
            <w:vAlign w:val="center"/>
          </w:tcPr>
          <w:p w14:paraId="678B49CC">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564E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0D59AA56">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3060D815">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6CB2AABF">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4253248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11.7.2</w:t>
            </w:r>
          </w:p>
        </w:tc>
        <w:tc>
          <w:tcPr>
            <w:tcW w:w="862" w:type="dxa"/>
            <w:noWrap/>
            <w:vAlign w:val="center"/>
          </w:tcPr>
          <w:p w14:paraId="7B5D284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题库管理</w:t>
            </w:r>
          </w:p>
        </w:tc>
        <w:tc>
          <w:tcPr>
            <w:tcW w:w="3813" w:type="dxa"/>
            <w:noWrap w:val="0"/>
            <w:vAlign w:val="center"/>
          </w:tcPr>
          <w:p w14:paraId="56314F9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支持集中分类管理问卷标准化问题，统一沉淀题库资源，支持新增、编辑题目及参数配置，支持问卷快速调用复用</w:t>
            </w:r>
          </w:p>
        </w:tc>
        <w:tc>
          <w:tcPr>
            <w:tcW w:w="1088" w:type="dxa"/>
            <w:noWrap/>
            <w:vAlign w:val="center"/>
          </w:tcPr>
          <w:p w14:paraId="5A8A5C98">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EA2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6331A697">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14C8D063">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20EFA787">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2323F48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11.7.3</w:t>
            </w:r>
          </w:p>
        </w:tc>
        <w:tc>
          <w:tcPr>
            <w:tcW w:w="862" w:type="dxa"/>
            <w:noWrap/>
            <w:vAlign w:val="center"/>
          </w:tcPr>
          <w:p w14:paraId="3A79535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宣教库管理</w:t>
            </w:r>
          </w:p>
        </w:tc>
        <w:tc>
          <w:tcPr>
            <w:tcW w:w="3813" w:type="dxa"/>
            <w:noWrap w:val="0"/>
            <w:vAlign w:val="center"/>
          </w:tcPr>
          <w:p w14:paraId="75EAC6F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支持宣教内容编辑与排版。</w:t>
            </w:r>
          </w:p>
        </w:tc>
        <w:tc>
          <w:tcPr>
            <w:tcW w:w="1088" w:type="dxa"/>
            <w:noWrap/>
            <w:vAlign w:val="center"/>
          </w:tcPr>
          <w:p w14:paraId="12DE3E7F">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93E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723C9963">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326947FD">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1C10A1CF">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55B7471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11.7.4</w:t>
            </w:r>
          </w:p>
        </w:tc>
        <w:tc>
          <w:tcPr>
            <w:tcW w:w="862" w:type="dxa"/>
            <w:noWrap/>
            <w:vAlign w:val="center"/>
          </w:tcPr>
          <w:p w14:paraId="43B76E3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提醒/回复短语库管理</w:t>
            </w:r>
          </w:p>
        </w:tc>
        <w:tc>
          <w:tcPr>
            <w:tcW w:w="3813" w:type="dxa"/>
            <w:noWrap w:val="0"/>
            <w:vAlign w:val="center"/>
          </w:tcPr>
          <w:p w14:paraId="46E1293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支持集中分类管理，支持个性化定制与更新。</w:t>
            </w:r>
          </w:p>
        </w:tc>
        <w:tc>
          <w:tcPr>
            <w:tcW w:w="1088" w:type="dxa"/>
            <w:noWrap/>
            <w:vAlign w:val="center"/>
          </w:tcPr>
          <w:p w14:paraId="36B084D0">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51B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5E127D0E">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05ED461E">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1D138C30">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1D30519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11.7.5</w:t>
            </w:r>
          </w:p>
        </w:tc>
        <w:tc>
          <w:tcPr>
            <w:tcW w:w="862" w:type="dxa"/>
            <w:noWrap/>
            <w:vAlign w:val="center"/>
          </w:tcPr>
          <w:p w14:paraId="0F9222D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复诊模板库管理</w:t>
            </w:r>
          </w:p>
        </w:tc>
        <w:tc>
          <w:tcPr>
            <w:tcW w:w="3813" w:type="dxa"/>
            <w:noWrap w:val="0"/>
            <w:vAlign w:val="center"/>
          </w:tcPr>
          <w:p w14:paraId="00C5257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支持复诊模板的编辑与配置。</w:t>
            </w:r>
          </w:p>
        </w:tc>
        <w:tc>
          <w:tcPr>
            <w:tcW w:w="1088" w:type="dxa"/>
            <w:noWrap/>
            <w:vAlign w:val="center"/>
          </w:tcPr>
          <w:p w14:paraId="0A6D1644">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7E9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79899BB6">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restart"/>
            <w:noWrap w:val="0"/>
            <w:vAlign w:val="center"/>
          </w:tcPr>
          <w:p w14:paraId="66F6CF4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11.8</w:t>
            </w:r>
          </w:p>
        </w:tc>
        <w:tc>
          <w:tcPr>
            <w:tcW w:w="825" w:type="dxa"/>
            <w:vMerge w:val="restart"/>
            <w:noWrap w:val="0"/>
            <w:vAlign w:val="center"/>
          </w:tcPr>
          <w:p w14:paraId="7C0E443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智能计划管理</w:t>
            </w:r>
          </w:p>
        </w:tc>
        <w:tc>
          <w:tcPr>
            <w:tcW w:w="987" w:type="dxa"/>
            <w:noWrap w:val="0"/>
            <w:vAlign w:val="center"/>
          </w:tcPr>
          <w:p w14:paraId="54071A7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11.8.1</w:t>
            </w:r>
          </w:p>
        </w:tc>
        <w:tc>
          <w:tcPr>
            <w:tcW w:w="862" w:type="dxa"/>
            <w:noWrap/>
            <w:vAlign w:val="center"/>
          </w:tcPr>
          <w:p w14:paraId="40E5FDC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随访计划制定</w:t>
            </w:r>
          </w:p>
        </w:tc>
        <w:tc>
          <w:tcPr>
            <w:tcW w:w="3813" w:type="dxa"/>
            <w:noWrap w:val="0"/>
            <w:vAlign w:val="center"/>
          </w:tcPr>
          <w:p w14:paraId="4D45F14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支持多维度创建随访计划，支持定制专属随访方案。</w:t>
            </w:r>
          </w:p>
        </w:tc>
        <w:tc>
          <w:tcPr>
            <w:tcW w:w="1088" w:type="dxa"/>
            <w:noWrap/>
            <w:vAlign w:val="center"/>
          </w:tcPr>
          <w:p w14:paraId="74925409">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C47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361B3DD5">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728DF7F6">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77E29104">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0794E74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11.8.2</w:t>
            </w:r>
          </w:p>
        </w:tc>
        <w:tc>
          <w:tcPr>
            <w:tcW w:w="862" w:type="dxa"/>
            <w:noWrap/>
            <w:vAlign w:val="center"/>
          </w:tcPr>
          <w:p w14:paraId="53D6F85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随访规则设定</w:t>
            </w:r>
          </w:p>
        </w:tc>
        <w:tc>
          <w:tcPr>
            <w:tcW w:w="3813" w:type="dxa"/>
            <w:noWrap w:val="0"/>
            <w:vAlign w:val="center"/>
          </w:tcPr>
          <w:p w14:paraId="78BA4C8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支持自定义随访路径与时间节点，按病区配置差异化问卷，每日自动筛选患者纳入随访计划，实现任务全自动触发。</w:t>
            </w:r>
          </w:p>
        </w:tc>
        <w:tc>
          <w:tcPr>
            <w:tcW w:w="1088" w:type="dxa"/>
            <w:noWrap/>
            <w:vAlign w:val="center"/>
          </w:tcPr>
          <w:p w14:paraId="0AAAB53A">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7F0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73079DED">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69709996">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0E25E212">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265DAC2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11.8.3</w:t>
            </w:r>
          </w:p>
        </w:tc>
        <w:tc>
          <w:tcPr>
            <w:tcW w:w="862" w:type="dxa"/>
            <w:noWrap/>
            <w:vAlign w:val="center"/>
          </w:tcPr>
          <w:p w14:paraId="37E4649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AI模板配置</w:t>
            </w:r>
          </w:p>
        </w:tc>
        <w:tc>
          <w:tcPr>
            <w:tcW w:w="3813" w:type="dxa"/>
            <w:noWrap w:val="0"/>
            <w:vAlign w:val="center"/>
          </w:tcPr>
          <w:p w14:paraId="491FBAD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支持各病区配置专属 AI 随访模板，适配不同病种、不同康复阶段的随访需求。</w:t>
            </w:r>
          </w:p>
        </w:tc>
        <w:tc>
          <w:tcPr>
            <w:tcW w:w="1088" w:type="dxa"/>
            <w:noWrap/>
            <w:vAlign w:val="center"/>
          </w:tcPr>
          <w:p w14:paraId="5AC35B26">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1EBA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4C4975CC">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1F30525A">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72F72EF8">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54FF6B2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11.8.4</w:t>
            </w:r>
          </w:p>
        </w:tc>
        <w:tc>
          <w:tcPr>
            <w:tcW w:w="862" w:type="dxa"/>
            <w:noWrap/>
            <w:vAlign w:val="center"/>
          </w:tcPr>
          <w:p w14:paraId="3945086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服务中心规则设定</w:t>
            </w:r>
          </w:p>
        </w:tc>
        <w:tc>
          <w:tcPr>
            <w:tcW w:w="3813" w:type="dxa"/>
            <w:noWrap w:val="0"/>
            <w:vAlign w:val="center"/>
          </w:tcPr>
          <w:p w14:paraId="739FBB5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支持自定义各类模板与核心参数，以关键时间节点设定随访周期。</w:t>
            </w:r>
          </w:p>
        </w:tc>
        <w:tc>
          <w:tcPr>
            <w:tcW w:w="1088" w:type="dxa"/>
            <w:noWrap/>
            <w:vAlign w:val="center"/>
          </w:tcPr>
          <w:p w14:paraId="131B0826">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C75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50213913">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17E93931">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42BC95E5">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7CF061D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11.8.5</w:t>
            </w:r>
          </w:p>
        </w:tc>
        <w:tc>
          <w:tcPr>
            <w:tcW w:w="862" w:type="dxa"/>
            <w:noWrap/>
            <w:vAlign w:val="center"/>
          </w:tcPr>
          <w:p w14:paraId="540CFCD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复诊计划制定</w:t>
            </w:r>
          </w:p>
        </w:tc>
        <w:tc>
          <w:tcPr>
            <w:tcW w:w="3813" w:type="dxa"/>
            <w:noWrap w:val="0"/>
            <w:vAlign w:val="center"/>
          </w:tcPr>
          <w:p w14:paraId="692FA3B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支持根据患者来源、科室、复诊时间制定标准化复诊计划，自定义复诊时间节点与病区规则。</w:t>
            </w:r>
          </w:p>
        </w:tc>
        <w:tc>
          <w:tcPr>
            <w:tcW w:w="1088" w:type="dxa"/>
            <w:noWrap/>
            <w:vAlign w:val="center"/>
          </w:tcPr>
          <w:p w14:paraId="04A062D7">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420E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6E8CAFD8">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3BE03F40">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2DB0A2BA">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46B9290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11.8.6</w:t>
            </w:r>
          </w:p>
        </w:tc>
        <w:tc>
          <w:tcPr>
            <w:tcW w:w="862" w:type="dxa"/>
            <w:noWrap/>
            <w:vAlign w:val="center"/>
          </w:tcPr>
          <w:p w14:paraId="441534D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复诊患者筛选</w:t>
            </w:r>
          </w:p>
        </w:tc>
        <w:tc>
          <w:tcPr>
            <w:tcW w:w="3813" w:type="dxa"/>
            <w:noWrap w:val="0"/>
            <w:vAlign w:val="center"/>
          </w:tcPr>
          <w:p w14:paraId="49A9A0B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支持每日定时自动筛查符合复诊周期患者，批量纳入复诊计划并生成提醒任务。</w:t>
            </w:r>
          </w:p>
        </w:tc>
        <w:tc>
          <w:tcPr>
            <w:tcW w:w="1088" w:type="dxa"/>
            <w:noWrap/>
            <w:vAlign w:val="center"/>
          </w:tcPr>
          <w:p w14:paraId="39C86C3C">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248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2FA79475">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1FD9D69C">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1474BDD1">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668537A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11.8.7</w:t>
            </w:r>
          </w:p>
        </w:tc>
        <w:tc>
          <w:tcPr>
            <w:tcW w:w="862" w:type="dxa"/>
            <w:noWrap/>
            <w:vAlign w:val="center"/>
          </w:tcPr>
          <w:p w14:paraId="6581FA6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宣教业务配</w:t>
            </w:r>
          </w:p>
        </w:tc>
        <w:tc>
          <w:tcPr>
            <w:tcW w:w="3813" w:type="dxa"/>
            <w:noWrap w:val="0"/>
            <w:vAlign w:val="center"/>
          </w:tcPr>
          <w:p w14:paraId="0FABC67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支持可视化编辑宣教参数，按维度差异化配置宣教时间、内容、推送方式，自动过滤无效患者。</w:t>
            </w:r>
          </w:p>
        </w:tc>
        <w:tc>
          <w:tcPr>
            <w:tcW w:w="1088" w:type="dxa"/>
            <w:noWrap/>
            <w:vAlign w:val="center"/>
          </w:tcPr>
          <w:p w14:paraId="21611A07">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567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7F38D789">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7CDDBAAB">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11F918EF">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5E3CE33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11.8.8</w:t>
            </w:r>
          </w:p>
        </w:tc>
        <w:tc>
          <w:tcPr>
            <w:tcW w:w="862" w:type="dxa"/>
            <w:noWrap/>
            <w:vAlign w:val="center"/>
          </w:tcPr>
          <w:p w14:paraId="4C53D1C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宣教患者筛选</w:t>
            </w:r>
          </w:p>
        </w:tc>
        <w:tc>
          <w:tcPr>
            <w:tcW w:w="3813" w:type="dxa"/>
            <w:noWrap w:val="0"/>
            <w:vAlign w:val="center"/>
          </w:tcPr>
          <w:p w14:paraId="0B0D633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支持每日定时根据预设规则自动筛选目标宣教患者，批量生成宣教推送任务。</w:t>
            </w:r>
          </w:p>
        </w:tc>
        <w:tc>
          <w:tcPr>
            <w:tcW w:w="1088" w:type="dxa"/>
            <w:noWrap/>
            <w:vAlign w:val="center"/>
          </w:tcPr>
          <w:p w14:paraId="21AB1B89">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1B3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1B89019B">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restart"/>
            <w:noWrap w:val="0"/>
            <w:vAlign w:val="center"/>
          </w:tcPr>
          <w:p w14:paraId="28D6CB2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11.9</w:t>
            </w:r>
          </w:p>
        </w:tc>
        <w:tc>
          <w:tcPr>
            <w:tcW w:w="825" w:type="dxa"/>
            <w:vMerge w:val="restart"/>
            <w:noWrap w:val="0"/>
            <w:vAlign w:val="center"/>
          </w:tcPr>
          <w:p w14:paraId="2260316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可信任务执行与推送</w:t>
            </w:r>
          </w:p>
        </w:tc>
        <w:tc>
          <w:tcPr>
            <w:tcW w:w="987" w:type="dxa"/>
            <w:noWrap w:val="0"/>
            <w:vAlign w:val="center"/>
          </w:tcPr>
          <w:p w14:paraId="1A7BB69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11.9.1</w:t>
            </w:r>
          </w:p>
        </w:tc>
        <w:tc>
          <w:tcPr>
            <w:tcW w:w="862" w:type="dxa"/>
            <w:noWrap/>
            <w:vAlign w:val="center"/>
          </w:tcPr>
          <w:p w14:paraId="34DE997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随访任务推送引擎</w:t>
            </w:r>
          </w:p>
        </w:tc>
        <w:tc>
          <w:tcPr>
            <w:tcW w:w="3813" w:type="dxa"/>
            <w:noWrap w:val="0"/>
            <w:vAlign w:val="center"/>
          </w:tcPr>
          <w:p w14:paraId="7B1212C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支持实时/定时推送，支持配置多渠道优先级，优先微信随访避免信息骚扰。</w:t>
            </w:r>
          </w:p>
        </w:tc>
        <w:tc>
          <w:tcPr>
            <w:tcW w:w="1088" w:type="dxa"/>
            <w:noWrap/>
            <w:vAlign w:val="center"/>
          </w:tcPr>
          <w:p w14:paraId="0552CEE2">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FBA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31AC44F1">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29BBFF16">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216BB1EE">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333177D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11.9.2</w:t>
            </w:r>
          </w:p>
        </w:tc>
        <w:tc>
          <w:tcPr>
            <w:tcW w:w="862" w:type="dxa"/>
            <w:noWrap/>
            <w:vAlign w:val="center"/>
          </w:tcPr>
          <w:p w14:paraId="1AC1AA9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患者过滤管理</w:t>
            </w:r>
          </w:p>
        </w:tc>
        <w:tc>
          <w:tcPr>
            <w:tcW w:w="3813" w:type="dxa"/>
            <w:noWrap w:val="0"/>
            <w:vAlign w:val="center"/>
          </w:tcPr>
          <w:p w14:paraId="32D46B3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支持自动过滤死亡、联系方式无效等无效随访对象，提升随访精准度。</w:t>
            </w:r>
          </w:p>
        </w:tc>
        <w:tc>
          <w:tcPr>
            <w:tcW w:w="1088" w:type="dxa"/>
            <w:noWrap/>
            <w:vAlign w:val="center"/>
          </w:tcPr>
          <w:p w14:paraId="78B90041">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ADB7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2639B997">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12B3EB16">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0EBD244D">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6579077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11.9.3</w:t>
            </w:r>
          </w:p>
        </w:tc>
        <w:tc>
          <w:tcPr>
            <w:tcW w:w="862" w:type="dxa"/>
            <w:noWrap/>
            <w:vAlign w:val="center"/>
          </w:tcPr>
          <w:p w14:paraId="2D8A2F3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调查任务推送引擎</w:t>
            </w:r>
          </w:p>
        </w:tc>
        <w:tc>
          <w:tcPr>
            <w:tcW w:w="3813" w:type="dxa"/>
            <w:noWrap w:val="0"/>
            <w:vAlign w:val="center"/>
          </w:tcPr>
          <w:p w14:paraId="6283722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支持实时/定时推送满意度问卷，配置多渠道优先级，减少短信推送频次。</w:t>
            </w:r>
          </w:p>
        </w:tc>
        <w:tc>
          <w:tcPr>
            <w:tcW w:w="1088" w:type="dxa"/>
            <w:noWrap/>
            <w:vAlign w:val="center"/>
          </w:tcPr>
          <w:p w14:paraId="101CC4CB">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ED72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060E02D7">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43A75FED">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63204BF9">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1769DB3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11.9.4</w:t>
            </w:r>
          </w:p>
        </w:tc>
        <w:tc>
          <w:tcPr>
            <w:tcW w:w="862" w:type="dxa"/>
            <w:noWrap/>
            <w:vAlign w:val="center"/>
          </w:tcPr>
          <w:p w14:paraId="506BACF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调查过滤管理</w:t>
            </w:r>
          </w:p>
        </w:tc>
        <w:tc>
          <w:tcPr>
            <w:tcW w:w="3813" w:type="dxa"/>
            <w:noWrap w:val="0"/>
            <w:vAlign w:val="center"/>
          </w:tcPr>
          <w:p w14:paraId="3198254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支持人工维护过滤名单，自动屏蔽拒绝随访、无效联系方式等对象。</w:t>
            </w:r>
          </w:p>
        </w:tc>
        <w:tc>
          <w:tcPr>
            <w:tcW w:w="1088" w:type="dxa"/>
            <w:noWrap/>
            <w:vAlign w:val="center"/>
          </w:tcPr>
          <w:p w14:paraId="216BC888">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EA4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06688E3C">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5606B5D1">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1B22079F">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383259D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11.9.5</w:t>
            </w:r>
          </w:p>
        </w:tc>
        <w:tc>
          <w:tcPr>
            <w:tcW w:w="862" w:type="dxa"/>
            <w:noWrap/>
            <w:vAlign w:val="center"/>
          </w:tcPr>
          <w:p w14:paraId="5B754A4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复诊消息管理</w:t>
            </w:r>
          </w:p>
        </w:tc>
        <w:tc>
          <w:tcPr>
            <w:tcW w:w="3813" w:type="dxa"/>
            <w:noWrap w:val="0"/>
            <w:vAlign w:val="center"/>
          </w:tcPr>
          <w:p w14:paraId="6690C68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自动生成复诊通知，可预设提前通知时长，规避患者遗忘复诊问题。</w:t>
            </w:r>
          </w:p>
        </w:tc>
        <w:tc>
          <w:tcPr>
            <w:tcW w:w="1088" w:type="dxa"/>
            <w:noWrap/>
            <w:vAlign w:val="center"/>
          </w:tcPr>
          <w:p w14:paraId="243C29B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B3AB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7A438AD9">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3862BE68">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239BBD74">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603CE7F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11.9.6</w:t>
            </w:r>
          </w:p>
        </w:tc>
        <w:tc>
          <w:tcPr>
            <w:tcW w:w="862" w:type="dxa"/>
            <w:noWrap/>
            <w:vAlign w:val="center"/>
          </w:tcPr>
          <w:p w14:paraId="3A0C848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复诊提醒方式</w:t>
            </w:r>
          </w:p>
        </w:tc>
        <w:tc>
          <w:tcPr>
            <w:tcW w:w="3813" w:type="dxa"/>
            <w:noWrap w:val="0"/>
            <w:vAlign w:val="center"/>
          </w:tcPr>
          <w:p w14:paraId="59E704E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 AI 机器人电话、短信、微信公众号多渠道提醒。</w:t>
            </w:r>
          </w:p>
        </w:tc>
        <w:tc>
          <w:tcPr>
            <w:tcW w:w="1088" w:type="dxa"/>
            <w:noWrap/>
            <w:vAlign w:val="center"/>
          </w:tcPr>
          <w:p w14:paraId="48EF162C">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FEA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7AE23CE4">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01D2B20A">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7C9BEA1D">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465B14C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11.9.7</w:t>
            </w:r>
          </w:p>
        </w:tc>
        <w:tc>
          <w:tcPr>
            <w:tcW w:w="862" w:type="dxa"/>
            <w:noWrap/>
            <w:vAlign w:val="center"/>
          </w:tcPr>
          <w:p w14:paraId="01ABB4D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宣教任务推送引擎</w:t>
            </w:r>
          </w:p>
        </w:tc>
        <w:tc>
          <w:tcPr>
            <w:tcW w:w="3813" w:type="dxa"/>
            <w:noWrap w:val="0"/>
            <w:vAlign w:val="center"/>
          </w:tcPr>
          <w:p w14:paraId="6C2D7C6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支持实时/定时推送，配置微信/短信优先级，优先微信宣教。</w:t>
            </w:r>
          </w:p>
        </w:tc>
        <w:tc>
          <w:tcPr>
            <w:tcW w:w="1088" w:type="dxa"/>
            <w:noWrap/>
            <w:vAlign w:val="center"/>
          </w:tcPr>
          <w:p w14:paraId="5E4EE779">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F9B5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90" w:type="dxa"/>
            <w:vMerge w:val="continue"/>
            <w:noWrap w:val="0"/>
            <w:vAlign w:val="center"/>
          </w:tcPr>
          <w:p w14:paraId="196904F5">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restart"/>
            <w:noWrap w:val="0"/>
            <w:vAlign w:val="center"/>
          </w:tcPr>
          <w:p w14:paraId="42DD520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11.1</w:t>
            </w:r>
          </w:p>
        </w:tc>
        <w:tc>
          <w:tcPr>
            <w:tcW w:w="825" w:type="dxa"/>
            <w:vMerge w:val="restart"/>
            <w:noWrap w:val="0"/>
            <w:vAlign w:val="center"/>
          </w:tcPr>
          <w:p w14:paraId="2DAF11D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可信智能跟踪</w:t>
            </w:r>
          </w:p>
        </w:tc>
        <w:tc>
          <w:tcPr>
            <w:tcW w:w="987" w:type="dxa"/>
            <w:noWrap w:val="0"/>
            <w:vAlign w:val="center"/>
          </w:tcPr>
          <w:p w14:paraId="73B9FE1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11.10.1</w:t>
            </w:r>
          </w:p>
        </w:tc>
        <w:tc>
          <w:tcPr>
            <w:tcW w:w="862" w:type="dxa"/>
            <w:noWrap/>
            <w:vAlign w:val="center"/>
          </w:tcPr>
          <w:p w14:paraId="5ACDE18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随访结果跟踪处理</w:t>
            </w:r>
          </w:p>
        </w:tc>
        <w:tc>
          <w:tcPr>
            <w:tcW w:w="3813" w:type="dxa"/>
            <w:noWrap w:val="0"/>
            <w:vAlign w:val="center"/>
          </w:tcPr>
          <w:p w14:paraId="18A0257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▲支持可视化展示随访状态，自动完结无异常任务，异常结果自动预警并支持二次回访</w:t>
            </w:r>
          </w:p>
        </w:tc>
        <w:tc>
          <w:tcPr>
            <w:tcW w:w="1088" w:type="dxa"/>
            <w:noWrap/>
            <w:vAlign w:val="center"/>
          </w:tcPr>
          <w:p w14:paraId="4F099A46">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是，需提供</w:t>
            </w:r>
            <w:r>
              <w:rPr>
                <w:rFonts w:hint="eastAsia" w:ascii="仿宋" w:hAnsi="仿宋" w:eastAsia="仿宋" w:cs="仿宋"/>
                <w:color w:val="000000"/>
                <w:sz w:val="24"/>
                <w:szCs w:val="24"/>
                <w:lang w:val="en-US" w:eastAsia="zh-CN"/>
              </w:rPr>
              <w:t>类似产品的功能截图</w:t>
            </w:r>
          </w:p>
        </w:tc>
      </w:tr>
      <w:tr w14:paraId="2375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05DD919B">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56818E4A">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1DC991F3">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659AD94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11.10.2</w:t>
            </w:r>
          </w:p>
        </w:tc>
        <w:tc>
          <w:tcPr>
            <w:tcW w:w="862" w:type="dxa"/>
            <w:noWrap/>
            <w:vAlign w:val="center"/>
          </w:tcPr>
          <w:p w14:paraId="3C5A049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调查结果跟踪处理</w:t>
            </w:r>
          </w:p>
        </w:tc>
        <w:tc>
          <w:tcPr>
            <w:tcW w:w="3813" w:type="dxa"/>
            <w:noWrap w:val="0"/>
            <w:vAlign w:val="center"/>
          </w:tcPr>
          <w:p w14:paraId="3B8597F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支持可视化展示调查执行状态，异常结果支持人工回访核查。</w:t>
            </w:r>
          </w:p>
        </w:tc>
        <w:tc>
          <w:tcPr>
            <w:tcW w:w="1088" w:type="dxa"/>
            <w:noWrap/>
            <w:vAlign w:val="center"/>
          </w:tcPr>
          <w:p w14:paraId="21F1E15B">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7004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3B61C108">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6A1E08BE">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4792D9F8">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754C927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11.10.3</w:t>
            </w:r>
          </w:p>
        </w:tc>
        <w:tc>
          <w:tcPr>
            <w:tcW w:w="862" w:type="dxa"/>
            <w:noWrap/>
            <w:vAlign w:val="center"/>
          </w:tcPr>
          <w:p w14:paraId="0E942B6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宣教结果跟踪处理</w:t>
            </w:r>
          </w:p>
        </w:tc>
        <w:tc>
          <w:tcPr>
            <w:tcW w:w="3813" w:type="dxa"/>
            <w:noWrap w:val="0"/>
            <w:vAlign w:val="center"/>
          </w:tcPr>
          <w:p w14:paraId="7A64617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支持可视化展示宣教发送、已读 / 未读状态，未触达患者支持二次推送</w:t>
            </w:r>
          </w:p>
        </w:tc>
        <w:tc>
          <w:tcPr>
            <w:tcW w:w="1088" w:type="dxa"/>
            <w:noWrap/>
            <w:vAlign w:val="center"/>
          </w:tcPr>
          <w:p w14:paraId="47E828B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96D5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60BDBDCD">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restart"/>
            <w:noWrap w:val="0"/>
            <w:vAlign w:val="center"/>
          </w:tcPr>
          <w:p w14:paraId="2CF9FB9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11.11</w:t>
            </w:r>
          </w:p>
        </w:tc>
        <w:tc>
          <w:tcPr>
            <w:tcW w:w="825" w:type="dxa"/>
            <w:vMerge w:val="restart"/>
            <w:noWrap w:val="0"/>
            <w:vAlign w:val="center"/>
          </w:tcPr>
          <w:p w14:paraId="0DAA749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可信智能统计分析</w:t>
            </w:r>
          </w:p>
        </w:tc>
        <w:tc>
          <w:tcPr>
            <w:tcW w:w="987" w:type="dxa"/>
            <w:noWrap w:val="0"/>
            <w:vAlign w:val="center"/>
          </w:tcPr>
          <w:p w14:paraId="1033DA9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11.11.1</w:t>
            </w:r>
          </w:p>
        </w:tc>
        <w:tc>
          <w:tcPr>
            <w:tcW w:w="862" w:type="dxa"/>
            <w:noWrap/>
            <w:vAlign w:val="center"/>
          </w:tcPr>
          <w:p w14:paraId="6D17F66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异常随访选项统计</w:t>
            </w:r>
          </w:p>
        </w:tc>
        <w:tc>
          <w:tcPr>
            <w:tcW w:w="3813" w:type="dxa"/>
            <w:noWrap w:val="0"/>
            <w:vAlign w:val="center"/>
          </w:tcPr>
          <w:p w14:paraId="2EA315A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支持智能整理分类异常作答数据，对比分析异常与整体数据，精准统计题目选项次数。</w:t>
            </w:r>
          </w:p>
        </w:tc>
        <w:tc>
          <w:tcPr>
            <w:tcW w:w="1088" w:type="dxa"/>
            <w:noWrap/>
            <w:vAlign w:val="center"/>
          </w:tcPr>
          <w:p w14:paraId="69D01DCD">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B19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1AF9EFEB">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7EEFE505">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3556F474">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0F11E56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11.11.2</w:t>
            </w:r>
          </w:p>
        </w:tc>
        <w:tc>
          <w:tcPr>
            <w:tcW w:w="862" w:type="dxa"/>
            <w:noWrap/>
            <w:vAlign w:val="center"/>
          </w:tcPr>
          <w:p w14:paraId="0F9F997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随访工作量统计</w:t>
            </w:r>
          </w:p>
        </w:tc>
        <w:tc>
          <w:tcPr>
            <w:tcW w:w="3813" w:type="dxa"/>
            <w:noWrap w:val="0"/>
            <w:vAlign w:val="center"/>
          </w:tcPr>
          <w:p w14:paraId="20A9152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支持实时统计随访工作量，多维度筛选展示科室开展情况，支撑绩效考核与复盘</w:t>
            </w:r>
          </w:p>
        </w:tc>
        <w:tc>
          <w:tcPr>
            <w:tcW w:w="1088" w:type="dxa"/>
            <w:noWrap/>
            <w:vAlign w:val="center"/>
          </w:tcPr>
          <w:p w14:paraId="233C1380">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59FB4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7B933679">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47C5EA2B">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47EC8C0A">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352840B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11.11.3</w:t>
            </w:r>
          </w:p>
        </w:tc>
        <w:tc>
          <w:tcPr>
            <w:tcW w:w="862" w:type="dxa"/>
            <w:noWrap/>
            <w:vAlign w:val="center"/>
          </w:tcPr>
          <w:p w14:paraId="1AE9B9A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综合查询</w:t>
            </w:r>
          </w:p>
        </w:tc>
        <w:tc>
          <w:tcPr>
            <w:tcW w:w="3813" w:type="dxa"/>
            <w:noWrap w:val="0"/>
            <w:vAlign w:val="center"/>
          </w:tcPr>
          <w:p w14:paraId="5E25801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支持全业务数据多条件复合查询，快速定位任务、患者与执行结果。</w:t>
            </w:r>
          </w:p>
        </w:tc>
        <w:tc>
          <w:tcPr>
            <w:tcW w:w="1088" w:type="dxa"/>
            <w:noWrap/>
            <w:vAlign w:val="center"/>
          </w:tcPr>
          <w:p w14:paraId="0D5731E6">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355D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1F4CD008">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1036AACD">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65C70D17">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4BA0A10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11.11.4</w:t>
            </w:r>
          </w:p>
        </w:tc>
        <w:tc>
          <w:tcPr>
            <w:tcW w:w="862" w:type="dxa"/>
            <w:noWrap/>
            <w:vAlign w:val="center"/>
          </w:tcPr>
          <w:p w14:paraId="685464B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题目数据统计</w:t>
            </w:r>
          </w:p>
        </w:tc>
        <w:tc>
          <w:tcPr>
            <w:tcW w:w="3813" w:type="dxa"/>
            <w:noWrap w:val="0"/>
            <w:vAlign w:val="center"/>
          </w:tcPr>
          <w:p w14:paraId="1222BA8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支持自动统计问卷作答情况、选择分布、完成率，为问卷优化提供依据。</w:t>
            </w:r>
          </w:p>
        </w:tc>
        <w:tc>
          <w:tcPr>
            <w:tcW w:w="1088" w:type="dxa"/>
            <w:noWrap/>
            <w:vAlign w:val="center"/>
          </w:tcPr>
          <w:p w14:paraId="7B45F041">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170E9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0" w:type="dxa"/>
            <w:vMerge w:val="continue"/>
            <w:noWrap w:val="0"/>
            <w:vAlign w:val="center"/>
          </w:tcPr>
          <w:p w14:paraId="321830BB">
            <w:pPr>
              <w:pageBreakBefore w:val="0"/>
              <w:wordWrap/>
              <w:overflowPunct/>
              <w:topLinePunct w:val="0"/>
              <w:bidi w:val="0"/>
              <w:spacing w:line="360" w:lineRule="auto"/>
              <w:rPr>
                <w:rFonts w:hint="eastAsia" w:ascii="仿宋" w:hAnsi="仿宋" w:eastAsia="仿宋" w:cs="仿宋"/>
                <w:color w:val="000000"/>
                <w:sz w:val="24"/>
                <w:szCs w:val="24"/>
              </w:rPr>
            </w:pPr>
          </w:p>
        </w:tc>
        <w:tc>
          <w:tcPr>
            <w:tcW w:w="963" w:type="dxa"/>
            <w:vMerge w:val="continue"/>
            <w:noWrap w:val="0"/>
            <w:vAlign w:val="center"/>
          </w:tcPr>
          <w:p w14:paraId="3E60B31D">
            <w:pPr>
              <w:pageBreakBefore w:val="0"/>
              <w:wordWrap/>
              <w:overflowPunct/>
              <w:topLinePunct w:val="0"/>
              <w:bidi w:val="0"/>
              <w:spacing w:line="360" w:lineRule="auto"/>
              <w:rPr>
                <w:rFonts w:hint="eastAsia" w:ascii="仿宋" w:hAnsi="仿宋" w:eastAsia="仿宋" w:cs="仿宋"/>
                <w:color w:val="000000"/>
                <w:sz w:val="24"/>
                <w:szCs w:val="24"/>
              </w:rPr>
            </w:pPr>
          </w:p>
        </w:tc>
        <w:tc>
          <w:tcPr>
            <w:tcW w:w="825" w:type="dxa"/>
            <w:vMerge w:val="continue"/>
            <w:noWrap w:val="0"/>
            <w:vAlign w:val="center"/>
          </w:tcPr>
          <w:p w14:paraId="7CD94EA2">
            <w:pPr>
              <w:pageBreakBefore w:val="0"/>
              <w:wordWrap/>
              <w:overflowPunct/>
              <w:topLinePunct w:val="0"/>
              <w:bidi w:val="0"/>
              <w:spacing w:line="360" w:lineRule="auto"/>
              <w:rPr>
                <w:rFonts w:hint="eastAsia" w:ascii="仿宋" w:hAnsi="仿宋" w:eastAsia="仿宋" w:cs="仿宋"/>
                <w:color w:val="000000"/>
                <w:sz w:val="24"/>
                <w:szCs w:val="24"/>
              </w:rPr>
            </w:pPr>
          </w:p>
        </w:tc>
        <w:tc>
          <w:tcPr>
            <w:tcW w:w="987" w:type="dxa"/>
            <w:noWrap w:val="0"/>
            <w:vAlign w:val="center"/>
          </w:tcPr>
          <w:p w14:paraId="745D3CB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11.11.5</w:t>
            </w:r>
          </w:p>
        </w:tc>
        <w:tc>
          <w:tcPr>
            <w:tcW w:w="862" w:type="dxa"/>
            <w:noWrap/>
            <w:vAlign w:val="center"/>
          </w:tcPr>
          <w:p w14:paraId="582EFC1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实时监控</w:t>
            </w:r>
          </w:p>
        </w:tc>
        <w:tc>
          <w:tcPr>
            <w:tcW w:w="3813" w:type="dxa"/>
            <w:noWrap w:val="0"/>
            <w:vAlign w:val="center"/>
          </w:tcPr>
          <w:p w14:paraId="162E2B6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支持可视化大屏实时展示全院随访数据、交互记录与业务进度，自动统计核心指标，提供决策支撑。</w:t>
            </w:r>
          </w:p>
        </w:tc>
        <w:tc>
          <w:tcPr>
            <w:tcW w:w="1088" w:type="dxa"/>
            <w:noWrap/>
            <w:vAlign w:val="center"/>
          </w:tcPr>
          <w:p w14:paraId="222B97AA">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bl>
    <w:p w14:paraId="72377981">
      <w:pPr>
        <w:pStyle w:val="3"/>
        <w:keepNext/>
        <w:keepLines/>
        <w:pageBreakBefore w:val="0"/>
        <w:widowControl w:val="0"/>
        <w:numPr>
          <w:ilvl w:val="0"/>
          <w:numId w:val="0"/>
        </w:numPr>
        <w:kinsoku/>
        <w:wordWrap/>
        <w:overflowPunct/>
        <w:topLinePunct w:val="0"/>
        <w:autoSpaceDE/>
        <w:autoSpaceDN/>
        <w:bidi w:val="0"/>
        <w:adjustRightInd w:val="0"/>
        <w:snapToGrid/>
        <w:spacing w:before="0" w:after="0" w:line="360" w:lineRule="auto"/>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12、</w:t>
      </w:r>
      <w:r>
        <w:rPr>
          <w:rFonts w:hint="eastAsia" w:ascii="仿宋" w:hAnsi="仿宋" w:eastAsia="仿宋" w:cs="仿宋"/>
          <w:sz w:val="24"/>
          <w:szCs w:val="24"/>
        </w:rPr>
        <w:t>临床试验数据协作系统</w:t>
      </w:r>
    </w:p>
    <w:tbl>
      <w:tblPr>
        <w:tblStyle w:val="9"/>
        <w:tblW w:w="929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975"/>
        <w:gridCol w:w="787"/>
        <w:gridCol w:w="1000"/>
        <w:gridCol w:w="913"/>
        <w:gridCol w:w="3787"/>
        <w:gridCol w:w="1050"/>
      </w:tblGrid>
      <w:tr w14:paraId="615E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noWrap w:val="0"/>
            <w:vAlign w:val="center"/>
          </w:tcPr>
          <w:p w14:paraId="12A04A5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平台</w:t>
            </w:r>
          </w:p>
        </w:tc>
        <w:tc>
          <w:tcPr>
            <w:tcW w:w="975" w:type="dxa"/>
            <w:noWrap w:val="0"/>
            <w:vAlign w:val="center"/>
          </w:tcPr>
          <w:p w14:paraId="6BAABB4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一级标号</w:t>
            </w:r>
          </w:p>
        </w:tc>
        <w:tc>
          <w:tcPr>
            <w:tcW w:w="787" w:type="dxa"/>
            <w:noWrap w:val="0"/>
            <w:vAlign w:val="center"/>
          </w:tcPr>
          <w:p w14:paraId="056DFDF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一级功能</w:t>
            </w:r>
          </w:p>
        </w:tc>
        <w:tc>
          <w:tcPr>
            <w:tcW w:w="1000" w:type="dxa"/>
            <w:noWrap w:val="0"/>
            <w:vAlign w:val="center"/>
          </w:tcPr>
          <w:p w14:paraId="1F49F43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二级标号</w:t>
            </w:r>
          </w:p>
        </w:tc>
        <w:tc>
          <w:tcPr>
            <w:tcW w:w="913" w:type="dxa"/>
            <w:noWrap w:val="0"/>
            <w:vAlign w:val="center"/>
          </w:tcPr>
          <w:p w14:paraId="6F452F5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二级功能</w:t>
            </w:r>
          </w:p>
        </w:tc>
        <w:tc>
          <w:tcPr>
            <w:tcW w:w="3787" w:type="dxa"/>
            <w:noWrap w:val="0"/>
            <w:vAlign w:val="center"/>
          </w:tcPr>
          <w:p w14:paraId="15CE11E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功能描述</w:t>
            </w:r>
          </w:p>
        </w:tc>
        <w:tc>
          <w:tcPr>
            <w:tcW w:w="1050" w:type="dxa"/>
            <w:noWrap w:val="0"/>
            <w:vAlign w:val="center"/>
          </w:tcPr>
          <w:p w14:paraId="101F83EC">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证明材料</w:t>
            </w:r>
          </w:p>
        </w:tc>
      </w:tr>
      <w:tr w14:paraId="2F9E2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778" w:type="dxa"/>
            <w:vMerge w:val="restart"/>
            <w:noWrap w:val="0"/>
            <w:vAlign w:val="center"/>
          </w:tcPr>
          <w:p w14:paraId="2B2F11A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12临床试验数据协作系统</w:t>
            </w:r>
          </w:p>
        </w:tc>
        <w:tc>
          <w:tcPr>
            <w:tcW w:w="975" w:type="dxa"/>
            <w:noWrap w:val="0"/>
            <w:vAlign w:val="center"/>
          </w:tcPr>
          <w:p w14:paraId="09D7C7C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12.0 </w:t>
            </w:r>
          </w:p>
        </w:tc>
        <w:tc>
          <w:tcPr>
            <w:tcW w:w="787" w:type="dxa"/>
            <w:noWrap w:val="0"/>
            <w:vAlign w:val="center"/>
          </w:tcPr>
          <w:p w14:paraId="1401663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★整体需求</w:t>
            </w:r>
          </w:p>
        </w:tc>
        <w:tc>
          <w:tcPr>
            <w:tcW w:w="1000" w:type="dxa"/>
            <w:noWrap w:val="0"/>
            <w:vAlign w:val="center"/>
          </w:tcPr>
          <w:p w14:paraId="3027AAA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12.0 </w:t>
            </w:r>
          </w:p>
        </w:tc>
        <w:tc>
          <w:tcPr>
            <w:tcW w:w="913" w:type="dxa"/>
            <w:noWrap w:val="0"/>
            <w:vAlign w:val="center"/>
          </w:tcPr>
          <w:p w14:paraId="4D0EE18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w:t>
            </w:r>
          </w:p>
        </w:tc>
        <w:tc>
          <w:tcPr>
            <w:tcW w:w="3787" w:type="dxa"/>
            <w:noWrap w:val="0"/>
            <w:vAlign w:val="center"/>
          </w:tcPr>
          <w:p w14:paraId="6C7DF275">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★投标人需</w:t>
            </w:r>
            <w:r>
              <w:rPr>
                <w:rFonts w:hint="eastAsia" w:ascii="仿宋" w:hAnsi="仿宋" w:eastAsia="仿宋" w:cs="仿宋"/>
                <w:color w:val="000000"/>
                <w:sz w:val="24"/>
                <w:szCs w:val="24"/>
                <w:lang w:val="en-US" w:eastAsia="zh-CN"/>
              </w:rPr>
              <w:t>按要求</w:t>
            </w:r>
            <w:r>
              <w:rPr>
                <w:rFonts w:hint="eastAsia" w:ascii="仿宋" w:hAnsi="仿宋" w:eastAsia="仿宋" w:cs="仿宋"/>
                <w:color w:val="000000"/>
                <w:sz w:val="24"/>
                <w:szCs w:val="24"/>
              </w:rPr>
              <w:t>交付临床试验数据协作系统；并能够整合联通链接医疗数据应用协同系统。</w:t>
            </w:r>
          </w:p>
        </w:tc>
        <w:tc>
          <w:tcPr>
            <w:tcW w:w="1050" w:type="dxa"/>
            <w:noWrap w:val="0"/>
            <w:vAlign w:val="center"/>
          </w:tcPr>
          <w:p w14:paraId="31617E63">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141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78" w:type="dxa"/>
            <w:vMerge w:val="continue"/>
            <w:noWrap w:val="0"/>
            <w:vAlign w:val="center"/>
          </w:tcPr>
          <w:p w14:paraId="03FF55B7">
            <w:pPr>
              <w:pageBreakBefore w:val="0"/>
              <w:wordWrap/>
              <w:overflowPunct/>
              <w:topLinePunct w:val="0"/>
              <w:bidi w:val="0"/>
              <w:spacing w:line="360" w:lineRule="auto"/>
              <w:rPr>
                <w:rFonts w:hint="eastAsia" w:ascii="仿宋" w:hAnsi="仿宋" w:eastAsia="仿宋" w:cs="仿宋"/>
                <w:color w:val="000000"/>
                <w:sz w:val="24"/>
                <w:szCs w:val="24"/>
              </w:rPr>
            </w:pPr>
          </w:p>
        </w:tc>
        <w:tc>
          <w:tcPr>
            <w:tcW w:w="975" w:type="dxa"/>
            <w:vMerge w:val="restart"/>
            <w:noWrap/>
            <w:vAlign w:val="center"/>
          </w:tcPr>
          <w:p w14:paraId="5F6FE0D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12.1</w:t>
            </w:r>
          </w:p>
        </w:tc>
        <w:tc>
          <w:tcPr>
            <w:tcW w:w="787" w:type="dxa"/>
            <w:vMerge w:val="restart"/>
            <w:noWrap w:val="0"/>
            <w:vAlign w:val="center"/>
          </w:tcPr>
          <w:p w14:paraId="3BFA843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可信空间集市</w:t>
            </w:r>
          </w:p>
        </w:tc>
        <w:tc>
          <w:tcPr>
            <w:tcW w:w="1000" w:type="dxa"/>
            <w:noWrap/>
            <w:vAlign w:val="center"/>
          </w:tcPr>
          <w:p w14:paraId="74FEA85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12.1.1</w:t>
            </w:r>
          </w:p>
        </w:tc>
        <w:tc>
          <w:tcPr>
            <w:tcW w:w="913" w:type="dxa"/>
            <w:noWrap/>
            <w:vAlign w:val="center"/>
          </w:tcPr>
          <w:p w14:paraId="46DF288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产品检索</w:t>
            </w:r>
          </w:p>
        </w:tc>
        <w:tc>
          <w:tcPr>
            <w:tcW w:w="3787" w:type="dxa"/>
            <w:noWrap w:val="0"/>
            <w:vAlign w:val="center"/>
          </w:tcPr>
          <w:p w14:paraId="743D2EC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▲支持通过关键词检索数据产品，支持通过上架时间、所属空间、产品分类、数据来源、适用领域等多条件组合检索数据产品。</w:t>
            </w:r>
          </w:p>
        </w:tc>
        <w:tc>
          <w:tcPr>
            <w:tcW w:w="1050" w:type="dxa"/>
            <w:noWrap w:val="0"/>
            <w:vAlign w:val="center"/>
          </w:tcPr>
          <w:p w14:paraId="03207C62">
            <w:pPr>
              <w:pageBreakBefore w:val="0"/>
              <w:wordWrap/>
              <w:overflowPunct/>
              <w:topLinePunct w:val="0"/>
              <w:bidi w:val="0"/>
              <w:spacing w:line="360" w:lineRule="auto"/>
              <w:jc w:val="center"/>
              <w:rPr>
                <w:rFonts w:hint="eastAsia" w:ascii="仿宋" w:hAnsi="仿宋" w:eastAsia="宋体" w:cs="仿宋"/>
                <w:color w:val="000000"/>
                <w:sz w:val="24"/>
                <w:szCs w:val="24"/>
                <w:lang w:eastAsia="zh-CN"/>
              </w:rPr>
            </w:pPr>
            <w:r>
              <w:rPr>
                <w:rFonts w:hint="eastAsia" w:ascii="仿宋" w:hAnsi="仿宋" w:eastAsia="仿宋" w:cs="仿宋"/>
                <w:color w:val="000000"/>
                <w:sz w:val="24"/>
                <w:szCs w:val="24"/>
                <w:lang w:val="en-US" w:eastAsia="zh-CN"/>
              </w:rPr>
              <w:t>否</w:t>
            </w:r>
          </w:p>
        </w:tc>
      </w:tr>
      <w:tr w14:paraId="4D86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2CD6CA1C">
            <w:pPr>
              <w:pageBreakBefore w:val="0"/>
              <w:wordWrap/>
              <w:overflowPunct/>
              <w:topLinePunct w:val="0"/>
              <w:bidi w:val="0"/>
              <w:spacing w:line="360" w:lineRule="auto"/>
              <w:rPr>
                <w:rFonts w:hint="eastAsia" w:ascii="仿宋" w:hAnsi="仿宋" w:eastAsia="仿宋" w:cs="仿宋"/>
                <w:color w:val="000000"/>
                <w:sz w:val="24"/>
                <w:szCs w:val="24"/>
              </w:rPr>
            </w:pPr>
          </w:p>
        </w:tc>
        <w:tc>
          <w:tcPr>
            <w:tcW w:w="975" w:type="dxa"/>
            <w:vMerge w:val="continue"/>
            <w:noWrap w:val="0"/>
            <w:vAlign w:val="center"/>
          </w:tcPr>
          <w:p w14:paraId="7E4E29EC">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2F7D976C">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noWrap/>
            <w:vAlign w:val="center"/>
          </w:tcPr>
          <w:p w14:paraId="26487B5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12.1.2</w:t>
            </w:r>
          </w:p>
        </w:tc>
        <w:tc>
          <w:tcPr>
            <w:tcW w:w="913" w:type="dxa"/>
            <w:noWrap/>
            <w:vAlign w:val="center"/>
          </w:tcPr>
          <w:p w14:paraId="73EE3EC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产品查看</w:t>
            </w:r>
          </w:p>
        </w:tc>
        <w:tc>
          <w:tcPr>
            <w:tcW w:w="3787" w:type="dxa"/>
            <w:noWrap w:val="0"/>
            <w:vAlign w:val="center"/>
          </w:tcPr>
          <w:p w14:paraId="767428A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支持数据产品的查看与相关预览。</w:t>
            </w:r>
          </w:p>
        </w:tc>
        <w:tc>
          <w:tcPr>
            <w:tcW w:w="1050" w:type="dxa"/>
            <w:noWrap w:val="0"/>
            <w:vAlign w:val="center"/>
          </w:tcPr>
          <w:p w14:paraId="1B1309BC">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E44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55E1FDA4">
            <w:pPr>
              <w:pageBreakBefore w:val="0"/>
              <w:wordWrap/>
              <w:overflowPunct/>
              <w:topLinePunct w:val="0"/>
              <w:bidi w:val="0"/>
              <w:spacing w:line="360" w:lineRule="auto"/>
              <w:rPr>
                <w:rFonts w:hint="eastAsia" w:ascii="仿宋" w:hAnsi="仿宋" w:eastAsia="仿宋" w:cs="仿宋"/>
                <w:color w:val="000000"/>
                <w:sz w:val="24"/>
                <w:szCs w:val="24"/>
              </w:rPr>
            </w:pPr>
          </w:p>
        </w:tc>
        <w:tc>
          <w:tcPr>
            <w:tcW w:w="975" w:type="dxa"/>
            <w:vMerge w:val="restart"/>
            <w:noWrap/>
            <w:vAlign w:val="center"/>
          </w:tcPr>
          <w:p w14:paraId="409C896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12.2</w:t>
            </w:r>
          </w:p>
        </w:tc>
        <w:tc>
          <w:tcPr>
            <w:tcW w:w="787" w:type="dxa"/>
            <w:vMerge w:val="restart"/>
            <w:noWrap w:val="0"/>
            <w:vAlign w:val="center"/>
          </w:tcPr>
          <w:p w14:paraId="65F74CA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身份与访问管理</w:t>
            </w:r>
          </w:p>
        </w:tc>
        <w:tc>
          <w:tcPr>
            <w:tcW w:w="1000" w:type="dxa"/>
            <w:noWrap/>
            <w:vAlign w:val="center"/>
          </w:tcPr>
          <w:p w14:paraId="626392B6">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12.2.1</w:t>
            </w:r>
          </w:p>
        </w:tc>
        <w:tc>
          <w:tcPr>
            <w:tcW w:w="913" w:type="dxa"/>
            <w:noWrap/>
            <w:vAlign w:val="center"/>
          </w:tcPr>
          <w:p w14:paraId="331D4AB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游客模式</w:t>
            </w:r>
          </w:p>
        </w:tc>
        <w:tc>
          <w:tcPr>
            <w:tcW w:w="3787" w:type="dxa"/>
            <w:noWrap w:val="0"/>
            <w:vAlign w:val="center"/>
          </w:tcPr>
          <w:p w14:paraId="0E76DA3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支持游客模式查看数据产品以及相关内容。</w:t>
            </w:r>
          </w:p>
        </w:tc>
        <w:tc>
          <w:tcPr>
            <w:tcW w:w="1050" w:type="dxa"/>
            <w:noWrap w:val="0"/>
            <w:vAlign w:val="center"/>
          </w:tcPr>
          <w:p w14:paraId="4D99F49A">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0BBC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1BD164B3">
            <w:pPr>
              <w:pageBreakBefore w:val="0"/>
              <w:wordWrap/>
              <w:overflowPunct/>
              <w:topLinePunct w:val="0"/>
              <w:bidi w:val="0"/>
              <w:spacing w:line="360" w:lineRule="auto"/>
              <w:rPr>
                <w:rFonts w:hint="eastAsia" w:ascii="仿宋" w:hAnsi="仿宋" w:eastAsia="仿宋" w:cs="仿宋"/>
                <w:color w:val="000000"/>
                <w:sz w:val="24"/>
                <w:szCs w:val="24"/>
              </w:rPr>
            </w:pPr>
          </w:p>
        </w:tc>
        <w:tc>
          <w:tcPr>
            <w:tcW w:w="975" w:type="dxa"/>
            <w:vMerge w:val="continue"/>
            <w:noWrap w:val="0"/>
            <w:vAlign w:val="center"/>
          </w:tcPr>
          <w:p w14:paraId="1D48ADDF">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39B965FF">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noWrap/>
            <w:vAlign w:val="center"/>
          </w:tcPr>
          <w:p w14:paraId="0E2EDAF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12.2.2</w:t>
            </w:r>
          </w:p>
        </w:tc>
        <w:tc>
          <w:tcPr>
            <w:tcW w:w="913" w:type="dxa"/>
            <w:noWrap/>
            <w:vAlign w:val="center"/>
          </w:tcPr>
          <w:p w14:paraId="5643798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注册登录</w:t>
            </w:r>
          </w:p>
        </w:tc>
        <w:tc>
          <w:tcPr>
            <w:tcW w:w="3787" w:type="dxa"/>
            <w:noWrap w:val="0"/>
            <w:vAlign w:val="center"/>
          </w:tcPr>
          <w:p w14:paraId="50122A2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支持注册模式进行登录，支持找回密码。</w:t>
            </w:r>
          </w:p>
        </w:tc>
        <w:tc>
          <w:tcPr>
            <w:tcW w:w="1050" w:type="dxa"/>
            <w:noWrap w:val="0"/>
            <w:vAlign w:val="center"/>
          </w:tcPr>
          <w:p w14:paraId="6DA9CB58">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67C9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778" w:type="dxa"/>
            <w:vMerge w:val="continue"/>
            <w:noWrap w:val="0"/>
            <w:vAlign w:val="center"/>
          </w:tcPr>
          <w:p w14:paraId="455F6F88">
            <w:pPr>
              <w:pageBreakBefore w:val="0"/>
              <w:wordWrap/>
              <w:overflowPunct/>
              <w:topLinePunct w:val="0"/>
              <w:bidi w:val="0"/>
              <w:spacing w:line="360" w:lineRule="auto"/>
              <w:rPr>
                <w:rFonts w:hint="eastAsia" w:ascii="仿宋" w:hAnsi="仿宋" w:eastAsia="仿宋" w:cs="仿宋"/>
                <w:color w:val="000000"/>
                <w:sz w:val="24"/>
                <w:szCs w:val="24"/>
              </w:rPr>
            </w:pPr>
          </w:p>
        </w:tc>
        <w:tc>
          <w:tcPr>
            <w:tcW w:w="975" w:type="dxa"/>
            <w:vMerge w:val="continue"/>
            <w:noWrap w:val="0"/>
            <w:vAlign w:val="center"/>
          </w:tcPr>
          <w:p w14:paraId="1823F71A">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34F6C547">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noWrap/>
            <w:vAlign w:val="center"/>
          </w:tcPr>
          <w:p w14:paraId="264D054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12.2.3</w:t>
            </w:r>
          </w:p>
        </w:tc>
        <w:tc>
          <w:tcPr>
            <w:tcW w:w="913" w:type="dxa"/>
            <w:noWrap/>
            <w:vAlign w:val="center"/>
          </w:tcPr>
          <w:p w14:paraId="58ECB45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实名认证</w:t>
            </w:r>
          </w:p>
        </w:tc>
        <w:tc>
          <w:tcPr>
            <w:tcW w:w="3787" w:type="dxa"/>
            <w:noWrap w:val="0"/>
            <w:vAlign w:val="center"/>
          </w:tcPr>
          <w:p w14:paraId="783DF71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12.2.3.1</w:t>
            </w:r>
            <w:r>
              <w:rPr>
                <w:rFonts w:hint="eastAsia" w:ascii="仿宋" w:hAnsi="仿宋" w:eastAsia="仿宋" w:cs="仿宋"/>
                <w:color w:val="000000"/>
                <w:sz w:val="24"/>
                <w:szCs w:val="24"/>
              </w:rPr>
              <w:t>支持用户提交企业的实名认证信息申请实名认证；</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12.2.3.2</w:t>
            </w:r>
            <w:r>
              <w:rPr>
                <w:rFonts w:hint="eastAsia" w:ascii="仿宋" w:hAnsi="仿宋" w:eastAsia="仿宋" w:cs="仿宋"/>
                <w:color w:val="000000"/>
                <w:sz w:val="24"/>
                <w:szCs w:val="24"/>
              </w:rPr>
              <w:t>支持身份凭证生成、存证与发放；</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lang w:val="en-US" w:eastAsia="zh-CN"/>
              </w:rPr>
              <w:t>12.2.3.3</w:t>
            </w:r>
            <w:r>
              <w:rPr>
                <w:rFonts w:hint="eastAsia" w:ascii="仿宋" w:hAnsi="仿宋" w:eastAsia="仿宋" w:cs="仿宋"/>
                <w:color w:val="000000"/>
                <w:sz w:val="24"/>
                <w:szCs w:val="24"/>
              </w:rPr>
              <w:t>支持身份凭证使用、信息修改。</w:t>
            </w:r>
          </w:p>
        </w:tc>
        <w:tc>
          <w:tcPr>
            <w:tcW w:w="1050" w:type="dxa"/>
            <w:noWrap w:val="0"/>
            <w:vAlign w:val="center"/>
          </w:tcPr>
          <w:p w14:paraId="344F601E">
            <w:pPr>
              <w:pageBreakBefore w:val="0"/>
              <w:wordWrap/>
              <w:overflowPunct/>
              <w:topLinePunct w:val="0"/>
              <w:bidi w:val="0"/>
              <w:spacing w:line="360" w:lineRule="auto"/>
              <w:jc w:val="center"/>
              <w:rPr>
                <w:rFonts w:hint="eastAsia" w:ascii="仿宋" w:hAnsi="仿宋" w:eastAsia="宋体" w:cs="仿宋"/>
                <w:color w:val="000000"/>
                <w:sz w:val="24"/>
                <w:szCs w:val="24"/>
                <w:lang w:eastAsia="zh-CN"/>
              </w:rPr>
            </w:pPr>
            <w:r>
              <w:rPr>
                <w:rFonts w:hint="eastAsia" w:ascii="仿宋" w:hAnsi="仿宋" w:eastAsia="仿宋" w:cs="仿宋"/>
                <w:color w:val="000000"/>
                <w:sz w:val="24"/>
                <w:szCs w:val="24"/>
                <w:lang w:val="en-US" w:eastAsia="zh-CN"/>
              </w:rPr>
              <w:t>否</w:t>
            </w:r>
          </w:p>
        </w:tc>
      </w:tr>
      <w:tr w14:paraId="43E0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78" w:type="dxa"/>
            <w:vMerge w:val="continue"/>
            <w:noWrap w:val="0"/>
            <w:vAlign w:val="center"/>
          </w:tcPr>
          <w:p w14:paraId="7F68D568">
            <w:pPr>
              <w:pageBreakBefore w:val="0"/>
              <w:wordWrap/>
              <w:overflowPunct/>
              <w:topLinePunct w:val="0"/>
              <w:bidi w:val="0"/>
              <w:spacing w:line="360" w:lineRule="auto"/>
              <w:rPr>
                <w:rFonts w:hint="eastAsia" w:ascii="仿宋" w:hAnsi="仿宋" w:eastAsia="仿宋" w:cs="仿宋"/>
                <w:color w:val="000000"/>
                <w:sz w:val="24"/>
                <w:szCs w:val="24"/>
              </w:rPr>
            </w:pPr>
          </w:p>
        </w:tc>
        <w:tc>
          <w:tcPr>
            <w:tcW w:w="975" w:type="dxa"/>
            <w:vMerge w:val="continue"/>
            <w:noWrap w:val="0"/>
            <w:vAlign w:val="center"/>
          </w:tcPr>
          <w:p w14:paraId="57D007ED">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46B59BBE">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noWrap/>
            <w:vAlign w:val="center"/>
          </w:tcPr>
          <w:p w14:paraId="03ACC54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12.2.4</w:t>
            </w:r>
          </w:p>
        </w:tc>
        <w:tc>
          <w:tcPr>
            <w:tcW w:w="913" w:type="dxa"/>
            <w:noWrap/>
            <w:vAlign w:val="center"/>
          </w:tcPr>
          <w:p w14:paraId="60BCF41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用户资料</w:t>
            </w:r>
          </w:p>
        </w:tc>
        <w:tc>
          <w:tcPr>
            <w:tcW w:w="3787" w:type="dxa"/>
            <w:noWrap w:val="0"/>
            <w:vAlign w:val="center"/>
          </w:tcPr>
          <w:p w14:paraId="2259050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支持用户查看自己的主题信息和账号信息；</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支持主动修改联系方式等信息、支持注销平台账号。</w:t>
            </w:r>
          </w:p>
        </w:tc>
        <w:tc>
          <w:tcPr>
            <w:tcW w:w="1050" w:type="dxa"/>
            <w:noWrap w:val="0"/>
            <w:vAlign w:val="center"/>
          </w:tcPr>
          <w:p w14:paraId="1F554B4B">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41169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65C1D28D">
            <w:pPr>
              <w:pageBreakBefore w:val="0"/>
              <w:wordWrap/>
              <w:overflowPunct/>
              <w:topLinePunct w:val="0"/>
              <w:bidi w:val="0"/>
              <w:spacing w:line="360" w:lineRule="auto"/>
              <w:rPr>
                <w:rFonts w:hint="eastAsia" w:ascii="仿宋" w:hAnsi="仿宋" w:eastAsia="仿宋" w:cs="仿宋"/>
                <w:color w:val="000000"/>
                <w:sz w:val="24"/>
                <w:szCs w:val="24"/>
              </w:rPr>
            </w:pPr>
          </w:p>
        </w:tc>
        <w:tc>
          <w:tcPr>
            <w:tcW w:w="975" w:type="dxa"/>
            <w:vMerge w:val="restart"/>
            <w:noWrap/>
            <w:vAlign w:val="center"/>
          </w:tcPr>
          <w:p w14:paraId="3C5F179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12.3</w:t>
            </w:r>
          </w:p>
        </w:tc>
        <w:tc>
          <w:tcPr>
            <w:tcW w:w="787" w:type="dxa"/>
            <w:vMerge w:val="restart"/>
            <w:noWrap w:val="0"/>
            <w:vAlign w:val="center"/>
          </w:tcPr>
          <w:p w14:paraId="0F36EC51">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服务应用管理</w:t>
            </w:r>
          </w:p>
        </w:tc>
        <w:tc>
          <w:tcPr>
            <w:tcW w:w="1000" w:type="dxa"/>
            <w:noWrap/>
            <w:vAlign w:val="center"/>
          </w:tcPr>
          <w:p w14:paraId="49BD72A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12.3.1</w:t>
            </w:r>
          </w:p>
        </w:tc>
        <w:tc>
          <w:tcPr>
            <w:tcW w:w="913" w:type="dxa"/>
            <w:noWrap/>
            <w:vAlign w:val="center"/>
          </w:tcPr>
          <w:p w14:paraId="76D8482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可信端部署申请</w:t>
            </w:r>
          </w:p>
        </w:tc>
        <w:tc>
          <w:tcPr>
            <w:tcW w:w="3787" w:type="dxa"/>
            <w:noWrap w:val="0"/>
            <w:vAlign w:val="center"/>
          </w:tcPr>
          <w:p w14:paraId="456D99B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支持查看可信端部署说明，支持申请可信端部署。</w:t>
            </w:r>
          </w:p>
        </w:tc>
        <w:tc>
          <w:tcPr>
            <w:tcW w:w="1050" w:type="dxa"/>
            <w:noWrap w:val="0"/>
            <w:vAlign w:val="center"/>
          </w:tcPr>
          <w:p w14:paraId="4CF04EB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0C5E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78" w:type="dxa"/>
            <w:vMerge w:val="continue"/>
            <w:noWrap w:val="0"/>
            <w:vAlign w:val="center"/>
          </w:tcPr>
          <w:p w14:paraId="515C1571">
            <w:pPr>
              <w:pageBreakBefore w:val="0"/>
              <w:wordWrap/>
              <w:overflowPunct/>
              <w:topLinePunct w:val="0"/>
              <w:bidi w:val="0"/>
              <w:spacing w:line="360" w:lineRule="auto"/>
              <w:rPr>
                <w:rFonts w:hint="eastAsia" w:ascii="仿宋" w:hAnsi="仿宋" w:eastAsia="仿宋" w:cs="仿宋"/>
                <w:color w:val="000000"/>
                <w:sz w:val="24"/>
                <w:szCs w:val="24"/>
              </w:rPr>
            </w:pPr>
          </w:p>
        </w:tc>
        <w:tc>
          <w:tcPr>
            <w:tcW w:w="975" w:type="dxa"/>
            <w:vMerge w:val="continue"/>
            <w:noWrap w:val="0"/>
            <w:vAlign w:val="center"/>
          </w:tcPr>
          <w:p w14:paraId="5658547E">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65672CA3">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noWrap/>
            <w:vAlign w:val="center"/>
          </w:tcPr>
          <w:p w14:paraId="107C4CBB">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12.3.2</w:t>
            </w:r>
          </w:p>
        </w:tc>
        <w:tc>
          <w:tcPr>
            <w:tcW w:w="913" w:type="dxa"/>
            <w:noWrap/>
            <w:vAlign w:val="center"/>
          </w:tcPr>
          <w:p w14:paraId="1AEEECB2">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我的订单</w:t>
            </w:r>
          </w:p>
        </w:tc>
        <w:tc>
          <w:tcPr>
            <w:tcW w:w="3787" w:type="dxa"/>
            <w:noWrap w:val="0"/>
            <w:vAlign w:val="center"/>
          </w:tcPr>
          <w:p w14:paraId="60596F4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支持用户根据产品名称和订单状态检索收到的订单；</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支持对订单进行审核，同意后在可信端中进行交付。</w:t>
            </w:r>
          </w:p>
        </w:tc>
        <w:tc>
          <w:tcPr>
            <w:tcW w:w="1050" w:type="dxa"/>
            <w:noWrap w:val="0"/>
            <w:vAlign w:val="center"/>
          </w:tcPr>
          <w:p w14:paraId="2F9F45E9">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417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78" w:type="dxa"/>
            <w:vMerge w:val="continue"/>
            <w:noWrap w:val="0"/>
            <w:vAlign w:val="center"/>
          </w:tcPr>
          <w:p w14:paraId="4C561B1C">
            <w:pPr>
              <w:pageBreakBefore w:val="0"/>
              <w:wordWrap/>
              <w:overflowPunct/>
              <w:topLinePunct w:val="0"/>
              <w:bidi w:val="0"/>
              <w:spacing w:line="360" w:lineRule="auto"/>
              <w:rPr>
                <w:rFonts w:hint="eastAsia" w:ascii="仿宋" w:hAnsi="仿宋" w:eastAsia="仿宋" w:cs="仿宋"/>
                <w:color w:val="000000"/>
                <w:sz w:val="24"/>
                <w:szCs w:val="24"/>
              </w:rPr>
            </w:pPr>
          </w:p>
        </w:tc>
        <w:tc>
          <w:tcPr>
            <w:tcW w:w="975" w:type="dxa"/>
            <w:vMerge w:val="continue"/>
            <w:noWrap w:val="0"/>
            <w:vAlign w:val="center"/>
          </w:tcPr>
          <w:p w14:paraId="241CA574">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78FE94B4">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noWrap/>
            <w:vAlign w:val="center"/>
          </w:tcPr>
          <w:p w14:paraId="5EF88AA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12.3.3</w:t>
            </w:r>
          </w:p>
        </w:tc>
        <w:tc>
          <w:tcPr>
            <w:tcW w:w="913" w:type="dxa"/>
            <w:noWrap/>
            <w:vAlign w:val="center"/>
          </w:tcPr>
          <w:p w14:paraId="380D9F0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我的申请</w:t>
            </w:r>
          </w:p>
        </w:tc>
        <w:tc>
          <w:tcPr>
            <w:tcW w:w="3787" w:type="dxa"/>
            <w:noWrap w:val="0"/>
            <w:vAlign w:val="center"/>
          </w:tcPr>
          <w:p w14:paraId="299B066E">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支持用户通过产品名称和申请状态检索已提交的产品申请订单；</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支持查看订单的申请状态。</w:t>
            </w:r>
          </w:p>
        </w:tc>
        <w:tc>
          <w:tcPr>
            <w:tcW w:w="1050" w:type="dxa"/>
            <w:noWrap w:val="0"/>
            <w:vAlign w:val="center"/>
          </w:tcPr>
          <w:p w14:paraId="1FF15D0E">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3ECDC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778" w:type="dxa"/>
            <w:vMerge w:val="continue"/>
            <w:noWrap w:val="0"/>
            <w:vAlign w:val="center"/>
          </w:tcPr>
          <w:p w14:paraId="7EA872C3">
            <w:pPr>
              <w:pageBreakBefore w:val="0"/>
              <w:wordWrap/>
              <w:overflowPunct/>
              <w:topLinePunct w:val="0"/>
              <w:bidi w:val="0"/>
              <w:spacing w:line="360" w:lineRule="auto"/>
              <w:rPr>
                <w:rFonts w:hint="eastAsia" w:ascii="仿宋" w:hAnsi="仿宋" w:eastAsia="仿宋" w:cs="仿宋"/>
                <w:color w:val="000000"/>
                <w:sz w:val="24"/>
                <w:szCs w:val="24"/>
              </w:rPr>
            </w:pPr>
          </w:p>
        </w:tc>
        <w:tc>
          <w:tcPr>
            <w:tcW w:w="975" w:type="dxa"/>
            <w:vMerge w:val="continue"/>
            <w:noWrap w:val="0"/>
            <w:vAlign w:val="center"/>
          </w:tcPr>
          <w:p w14:paraId="1F3CA806">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17469FF7">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noWrap/>
            <w:vAlign w:val="center"/>
          </w:tcPr>
          <w:p w14:paraId="28549F6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12.3.4</w:t>
            </w:r>
          </w:p>
        </w:tc>
        <w:tc>
          <w:tcPr>
            <w:tcW w:w="913" w:type="dxa"/>
            <w:noWrap/>
            <w:vAlign w:val="center"/>
          </w:tcPr>
          <w:p w14:paraId="0AFFA3C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我的产品</w:t>
            </w:r>
          </w:p>
        </w:tc>
        <w:tc>
          <w:tcPr>
            <w:tcW w:w="3787" w:type="dxa"/>
            <w:noWrap w:val="0"/>
            <w:vAlign w:val="center"/>
          </w:tcPr>
          <w:p w14:paraId="6BBECE4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支持产品的新增，查看，编辑和发布；</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支持产品上下架和删除功能；</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支持产品审核进度查看。</w:t>
            </w:r>
          </w:p>
        </w:tc>
        <w:tc>
          <w:tcPr>
            <w:tcW w:w="1050" w:type="dxa"/>
            <w:noWrap w:val="0"/>
            <w:vAlign w:val="center"/>
          </w:tcPr>
          <w:p w14:paraId="115E3623">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2FE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75B23066">
            <w:pPr>
              <w:pageBreakBefore w:val="0"/>
              <w:wordWrap/>
              <w:overflowPunct/>
              <w:topLinePunct w:val="0"/>
              <w:bidi w:val="0"/>
              <w:spacing w:line="360" w:lineRule="auto"/>
              <w:rPr>
                <w:rFonts w:hint="eastAsia" w:ascii="仿宋" w:hAnsi="仿宋" w:eastAsia="仿宋" w:cs="仿宋"/>
                <w:color w:val="000000"/>
                <w:sz w:val="24"/>
                <w:szCs w:val="24"/>
              </w:rPr>
            </w:pPr>
          </w:p>
        </w:tc>
        <w:tc>
          <w:tcPr>
            <w:tcW w:w="975" w:type="dxa"/>
            <w:vMerge w:val="continue"/>
            <w:noWrap w:val="0"/>
            <w:vAlign w:val="center"/>
          </w:tcPr>
          <w:p w14:paraId="3E15E462">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345306E1">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vMerge w:val="restart"/>
            <w:noWrap/>
            <w:vAlign w:val="center"/>
          </w:tcPr>
          <w:p w14:paraId="0E7EB51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12.3.5</w:t>
            </w:r>
          </w:p>
        </w:tc>
        <w:tc>
          <w:tcPr>
            <w:tcW w:w="913" w:type="dxa"/>
            <w:vMerge w:val="restart"/>
            <w:noWrap/>
            <w:vAlign w:val="center"/>
          </w:tcPr>
          <w:p w14:paraId="07F4A97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空间管理</w:t>
            </w:r>
          </w:p>
        </w:tc>
        <w:tc>
          <w:tcPr>
            <w:tcW w:w="3787" w:type="dxa"/>
            <w:noWrap w:val="0"/>
            <w:vAlign w:val="center"/>
          </w:tcPr>
          <w:p w14:paraId="63BBF228">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12.3.5.1</w:t>
            </w:r>
            <w:r>
              <w:rPr>
                <w:rFonts w:hint="eastAsia" w:ascii="仿宋" w:hAnsi="仿宋" w:eastAsia="仿宋" w:cs="仿宋"/>
                <w:color w:val="000000"/>
                <w:sz w:val="24"/>
                <w:szCs w:val="24"/>
              </w:rPr>
              <w:t>支持入住空间的查看与检索。</w:t>
            </w:r>
          </w:p>
        </w:tc>
        <w:tc>
          <w:tcPr>
            <w:tcW w:w="1050" w:type="dxa"/>
            <w:noWrap w:val="0"/>
            <w:vAlign w:val="center"/>
          </w:tcPr>
          <w:p w14:paraId="392313C9">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1F5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214BD8DC">
            <w:pPr>
              <w:pageBreakBefore w:val="0"/>
              <w:wordWrap/>
              <w:overflowPunct/>
              <w:topLinePunct w:val="0"/>
              <w:bidi w:val="0"/>
              <w:spacing w:line="360" w:lineRule="auto"/>
              <w:rPr>
                <w:rFonts w:hint="eastAsia" w:ascii="仿宋" w:hAnsi="仿宋" w:eastAsia="仿宋" w:cs="仿宋"/>
                <w:color w:val="000000"/>
                <w:sz w:val="24"/>
                <w:szCs w:val="24"/>
              </w:rPr>
            </w:pPr>
          </w:p>
        </w:tc>
        <w:tc>
          <w:tcPr>
            <w:tcW w:w="975" w:type="dxa"/>
            <w:vMerge w:val="continue"/>
            <w:noWrap w:val="0"/>
            <w:vAlign w:val="center"/>
          </w:tcPr>
          <w:p w14:paraId="5C01C69A">
            <w:pPr>
              <w:pageBreakBefore w:val="0"/>
              <w:wordWrap/>
              <w:overflowPunct/>
              <w:topLinePunct w:val="0"/>
              <w:bidi w:val="0"/>
              <w:spacing w:line="360" w:lineRule="auto"/>
              <w:rPr>
                <w:rFonts w:hint="eastAsia" w:ascii="仿宋" w:hAnsi="仿宋" w:eastAsia="仿宋" w:cs="仿宋"/>
                <w:color w:val="000000"/>
                <w:sz w:val="24"/>
                <w:szCs w:val="24"/>
              </w:rPr>
            </w:pPr>
          </w:p>
        </w:tc>
        <w:tc>
          <w:tcPr>
            <w:tcW w:w="787" w:type="dxa"/>
            <w:vMerge w:val="continue"/>
            <w:noWrap w:val="0"/>
            <w:vAlign w:val="center"/>
          </w:tcPr>
          <w:p w14:paraId="0731650E">
            <w:pPr>
              <w:pageBreakBefore w:val="0"/>
              <w:wordWrap/>
              <w:overflowPunct/>
              <w:topLinePunct w:val="0"/>
              <w:bidi w:val="0"/>
              <w:spacing w:line="360" w:lineRule="auto"/>
              <w:rPr>
                <w:rFonts w:hint="eastAsia" w:ascii="仿宋" w:hAnsi="仿宋" w:eastAsia="仿宋" w:cs="仿宋"/>
                <w:color w:val="000000"/>
                <w:sz w:val="24"/>
                <w:szCs w:val="24"/>
              </w:rPr>
            </w:pPr>
          </w:p>
        </w:tc>
        <w:tc>
          <w:tcPr>
            <w:tcW w:w="1000" w:type="dxa"/>
            <w:vMerge w:val="continue"/>
            <w:noWrap w:val="0"/>
            <w:vAlign w:val="center"/>
          </w:tcPr>
          <w:p w14:paraId="56214346">
            <w:pPr>
              <w:pageBreakBefore w:val="0"/>
              <w:wordWrap/>
              <w:overflowPunct/>
              <w:topLinePunct w:val="0"/>
              <w:bidi w:val="0"/>
              <w:spacing w:line="360" w:lineRule="auto"/>
              <w:rPr>
                <w:rFonts w:hint="eastAsia" w:ascii="仿宋" w:hAnsi="仿宋" w:eastAsia="仿宋" w:cs="仿宋"/>
                <w:color w:val="000000"/>
                <w:sz w:val="24"/>
                <w:szCs w:val="24"/>
              </w:rPr>
            </w:pPr>
          </w:p>
        </w:tc>
        <w:tc>
          <w:tcPr>
            <w:tcW w:w="913" w:type="dxa"/>
            <w:vMerge w:val="continue"/>
            <w:noWrap w:val="0"/>
            <w:vAlign w:val="center"/>
          </w:tcPr>
          <w:p w14:paraId="17918D3F">
            <w:pPr>
              <w:pageBreakBefore w:val="0"/>
              <w:wordWrap/>
              <w:overflowPunct/>
              <w:topLinePunct w:val="0"/>
              <w:bidi w:val="0"/>
              <w:spacing w:line="360" w:lineRule="auto"/>
              <w:rPr>
                <w:rFonts w:hint="eastAsia" w:ascii="仿宋" w:hAnsi="仿宋" w:eastAsia="仿宋" w:cs="仿宋"/>
                <w:color w:val="000000"/>
                <w:sz w:val="24"/>
                <w:szCs w:val="24"/>
              </w:rPr>
            </w:pPr>
          </w:p>
        </w:tc>
        <w:tc>
          <w:tcPr>
            <w:tcW w:w="3787" w:type="dxa"/>
            <w:noWrap w:val="0"/>
            <w:vAlign w:val="center"/>
          </w:tcPr>
          <w:p w14:paraId="5A7BDEB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12.3.5.2</w:t>
            </w:r>
            <w:r>
              <w:rPr>
                <w:rFonts w:hint="eastAsia" w:ascii="仿宋" w:hAnsi="仿宋" w:eastAsia="仿宋" w:cs="仿宋"/>
                <w:color w:val="000000"/>
                <w:sz w:val="24"/>
                <w:szCs w:val="24"/>
              </w:rPr>
              <w:t>支持申请空间；空间查看，空间解散；空间成员和产品审核。</w:t>
            </w:r>
          </w:p>
        </w:tc>
        <w:tc>
          <w:tcPr>
            <w:tcW w:w="1050" w:type="dxa"/>
            <w:noWrap w:val="0"/>
            <w:vAlign w:val="center"/>
          </w:tcPr>
          <w:p w14:paraId="1F13816F">
            <w:pPr>
              <w:pageBreakBefore w:val="0"/>
              <w:wordWrap/>
              <w:overflowPunct/>
              <w:topLinePunct w:val="0"/>
              <w:bidi w:val="0"/>
              <w:spacing w:line="360" w:lineRule="auto"/>
              <w:jc w:val="center"/>
              <w:rPr>
                <w:rFonts w:hint="eastAsia" w:ascii="仿宋" w:hAnsi="仿宋" w:eastAsia="宋体" w:cs="仿宋"/>
                <w:color w:val="000000"/>
                <w:sz w:val="24"/>
                <w:szCs w:val="24"/>
                <w:lang w:eastAsia="zh-CN"/>
              </w:rPr>
            </w:pPr>
            <w:r>
              <w:rPr>
                <w:rFonts w:hint="eastAsia" w:ascii="仿宋" w:hAnsi="仿宋" w:eastAsia="仿宋" w:cs="仿宋"/>
                <w:color w:val="000000"/>
                <w:sz w:val="24"/>
                <w:szCs w:val="24"/>
                <w:lang w:val="en-US" w:eastAsia="zh-CN"/>
              </w:rPr>
              <w:t>否</w:t>
            </w:r>
          </w:p>
        </w:tc>
      </w:tr>
      <w:tr w14:paraId="33F92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778" w:type="dxa"/>
            <w:vMerge w:val="continue"/>
            <w:noWrap w:val="0"/>
            <w:vAlign w:val="center"/>
          </w:tcPr>
          <w:p w14:paraId="2FA5B404">
            <w:pPr>
              <w:pageBreakBefore w:val="0"/>
              <w:wordWrap/>
              <w:overflowPunct/>
              <w:topLinePunct w:val="0"/>
              <w:bidi w:val="0"/>
              <w:spacing w:line="360" w:lineRule="auto"/>
              <w:rPr>
                <w:rFonts w:hint="eastAsia" w:ascii="仿宋" w:hAnsi="仿宋" w:eastAsia="仿宋" w:cs="仿宋"/>
                <w:color w:val="000000"/>
                <w:sz w:val="24"/>
                <w:szCs w:val="24"/>
              </w:rPr>
            </w:pPr>
          </w:p>
        </w:tc>
        <w:tc>
          <w:tcPr>
            <w:tcW w:w="975" w:type="dxa"/>
            <w:noWrap/>
            <w:vAlign w:val="center"/>
          </w:tcPr>
          <w:p w14:paraId="43152DD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12.4</w:t>
            </w:r>
          </w:p>
        </w:tc>
        <w:tc>
          <w:tcPr>
            <w:tcW w:w="787" w:type="dxa"/>
            <w:noWrap w:val="0"/>
            <w:vAlign w:val="center"/>
          </w:tcPr>
          <w:p w14:paraId="7C1A1F2A">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通知管理</w:t>
            </w:r>
          </w:p>
        </w:tc>
        <w:tc>
          <w:tcPr>
            <w:tcW w:w="1000" w:type="dxa"/>
            <w:noWrap/>
            <w:vAlign w:val="center"/>
          </w:tcPr>
          <w:p w14:paraId="44E9177D">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12.4.1</w:t>
            </w:r>
          </w:p>
        </w:tc>
        <w:tc>
          <w:tcPr>
            <w:tcW w:w="913" w:type="dxa"/>
            <w:noWrap/>
            <w:vAlign w:val="center"/>
          </w:tcPr>
          <w:p w14:paraId="491D83C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消息管理</w:t>
            </w:r>
          </w:p>
        </w:tc>
        <w:tc>
          <w:tcPr>
            <w:tcW w:w="3787" w:type="dxa"/>
            <w:noWrap w:val="0"/>
            <w:vAlign w:val="center"/>
          </w:tcPr>
          <w:p w14:paraId="632CE83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支持消息查看，消息设置，批量标记功能。</w:t>
            </w:r>
          </w:p>
        </w:tc>
        <w:tc>
          <w:tcPr>
            <w:tcW w:w="1050" w:type="dxa"/>
            <w:noWrap w:val="0"/>
            <w:vAlign w:val="center"/>
          </w:tcPr>
          <w:p w14:paraId="3D5DA0B0">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299A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78" w:type="dxa"/>
            <w:vMerge w:val="continue"/>
            <w:noWrap w:val="0"/>
            <w:vAlign w:val="center"/>
          </w:tcPr>
          <w:p w14:paraId="05BF0603">
            <w:pPr>
              <w:pageBreakBefore w:val="0"/>
              <w:wordWrap/>
              <w:overflowPunct/>
              <w:topLinePunct w:val="0"/>
              <w:bidi w:val="0"/>
              <w:spacing w:line="360" w:lineRule="auto"/>
              <w:rPr>
                <w:rFonts w:hint="eastAsia" w:ascii="仿宋" w:hAnsi="仿宋" w:eastAsia="仿宋" w:cs="仿宋"/>
                <w:color w:val="000000"/>
                <w:sz w:val="24"/>
                <w:szCs w:val="24"/>
              </w:rPr>
            </w:pPr>
          </w:p>
        </w:tc>
        <w:tc>
          <w:tcPr>
            <w:tcW w:w="975" w:type="dxa"/>
            <w:noWrap/>
            <w:vAlign w:val="center"/>
          </w:tcPr>
          <w:p w14:paraId="684A5E0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12.5</w:t>
            </w:r>
          </w:p>
        </w:tc>
        <w:tc>
          <w:tcPr>
            <w:tcW w:w="787" w:type="dxa"/>
            <w:noWrap w:val="0"/>
            <w:vAlign w:val="center"/>
          </w:tcPr>
          <w:p w14:paraId="2336717F">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智能应用服务合约</w:t>
            </w:r>
          </w:p>
        </w:tc>
        <w:tc>
          <w:tcPr>
            <w:tcW w:w="1000" w:type="dxa"/>
            <w:noWrap/>
            <w:vAlign w:val="center"/>
          </w:tcPr>
          <w:p w14:paraId="36DC8867">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12.5.1</w:t>
            </w:r>
          </w:p>
        </w:tc>
        <w:tc>
          <w:tcPr>
            <w:tcW w:w="913" w:type="dxa"/>
            <w:noWrap/>
            <w:vAlign w:val="center"/>
          </w:tcPr>
          <w:p w14:paraId="55FE7C9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智能合约管理</w:t>
            </w:r>
          </w:p>
        </w:tc>
        <w:tc>
          <w:tcPr>
            <w:tcW w:w="3787" w:type="dxa"/>
            <w:noWrap w:val="0"/>
            <w:vAlign w:val="center"/>
          </w:tcPr>
          <w:p w14:paraId="484896E0">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支持订单绑定智能服务合约，按照合约进行业务实现。</w:t>
            </w:r>
          </w:p>
        </w:tc>
        <w:tc>
          <w:tcPr>
            <w:tcW w:w="1050" w:type="dxa"/>
            <w:noWrap w:val="0"/>
            <w:vAlign w:val="center"/>
          </w:tcPr>
          <w:p w14:paraId="3CE3ABD6">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r w14:paraId="734F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78" w:type="dxa"/>
            <w:vMerge w:val="continue"/>
            <w:noWrap w:val="0"/>
            <w:vAlign w:val="center"/>
          </w:tcPr>
          <w:p w14:paraId="28444861">
            <w:pPr>
              <w:pageBreakBefore w:val="0"/>
              <w:wordWrap/>
              <w:overflowPunct/>
              <w:topLinePunct w:val="0"/>
              <w:bidi w:val="0"/>
              <w:spacing w:line="360" w:lineRule="auto"/>
              <w:rPr>
                <w:rFonts w:hint="eastAsia" w:ascii="仿宋" w:hAnsi="仿宋" w:eastAsia="仿宋" w:cs="仿宋"/>
                <w:color w:val="000000"/>
                <w:sz w:val="24"/>
                <w:szCs w:val="24"/>
              </w:rPr>
            </w:pPr>
          </w:p>
        </w:tc>
        <w:tc>
          <w:tcPr>
            <w:tcW w:w="975" w:type="dxa"/>
            <w:noWrap/>
            <w:vAlign w:val="center"/>
          </w:tcPr>
          <w:p w14:paraId="51FF732C">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12.6</w:t>
            </w:r>
          </w:p>
        </w:tc>
        <w:tc>
          <w:tcPr>
            <w:tcW w:w="787" w:type="dxa"/>
            <w:noWrap/>
            <w:vAlign w:val="center"/>
          </w:tcPr>
          <w:p w14:paraId="4F251159">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存证审计</w:t>
            </w:r>
          </w:p>
        </w:tc>
        <w:tc>
          <w:tcPr>
            <w:tcW w:w="1000" w:type="dxa"/>
            <w:noWrap/>
            <w:vAlign w:val="center"/>
          </w:tcPr>
          <w:p w14:paraId="3897E4E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12.6.1</w:t>
            </w:r>
          </w:p>
        </w:tc>
        <w:tc>
          <w:tcPr>
            <w:tcW w:w="913" w:type="dxa"/>
            <w:noWrap w:val="0"/>
            <w:vAlign w:val="center"/>
          </w:tcPr>
          <w:p w14:paraId="08172654">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数据操作存证</w:t>
            </w:r>
          </w:p>
        </w:tc>
        <w:tc>
          <w:tcPr>
            <w:tcW w:w="3787" w:type="dxa"/>
            <w:noWrap w:val="0"/>
            <w:vAlign w:val="center"/>
          </w:tcPr>
          <w:p w14:paraId="566C27B3">
            <w:pPr>
              <w:pageBreakBefore w:val="0"/>
              <w:wordWrap/>
              <w:overflowPunct/>
              <w:topLinePunct w:val="0"/>
              <w:bidi w:val="0"/>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支持审计账号管理和审计流程；</w:t>
            </w:r>
            <w:r>
              <w:rPr>
                <w:rFonts w:hint="eastAsia" w:ascii="仿宋" w:hAnsi="仿宋" w:eastAsia="仿宋" w:cs="仿宋"/>
                <w:color w:val="000000"/>
                <w:sz w:val="24"/>
                <w:szCs w:val="24"/>
              </w:rPr>
              <w:br w:type="textWrapping"/>
            </w:r>
            <w:r>
              <w:rPr>
                <w:rFonts w:hint="eastAsia" w:ascii="仿宋" w:hAnsi="仿宋" w:eastAsia="仿宋" w:cs="仿宋"/>
                <w:color w:val="000000"/>
                <w:sz w:val="24"/>
                <w:szCs w:val="24"/>
              </w:rPr>
              <w:t>支持审计日志查看与导出。</w:t>
            </w:r>
          </w:p>
        </w:tc>
        <w:tc>
          <w:tcPr>
            <w:tcW w:w="1050" w:type="dxa"/>
            <w:noWrap w:val="0"/>
            <w:vAlign w:val="center"/>
          </w:tcPr>
          <w:p w14:paraId="3BFF441D">
            <w:pPr>
              <w:pageBreakBefore w:val="0"/>
              <w:wordWrap/>
              <w:overflowPunct/>
              <w:topLinePunct w:val="0"/>
              <w:bidi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否</w:t>
            </w:r>
          </w:p>
        </w:tc>
      </w:tr>
    </w:tbl>
    <w:p w14:paraId="0CC7FBF7">
      <w:pPr>
        <w:pageBreakBefore w:val="0"/>
        <w:numPr>
          <w:ilvl w:val="0"/>
          <w:numId w:val="0"/>
        </w:numPr>
        <w:wordWrap/>
        <w:overflowPunct/>
        <w:topLinePunct w:val="0"/>
        <w:bidi w:val="0"/>
        <w:spacing w:line="360" w:lineRule="auto"/>
        <w:rPr>
          <w:rFonts w:hint="eastAsia" w:ascii="仿宋" w:hAnsi="仿宋" w:eastAsia="仿宋" w:cs="仿宋"/>
          <w:bCs/>
          <w:sz w:val="24"/>
          <w:szCs w:val="24"/>
        </w:rPr>
      </w:pPr>
      <w:r>
        <w:rPr>
          <w:rFonts w:hint="eastAsia" w:ascii="仿宋" w:hAnsi="仿宋" w:eastAsia="仿宋" w:cs="仿宋"/>
          <w:bCs/>
          <w:sz w:val="24"/>
          <w:szCs w:val="24"/>
          <w:lang w:val="en-US" w:eastAsia="zh-CN"/>
        </w:rPr>
        <w:t>二、</w:t>
      </w:r>
      <w:r>
        <w:rPr>
          <w:rFonts w:hint="eastAsia" w:ascii="仿宋" w:hAnsi="仿宋" w:eastAsia="仿宋" w:cs="仿宋"/>
          <w:bCs/>
          <w:sz w:val="24"/>
          <w:szCs w:val="24"/>
        </w:rPr>
        <w:t>服务要求</w:t>
      </w:r>
    </w:p>
    <w:tbl>
      <w:tblPr>
        <w:tblStyle w:val="9"/>
        <w:tblW w:w="513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76"/>
        <w:gridCol w:w="816"/>
        <w:gridCol w:w="1163"/>
        <w:gridCol w:w="5992"/>
      </w:tblGrid>
      <w:tr w14:paraId="6DBA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337" w:type="pct"/>
            <w:noWrap w:val="0"/>
            <w:vAlign w:val="center"/>
          </w:tcPr>
          <w:p w14:paraId="25206C4C">
            <w:pPr>
              <w:pStyle w:val="19"/>
              <w:pageBreakBefore w:val="0"/>
              <w:widowControl w:val="0"/>
              <w:wordWrap/>
              <w:overflowPunct/>
              <w:topLinePunct w:val="0"/>
              <w:bidi w:val="0"/>
              <w:spacing w:before="113" w:line="360" w:lineRule="auto"/>
              <w:ind w:left="115"/>
              <w:jc w:val="center"/>
              <w:rPr>
                <w:rFonts w:hint="eastAsia" w:ascii="仿宋" w:hAnsi="仿宋" w:eastAsia="仿宋" w:cs="仿宋"/>
                <w:kern w:val="2"/>
                <w:sz w:val="24"/>
                <w:szCs w:val="24"/>
              </w:rPr>
            </w:pPr>
            <w:r>
              <w:rPr>
                <w:rFonts w:hint="eastAsia" w:ascii="仿宋" w:hAnsi="仿宋" w:eastAsia="仿宋" w:cs="仿宋"/>
                <w:b/>
                <w:bCs/>
                <w:spacing w:val="4"/>
                <w:kern w:val="2"/>
                <w:sz w:val="24"/>
                <w:szCs w:val="24"/>
              </w:rPr>
              <w:t>序号</w:t>
            </w:r>
          </w:p>
        </w:tc>
        <w:tc>
          <w:tcPr>
            <w:tcW w:w="477" w:type="pct"/>
            <w:noWrap w:val="0"/>
            <w:vAlign w:val="top"/>
          </w:tcPr>
          <w:p w14:paraId="103A533A">
            <w:pPr>
              <w:pStyle w:val="19"/>
              <w:pageBreakBefore w:val="0"/>
              <w:widowControl w:val="0"/>
              <w:wordWrap/>
              <w:overflowPunct/>
              <w:topLinePunct w:val="0"/>
              <w:bidi w:val="0"/>
              <w:spacing w:before="113" w:line="360" w:lineRule="auto"/>
              <w:jc w:val="center"/>
              <w:rPr>
                <w:rFonts w:hint="eastAsia" w:ascii="仿宋" w:hAnsi="仿宋" w:eastAsia="仿宋" w:cs="仿宋"/>
                <w:kern w:val="2"/>
                <w:sz w:val="24"/>
                <w:szCs w:val="24"/>
              </w:rPr>
            </w:pPr>
            <w:r>
              <w:rPr>
                <w:rFonts w:hint="eastAsia" w:ascii="仿宋" w:hAnsi="仿宋" w:eastAsia="仿宋" w:cs="仿宋"/>
                <w:b/>
                <w:bCs/>
                <w:spacing w:val="5"/>
                <w:kern w:val="2"/>
                <w:sz w:val="24"/>
                <w:szCs w:val="24"/>
              </w:rPr>
              <w:t>重要性</w:t>
            </w:r>
          </w:p>
        </w:tc>
        <w:tc>
          <w:tcPr>
            <w:tcW w:w="680" w:type="pct"/>
            <w:noWrap w:val="0"/>
            <w:vAlign w:val="top"/>
          </w:tcPr>
          <w:p w14:paraId="2A88085C">
            <w:pPr>
              <w:pStyle w:val="19"/>
              <w:pageBreakBefore w:val="0"/>
              <w:widowControl w:val="0"/>
              <w:wordWrap/>
              <w:overflowPunct/>
              <w:topLinePunct w:val="0"/>
              <w:bidi w:val="0"/>
              <w:spacing w:before="113" w:line="360" w:lineRule="auto"/>
              <w:jc w:val="center"/>
              <w:rPr>
                <w:rFonts w:hint="eastAsia" w:ascii="仿宋" w:hAnsi="仿宋" w:eastAsia="仿宋" w:cs="仿宋"/>
                <w:kern w:val="2"/>
                <w:sz w:val="24"/>
                <w:szCs w:val="24"/>
              </w:rPr>
            </w:pPr>
            <w:r>
              <w:rPr>
                <w:rFonts w:hint="eastAsia" w:ascii="仿宋" w:hAnsi="仿宋" w:eastAsia="仿宋" w:cs="仿宋"/>
                <w:b/>
                <w:bCs/>
                <w:spacing w:val="4"/>
                <w:kern w:val="2"/>
                <w:sz w:val="24"/>
                <w:szCs w:val="24"/>
              </w:rPr>
              <w:t>指标项</w:t>
            </w:r>
          </w:p>
        </w:tc>
        <w:tc>
          <w:tcPr>
            <w:tcW w:w="3504" w:type="pct"/>
            <w:noWrap w:val="0"/>
            <w:vAlign w:val="top"/>
          </w:tcPr>
          <w:p w14:paraId="78E22360">
            <w:pPr>
              <w:pStyle w:val="19"/>
              <w:pageBreakBefore w:val="0"/>
              <w:widowControl w:val="0"/>
              <w:wordWrap/>
              <w:overflowPunct/>
              <w:topLinePunct w:val="0"/>
              <w:bidi w:val="0"/>
              <w:spacing w:before="113" w:line="360" w:lineRule="auto"/>
              <w:jc w:val="center"/>
              <w:rPr>
                <w:rFonts w:hint="eastAsia" w:ascii="仿宋" w:hAnsi="仿宋" w:eastAsia="仿宋" w:cs="仿宋"/>
                <w:kern w:val="2"/>
                <w:sz w:val="24"/>
                <w:szCs w:val="24"/>
              </w:rPr>
            </w:pPr>
            <w:r>
              <w:rPr>
                <w:rFonts w:hint="eastAsia" w:ascii="仿宋" w:hAnsi="仿宋" w:eastAsia="仿宋" w:cs="仿宋"/>
                <w:b/>
                <w:bCs/>
                <w:spacing w:val="6"/>
                <w:kern w:val="2"/>
                <w:sz w:val="24"/>
                <w:szCs w:val="24"/>
              </w:rPr>
              <w:t>参数要求</w:t>
            </w:r>
          </w:p>
        </w:tc>
      </w:tr>
      <w:tr w14:paraId="72B60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31" w:hRule="atLeast"/>
        </w:trPr>
        <w:tc>
          <w:tcPr>
            <w:tcW w:w="337" w:type="pct"/>
            <w:noWrap w:val="0"/>
            <w:vAlign w:val="center"/>
          </w:tcPr>
          <w:p w14:paraId="05B8BEE3">
            <w:pPr>
              <w:pageBreakBefore w:val="0"/>
              <w:wordWrap/>
              <w:overflowPunct/>
              <w:topLinePunct w:val="0"/>
              <w:bidi w:val="0"/>
              <w:spacing w:before="70" w:line="360" w:lineRule="auto"/>
              <w:jc w:val="center"/>
              <w:rPr>
                <w:rFonts w:hint="eastAsia" w:ascii="仿宋" w:hAnsi="仿宋" w:eastAsia="仿宋" w:cs="仿宋"/>
                <w:sz w:val="24"/>
                <w:szCs w:val="24"/>
              </w:rPr>
            </w:pPr>
            <w:r>
              <w:rPr>
                <w:rFonts w:hint="eastAsia" w:ascii="仿宋" w:hAnsi="仿宋" w:eastAsia="仿宋" w:cs="仿宋"/>
                <w:spacing w:val="-17"/>
                <w:sz w:val="24"/>
                <w:szCs w:val="24"/>
              </w:rPr>
              <w:t>1</w:t>
            </w:r>
          </w:p>
        </w:tc>
        <w:tc>
          <w:tcPr>
            <w:tcW w:w="477" w:type="pct"/>
            <w:noWrap w:val="0"/>
            <w:vAlign w:val="top"/>
          </w:tcPr>
          <w:p w14:paraId="41DD8332">
            <w:pPr>
              <w:pageBreakBefore w:val="0"/>
              <w:wordWrap/>
              <w:overflowPunct/>
              <w:topLinePunct w:val="0"/>
              <w:bidi w:val="0"/>
              <w:spacing w:line="360" w:lineRule="auto"/>
              <w:rPr>
                <w:rFonts w:hint="eastAsia" w:ascii="仿宋" w:hAnsi="仿宋" w:eastAsia="仿宋" w:cs="仿宋"/>
                <w:sz w:val="24"/>
                <w:szCs w:val="24"/>
              </w:rPr>
            </w:pPr>
          </w:p>
        </w:tc>
        <w:tc>
          <w:tcPr>
            <w:tcW w:w="680" w:type="pct"/>
            <w:vMerge w:val="restart"/>
            <w:noWrap w:val="0"/>
            <w:vAlign w:val="top"/>
          </w:tcPr>
          <w:p w14:paraId="18D5F94A">
            <w:pPr>
              <w:pageBreakBefore w:val="0"/>
              <w:wordWrap/>
              <w:overflowPunct/>
              <w:topLinePunct w:val="0"/>
              <w:bidi w:val="0"/>
              <w:spacing w:line="360" w:lineRule="auto"/>
              <w:rPr>
                <w:rFonts w:hint="eastAsia" w:ascii="仿宋" w:hAnsi="仿宋" w:eastAsia="仿宋" w:cs="仿宋"/>
                <w:sz w:val="24"/>
                <w:szCs w:val="24"/>
              </w:rPr>
            </w:pPr>
          </w:p>
          <w:p w14:paraId="132C83C5">
            <w:pPr>
              <w:pageBreakBefore w:val="0"/>
              <w:wordWrap/>
              <w:overflowPunct/>
              <w:topLinePunct w:val="0"/>
              <w:bidi w:val="0"/>
              <w:spacing w:line="360" w:lineRule="auto"/>
              <w:rPr>
                <w:rFonts w:hint="eastAsia" w:ascii="仿宋" w:hAnsi="仿宋" w:eastAsia="仿宋" w:cs="仿宋"/>
                <w:sz w:val="24"/>
                <w:szCs w:val="24"/>
              </w:rPr>
            </w:pPr>
          </w:p>
          <w:p w14:paraId="762628E3">
            <w:pPr>
              <w:pStyle w:val="19"/>
              <w:pageBreakBefore w:val="0"/>
              <w:widowControl w:val="0"/>
              <w:wordWrap/>
              <w:overflowPunct/>
              <w:topLinePunct w:val="0"/>
              <w:bidi w:val="0"/>
              <w:spacing w:before="65" w:line="360" w:lineRule="auto"/>
              <w:ind w:left="114" w:right="144"/>
              <w:jc w:val="both"/>
              <w:rPr>
                <w:rFonts w:hint="eastAsia" w:ascii="仿宋" w:hAnsi="仿宋" w:eastAsia="仿宋" w:cs="仿宋"/>
                <w:kern w:val="2"/>
                <w:sz w:val="24"/>
                <w:szCs w:val="24"/>
              </w:rPr>
            </w:pPr>
            <w:r>
              <w:rPr>
                <w:rFonts w:hint="eastAsia" w:ascii="仿宋" w:hAnsi="仿宋" w:eastAsia="仿宋" w:cs="仿宋"/>
                <w:spacing w:val="7"/>
                <w:kern w:val="2"/>
                <w:sz w:val="24"/>
                <w:szCs w:val="24"/>
                <w:lang w:val="en-US" w:eastAsia="zh-CN"/>
              </w:rPr>
              <w:t>项目</w:t>
            </w:r>
            <w:r>
              <w:rPr>
                <w:rFonts w:hint="eastAsia" w:ascii="仿宋" w:hAnsi="仿宋" w:eastAsia="仿宋" w:cs="仿宋"/>
                <w:spacing w:val="7"/>
                <w:kern w:val="2"/>
                <w:sz w:val="24"/>
                <w:szCs w:val="24"/>
              </w:rPr>
              <w:t>质保要</w:t>
            </w:r>
            <w:r>
              <w:rPr>
                <w:rFonts w:hint="eastAsia" w:ascii="仿宋" w:hAnsi="仿宋" w:eastAsia="仿宋" w:cs="仿宋"/>
                <w:kern w:val="2"/>
                <w:sz w:val="24"/>
                <w:szCs w:val="24"/>
              </w:rPr>
              <w:t>求</w:t>
            </w:r>
          </w:p>
        </w:tc>
        <w:tc>
          <w:tcPr>
            <w:tcW w:w="3504" w:type="pct"/>
            <w:noWrap w:val="0"/>
            <w:vAlign w:val="top"/>
          </w:tcPr>
          <w:p w14:paraId="3CFD7B70">
            <w:pPr>
              <w:pStyle w:val="19"/>
              <w:keepNext w:val="0"/>
              <w:keepLines w:val="0"/>
              <w:pageBreakBefore w:val="0"/>
              <w:widowControl w:val="0"/>
              <w:kinsoku w:val="0"/>
              <w:wordWrap/>
              <w:overflowPunct/>
              <w:topLinePunct w:val="0"/>
              <w:autoSpaceDE w:val="0"/>
              <w:autoSpaceDN w:val="0"/>
              <w:bidi w:val="0"/>
              <w:adjustRightInd w:val="0"/>
              <w:snapToGrid w:val="0"/>
              <w:spacing w:before="107" w:line="360" w:lineRule="auto"/>
              <w:jc w:val="both"/>
              <w:textAlignment w:val="baseline"/>
              <w:outlineLvl w:val="1"/>
              <w:rPr>
                <w:rFonts w:hint="eastAsia" w:ascii="仿宋" w:hAnsi="仿宋" w:eastAsia="仿宋" w:cs="仿宋"/>
                <w:kern w:val="2"/>
                <w:sz w:val="24"/>
                <w:szCs w:val="24"/>
                <w:lang w:eastAsia="zh-CN"/>
              </w:rPr>
            </w:pPr>
            <w:r>
              <w:rPr>
                <w:rFonts w:hint="eastAsia" w:ascii="仿宋" w:hAnsi="仿宋" w:eastAsia="仿宋" w:cs="仿宋"/>
                <w:spacing w:val="8"/>
                <w:kern w:val="2"/>
                <w:sz w:val="24"/>
                <w:szCs w:val="24"/>
                <w:lang w:eastAsia="zh-CN"/>
              </w:rPr>
              <w:t>（1）供应商质保内容</w:t>
            </w:r>
          </w:p>
          <w:p w14:paraId="06E666A5">
            <w:pPr>
              <w:pStyle w:val="19"/>
              <w:pageBreakBefore w:val="0"/>
              <w:widowControl w:val="0"/>
              <w:numPr>
                <w:ilvl w:val="0"/>
                <w:numId w:val="0"/>
              </w:numPr>
              <w:wordWrap/>
              <w:overflowPunct/>
              <w:topLinePunct w:val="0"/>
              <w:bidi w:val="0"/>
              <w:spacing w:before="105" w:line="360" w:lineRule="auto"/>
              <w:ind w:leftChars="0" w:right="107" w:rightChars="0" w:firstLine="256" w:firstLineChars="100"/>
              <w:jc w:val="both"/>
              <w:rPr>
                <w:rFonts w:hint="eastAsia" w:ascii="仿宋" w:hAnsi="仿宋" w:eastAsia="仿宋" w:cs="仿宋"/>
                <w:spacing w:val="8"/>
                <w:kern w:val="2"/>
                <w:position w:val="1"/>
                <w:sz w:val="24"/>
                <w:szCs w:val="24"/>
                <w:lang w:val="en-US" w:eastAsia="zh-CN"/>
              </w:rPr>
            </w:pPr>
            <w:r>
              <w:rPr>
                <w:rFonts w:hint="eastAsia" w:ascii="仿宋" w:hAnsi="仿宋" w:eastAsia="仿宋" w:cs="仿宋"/>
                <w:spacing w:val="8"/>
                <w:kern w:val="2"/>
                <w:position w:val="1"/>
                <w:sz w:val="24"/>
                <w:szCs w:val="24"/>
                <w:lang w:val="en-US" w:eastAsia="zh-CN"/>
              </w:rPr>
              <w:t>1）供应商提供针对本项目涉及内容的售后服务承诺书；</w:t>
            </w:r>
          </w:p>
          <w:p w14:paraId="201146F3">
            <w:pPr>
              <w:pStyle w:val="19"/>
              <w:pageBreakBefore w:val="0"/>
              <w:widowControl w:val="0"/>
              <w:numPr>
                <w:ilvl w:val="0"/>
                <w:numId w:val="0"/>
              </w:numPr>
              <w:wordWrap/>
              <w:overflowPunct/>
              <w:topLinePunct w:val="0"/>
              <w:bidi w:val="0"/>
              <w:spacing w:before="105" w:line="360" w:lineRule="auto"/>
              <w:ind w:leftChars="0" w:right="107" w:rightChars="0" w:firstLine="256" w:firstLineChars="100"/>
              <w:jc w:val="both"/>
              <w:rPr>
                <w:rFonts w:hint="eastAsia" w:ascii="仿宋" w:hAnsi="仿宋" w:eastAsia="仿宋" w:cs="仿宋"/>
                <w:spacing w:val="8"/>
                <w:kern w:val="2"/>
                <w:position w:val="1"/>
                <w:sz w:val="24"/>
                <w:szCs w:val="24"/>
                <w:lang w:val="en-US" w:eastAsia="zh-CN"/>
              </w:rPr>
            </w:pPr>
            <w:r>
              <w:rPr>
                <w:rFonts w:hint="eastAsia" w:ascii="仿宋" w:hAnsi="仿宋" w:eastAsia="仿宋" w:cs="仿宋"/>
                <w:spacing w:val="8"/>
                <w:kern w:val="2"/>
                <w:position w:val="1"/>
                <w:sz w:val="24"/>
                <w:szCs w:val="24"/>
                <w:lang w:val="en-US" w:eastAsia="zh-CN"/>
              </w:rPr>
              <w:t>2）提供厂商的实施现场督导员，协助投标人保质保量的完成项目；</w:t>
            </w:r>
          </w:p>
          <w:p w14:paraId="55F47F04">
            <w:pPr>
              <w:pStyle w:val="19"/>
              <w:pageBreakBefore w:val="0"/>
              <w:widowControl w:val="0"/>
              <w:numPr>
                <w:ilvl w:val="0"/>
                <w:numId w:val="0"/>
              </w:numPr>
              <w:wordWrap/>
              <w:overflowPunct/>
              <w:topLinePunct w:val="0"/>
              <w:bidi w:val="0"/>
              <w:spacing w:before="105" w:line="360" w:lineRule="auto"/>
              <w:ind w:leftChars="0" w:right="107" w:rightChars="0" w:firstLine="256" w:firstLineChars="100"/>
              <w:jc w:val="both"/>
              <w:rPr>
                <w:rFonts w:hint="eastAsia" w:ascii="仿宋" w:hAnsi="仿宋" w:eastAsia="仿宋" w:cs="仿宋"/>
                <w:spacing w:val="8"/>
                <w:kern w:val="2"/>
                <w:position w:val="1"/>
                <w:sz w:val="24"/>
                <w:szCs w:val="24"/>
                <w:lang w:val="en-US" w:eastAsia="zh-CN"/>
              </w:rPr>
            </w:pPr>
            <w:r>
              <w:rPr>
                <w:rFonts w:hint="eastAsia" w:ascii="仿宋" w:hAnsi="仿宋" w:eastAsia="仿宋" w:cs="仿宋"/>
                <w:spacing w:val="8"/>
                <w:kern w:val="2"/>
                <w:position w:val="1"/>
                <w:sz w:val="24"/>
                <w:szCs w:val="24"/>
                <w:lang w:val="en-US" w:eastAsia="zh-CN"/>
              </w:rPr>
              <w:t>3）质保期内提供备件服务；</w:t>
            </w:r>
          </w:p>
          <w:p w14:paraId="7F9B83B2">
            <w:pPr>
              <w:pStyle w:val="19"/>
              <w:pageBreakBefore w:val="0"/>
              <w:widowControl w:val="0"/>
              <w:numPr>
                <w:ilvl w:val="0"/>
                <w:numId w:val="0"/>
              </w:numPr>
              <w:wordWrap/>
              <w:overflowPunct/>
              <w:topLinePunct w:val="0"/>
              <w:bidi w:val="0"/>
              <w:spacing w:before="105" w:line="360" w:lineRule="auto"/>
              <w:ind w:leftChars="0" w:right="107" w:rightChars="0" w:firstLine="256" w:firstLineChars="100"/>
              <w:jc w:val="both"/>
              <w:rPr>
                <w:rFonts w:hint="eastAsia" w:ascii="仿宋" w:hAnsi="仿宋" w:eastAsia="仿宋" w:cs="仿宋"/>
                <w:kern w:val="2"/>
                <w:sz w:val="24"/>
                <w:szCs w:val="24"/>
                <w:lang w:eastAsia="zh-CN"/>
              </w:rPr>
            </w:pPr>
            <w:r>
              <w:rPr>
                <w:rFonts w:hint="eastAsia" w:ascii="仿宋" w:hAnsi="仿宋" w:eastAsia="仿宋" w:cs="仿宋"/>
                <w:spacing w:val="8"/>
                <w:kern w:val="2"/>
                <w:position w:val="1"/>
                <w:sz w:val="24"/>
                <w:szCs w:val="24"/>
                <w:lang w:val="en-US" w:eastAsia="zh-CN"/>
              </w:rPr>
              <w:t>4）质保期内提供每周7*24小时技术支持。</w:t>
            </w:r>
          </w:p>
        </w:tc>
      </w:tr>
      <w:tr w14:paraId="02B7C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3" w:hRule="atLeast"/>
        </w:trPr>
        <w:tc>
          <w:tcPr>
            <w:tcW w:w="337" w:type="pct"/>
            <w:noWrap w:val="0"/>
            <w:vAlign w:val="center"/>
          </w:tcPr>
          <w:p w14:paraId="5EE12A1D">
            <w:pPr>
              <w:pageBreakBefore w:val="0"/>
              <w:wordWrap/>
              <w:overflowPunct/>
              <w:topLinePunct w:val="0"/>
              <w:bidi w:val="0"/>
              <w:spacing w:before="70" w:line="360" w:lineRule="auto"/>
              <w:jc w:val="center"/>
              <w:rPr>
                <w:rFonts w:hint="eastAsia" w:ascii="仿宋" w:hAnsi="仿宋" w:eastAsia="仿宋" w:cs="仿宋"/>
                <w:sz w:val="24"/>
                <w:szCs w:val="24"/>
              </w:rPr>
            </w:pPr>
            <w:r>
              <w:rPr>
                <w:rFonts w:hint="eastAsia" w:ascii="仿宋" w:hAnsi="仿宋" w:eastAsia="仿宋" w:cs="仿宋"/>
                <w:spacing w:val="-17"/>
                <w:sz w:val="24"/>
                <w:szCs w:val="24"/>
              </w:rPr>
              <w:t>2</w:t>
            </w:r>
          </w:p>
        </w:tc>
        <w:tc>
          <w:tcPr>
            <w:tcW w:w="477" w:type="pct"/>
            <w:noWrap w:val="0"/>
            <w:vAlign w:val="top"/>
          </w:tcPr>
          <w:p w14:paraId="0F6EE2C4">
            <w:pPr>
              <w:pageBreakBefore w:val="0"/>
              <w:wordWrap/>
              <w:overflowPunct/>
              <w:topLinePunct w:val="0"/>
              <w:bidi w:val="0"/>
              <w:spacing w:line="360" w:lineRule="auto"/>
              <w:rPr>
                <w:rFonts w:hint="eastAsia" w:ascii="仿宋" w:hAnsi="仿宋" w:eastAsia="仿宋" w:cs="仿宋"/>
                <w:sz w:val="24"/>
                <w:szCs w:val="24"/>
              </w:rPr>
            </w:pPr>
          </w:p>
        </w:tc>
        <w:tc>
          <w:tcPr>
            <w:tcW w:w="680" w:type="pct"/>
            <w:vMerge w:val="continue"/>
            <w:noWrap w:val="0"/>
            <w:vAlign w:val="top"/>
          </w:tcPr>
          <w:p w14:paraId="694CC121">
            <w:pPr>
              <w:pageBreakBefore w:val="0"/>
              <w:wordWrap/>
              <w:overflowPunct/>
              <w:topLinePunct w:val="0"/>
              <w:bidi w:val="0"/>
              <w:spacing w:line="360" w:lineRule="auto"/>
              <w:rPr>
                <w:rFonts w:hint="eastAsia" w:ascii="仿宋" w:hAnsi="仿宋" w:eastAsia="仿宋" w:cs="仿宋"/>
                <w:sz w:val="24"/>
                <w:szCs w:val="24"/>
              </w:rPr>
            </w:pPr>
          </w:p>
        </w:tc>
        <w:tc>
          <w:tcPr>
            <w:tcW w:w="3504" w:type="pct"/>
            <w:noWrap w:val="0"/>
            <w:vAlign w:val="top"/>
          </w:tcPr>
          <w:p w14:paraId="45F2C459">
            <w:pPr>
              <w:pStyle w:val="19"/>
              <w:pageBreakBefore w:val="0"/>
              <w:widowControl w:val="0"/>
              <w:wordWrap/>
              <w:overflowPunct/>
              <w:topLinePunct w:val="0"/>
              <w:bidi w:val="0"/>
              <w:spacing w:before="110" w:line="360" w:lineRule="auto"/>
              <w:jc w:val="both"/>
              <w:outlineLvl w:val="1"/>
              <w:rPr>
                <w:rFonts w:hint="eastAsia" w:ascii="仿宋" w:hAnsi="仿宋" w:eastAsia="仿宋" w:cs="仿宋"/>
                <w:kern w:val="2"/>
                <w:sz w:val="24"/>
                <w:szCs w:val="24"/>
                <w:lang w:eastAsia="zh-CN"/>
              </w:rPr>
            </w:pPr>
            <w:r>
              <w:rPr>
                <w:rFonts w:hint="eastAsia" w:ascii="仿宋" w:hAnsi="仿宋" w:eastAsia="仿宋" w:cs="仿宋"/>
                <w:spacing w:val="7"/>
                <w:kern w:val="2"/>
                <w:sz w:val="24"/>
                <w:szCs w:val="24"/>
                <w:lang w:eastAsia="zh-CN"/>
              </w:rPr>
              <w:t>（2）投标人质保内容</w:t>
            </w:r>
          </w:p>
          <w:p w14:paraId="521F11A1">
            <w:pPr>
              <w:pStyle w:val="19"/>
              <w:pageBreakBefore w:val="0"/>
              <w:widowControl w:val="0"/>
              <w:numPr>
                <w:ilvl w:val="0"/>
                <w:numId w:val="0"/>
              </w:numPr>
              <w:wordWrap/>
              <w:overflowPunct/>
              <w:topLinePunct w:val="0"/>
              <w:bidi w:val="0"/>
              <w:spacing w:before="105" w:line="360" w:lineRule="auto"/>
              <w:ind w:leftChars="0" w:right="107" w:rightChars="0" w:firstLine="256" w:firstLineChars="100"/>
              <w:jc w:val="both"/>
              <w:rPr>
                <w:rFonts w:hint="eastAsia" w:ascii="仿宋" w:hAnsi="仿宋" w:eastAsia="仿宋" w:cs="仿宋"/>
                <w:kern w:val="2"/>
                <w:sz w:val="24"/>
                <w:szCs w:val="24"/>
                <w:lang w:eastAsia="zh-CN"/>
              </w:rPr>
            </w:pPr>
            <w:r>
              <w:rPr>
                <w:rFonts w:hint="eastAsia" w:ascii="仿宋" w:hAnsi="仿宋" w:eastAsia="仿宋" w:cs="仿宋"/>
                <w:spacing w:val="8"/>
                <w:kern w:val="2"/>
                <w:position w:val="1"/>
                <w:sz w:val="24"/>
                <w:szCs w:val="24"/>
                <w:lang w:val="en-US" w:eastAsia="zh-CN"/>
              </w:rPr>
              <w:t>1）</w:t>
            </w:r>
            <w:r>
              <w:rPr>
                <w:rFonts w:hint="eastAsia" w:ascii="仿宋" w:hAnsi="仿宋" w:eastAsia="仿宋" w:cs="仿宋"/>
                <w:spacing w:val="9"/>
                <w:kern w:val="2"/>
                <w:sz w:val="24"/>
                <w:szCs w:val="24"/>
                <w:lang w:eastAsia="zh-CN"/>
              </w:rPr>
              <w:t>质保期内，每季度提供不少于1次巡检服务，服务范围包括但不限于现场运行状态检查、性能调优和配置调整，并提供相关报告。</w:t>
            </w:r>
          </w:p>
          <w:p w14:paraId="2407CB9F">
            <w:pPr>
              <w:pStyle w:val="19"/>
              <w:pageBreakBefore w:val="0"/>
              <w:widowControl w:val="0"/>
              <w:numPr>
                <w:ilvl w:val="0"/>
                <w:numId w:val="0"/>
              </w:numPr>
              <w:wordWrap/>
              <w:overflowPunct/>
              <w:topLinePunct w:val="0"/>
              <w:bidi w:val="0"/>
              <w:spacing w:before="11" w:line="360" w:lineRule="auto"/>
              <w:ind w:leftChars="0" w:right="109" w:rightChars="0" w:firstLine="256" w:firstLineChars="100"/>
              <w:jc w:val="both"/>
              <w:rPr>
                <w:rFonts w:hint="eastAsia" w:ascii="仿宋" w:hAnsi="仿宋" w:eastAsia="仿宋" w:cs="仿宋"/>
                <w:kern w:val="2"/>
                <w:sz w:val="24"/>
                <w:szCs w:val="24"/>
                <w:lang w:eastAsia="zh-CN"/>
              </w:rPr>
            </w:pPr>
            <w:r>
              <w:rPr>
                <w:rFonts w:hint="eastAsia" w:ascii="仿宋" w:hAnsi="仿宋" w:eastAsia="仿宋" w:cs="仿宋"/>
                <w:spacing w:val="8"/>
                <w:kern w:val="2"/>
                <w:position w:val="1"/>
                <w:sz w:val="24"/>
                <w:szCs w:val="24"/>
                <w:lang w:val="en-US" w:eastAsia="zh-CN"/>
              </w:rPr>
              <w:t>2）</w:t>
            </w:r>
            <w:r>
              <w:rPr>
                <w:rFonts w:hint="eastAsia" w:ascii="仿宋" w:hAnsi="仿宋" w:eastAsia="仿宋" w:cs="仿宋"/>
                <w:spacing w:val="12"/>
                <w:kern w:val="2"/>
                <w:sz w:val="24"/>
                <w:szCs w:val="24"/>
                <w:lang w:eastAsia="zh-CN"/>
              </w:rPr>
              <w:t>质保期内提供</w:t>
            </w:r>
            <w:r>
              <w:rPr>
                <w:rFonts w:hint="eastAsia" w:ascii="仿宋" w:hAnsi="仿宋" w:eastAsia="仿宋" w:cs="仿宋"/>
                <w:spacing w:val="12"/>
                <w:kern w:val="2"/>
                <w:sz w:val="24"/>
                <w:szCs w:val="24"/>
                <w:lang w:val="en-US" w:eastAsia="zh-CN"/>
              </w:rPr>
              <w:t>每周</w:t>
            </w:r>
            <w:r>
              <w:rPr>
                <w:rFonts w:hint="eastAsia" w:ascii="仿宋" w:hAnsi="仿宋" w:eastAsia="仿宋" w:cs="仿宋"/>
                <w:spacing w:val="12"/>
                <w:kern w:val="2"/>
                <w:sz w:val="24"/>
                <w:szCs w:val="24"/>
                <w:lang w:eastAsia="zh-CN"/>
              </w:rPr>
              <w:t>7*24小时技术支持，随时响应用户呼叫并解决所发生</w:t>
            </w:r>
            <w:r>
              <w:rPr>
                <w:rFonts w:hint="eastAsia" w:ascii="仿宋" w:hAnsi="仿宋" w:eastAsia="仿宋" w:cs="仿宋"/>
                <w:kern w:val="2"/>
                <w:sz w:val="24"/>
                <w:szCs w:val="24"/>
                <w:lang w:eastAsia="zh-CN"/>
              </w:rPr>
              <w:t>的问题。</w:t>
            </w:r>
          </w:p>
          <w:p w14:paraId="1D3A9D78">
            <w:pPr>
              <w:pStyle w:val="19"/>
              <w:pageBreakBefore w:val="0"/>
              <w:widowControl w:val="0"/>
              <w:numPr>
                <w:ilvl w:val="0"/>
                <w:numId w:val="0"/>
              </w:numPr>
              <w:wordWrap/>
              <w:overflowPunct/>
              <w:topLinePunct w:val="0"/>
              <w:bidi w:val="0"/>
              <w:spacing w:before="6" w:line="360" w:lineRule="auto"/>
              <w:ind w:leftChars="0" w:right="107" w:rightChars="0" w:firstLine="256" w:firstLineChars="100"/>
              <w:jc w:val="both"/>
              <w:rPr>
                <w:rFonts w:hint="eastAsia" w:ascii="仿宋" w:hAnsi="仿宋" w:eastAsia="仿宋" w:cs="仿宋"/>
                <w:kern w:val="2"/>
                <w:sz w:val="24"/>
                <w:szCs w:val="24"/>
                <w:lang w:eastAsia="zh-CN"/>
              </w:rPr>
            </w:pPr>
            <w:r>
              <w:rPr>
                <w:rFonts w:hint="eastAsia" w:ascii="仿宋" w:hAnsi="仿宋" w:eastAsia="仿宋" w:cs="仿宋"/>
                <w:spacing w:val="8"/>
                <w:kern w:val="2"/>
                <w:position w:val="1"/>
                <w:sz w:val="24"/>
                <w:szCs w:val="24"/>
                <w:lang w:val="en-US" w:eastAsia="zh-CN"/>
              </w:rPr>
              <w:t>3）</w:t>
            </w:r>
            <w:r>
              <w:rPr>
                <w:rFonts w:hint="eastAsia" w:ascii="仿宋" w:hAnsi="仿宋" w:eastAsia="仿宋" w:cs="仿宋"/>
                <w:spacing w:val="13"/>
                <w:kern w:val="2"/>
                <w:sz w:val="24"/>
                <w:szCs w:val="24"/>
                <w:lang w:eastAsia="zh-CN"/>
              </w:rPr>
              <w:t>所有软、硬件按质保承诺执行，质保期内免费保修（从合同最终验</w:t>
            </w:r>
            <w:r>
              <w:rPr>
                <w:rFonts w:hint="eastAsia" w:ascii="仿宋" w:hAnsi="仿宋" w:eastAsia="仿宋" w:cs="仿宋"/>
                <w:spacing w:val="7"/>
                <w:kern w:val="2"/>
                <w:sz w:val="24"/>
                <w:szCs w:val="24"/>
                <w:lang w:eastAsia="zh-CN"/>
              </w:rPr>
              <w:t>收开始计算</w:t>
            </w:r>
            <w:r>
              <w:rPr>
                <w:rFonts w:hint="eastAsia" w:ascii="仿宋" w:hAnsi="仿宋" w:eastAsia="仿宋" w:cs="仿宋"/>
                <w:spacing w:val="31"/>
                <w:kern w:val="2"/>
                <w:sz w:val="24"/>
                <w:szCs w:val="24"/>
                <w:lang w:eastAsia="zh-CN"/>
              </w:rPr>
              <w:t>），</w:t>
            </w:r>
            <w:r>
              <w:rPr>
                <w:rFonts w:hint="eastAsia" w:ascii="仿宋" w:hAnsi="仿宋" w:eastAsia="仿宋" w:cs="仿宋"/>
                <w:spacing w:val="7"/>
                <w:kern w:val="2"/>
                <w:sz w:val="24"/>
                <w:szCs w:val="24"/>
                <w:lang w:eastAsia="zh-CN"/>
              </w:rPr>
              <w:t>电话报修后4小时上门服务、12小时内排除故障。</w:t>
            </w:r>
          </w:p>
          <w:p w14:paraId="618E5F8C">
            <w:pPr>
              <w:pStyle w:val="19"/>
              <w:pageBreakBefore w:val="0"/>
              <w:widowControl w:val="0"/>
              <w:numPr>
                <w:ilvl w:val="0"/>
                <w:numId w:val="0"/>
              </w:numPr>
              <w:wordWrap/>
              <w:overflowPunct/>
              <w:topLinePunct w:val="0"/>
              <w:bidi w:val="0"/>
              <w:spacing w:before="9" w:line="360" w:lineRule="auto"/>
              <w:ind w:leftChars="0" w:firstLine="256" w:firstLineChars="100"/>
              <w:jc w:val="both"/>
              <w:rPr>
                <w:rFonts w:hint="eastAsia" w:ascii="仿宋" w:hAnsi="仿宋" w:eastAsia="仿宋" w:cs="仿宋"/>
                <w:kern w:val="2"/>
                <w:sz w:val="24"/>
                <w:szCs w:val="24"/>
                <w:lang w:eastAsia="zh-CN"/>
              </w:rPr>
            </w:pPr>
            <w:r>
              <w:rPr>
                <w:rFonts w:hint="eastAsia" w:ascii="仿宋" w:hAnsi="仿宋" w:eastAsia="仿宋" w:cs="仿宋"/>
                <w:spacing w:val="8"/>
                <w:kern w:val="2"/>
                <w:position w:val="1"/>
                <w:sz w:val="24"/>
                <w:szCs w:val="24"/>
                <w:lang w:val="en-US" w:eastAsia="zh-CN"/>
              </w:rPr>
              <w:t>4）</w:t>
            </w:r>
            <w:r>
              <w:rPr>
                <w:rFonts w:hint="eastAsia" w:ascii="仿宋" w:hAnsi="仿宋" w:eastAsia="仿宋" w:cs="仿宋"/>
                <w:spacing w:val="8"/>
                <w:kern w:val="2"/>
                <w:sz w:val="24"/>
                <w:szCs w:val="24"/>
                <w:lang w:eastAsia="zh-CN"/>
              </w:rPr>
              <w:t>本次项目中涉及的硬件产品均提供3年原厂质</w:t>
            </w:r>
            <w:r>
              <w:rPr>
                <w:rFonts w:hint="eastAsia" w:ascii="仿宋" w:hAnsi="仿宋" w:eastAsia="仿宋" w:cs="仿宋"/>
                <w:spacing w:val="8"/>
                <w:kern w:val="2"/>
                <w:sz w:val="24"/>
                <w:szCs w:val="24"/>
                <w:highlight w:val="none"/>
                <w:lang w:eastAsia="zh-CN"/>
              </w:rPr>
              <w:t>保</w:t>
            </w:r>
            <w:r>
              <w:rPr>
                <w:rFonts w:hint="eastAsia" w:ascii="仿宋" w:hAnsi="仿宋" w:eastAsia="仿宋" w:cs="仿宋"/>
                <w:bCs/>
                <w:sz w:val="24"/>
                <w:szCs w:val="24"/>
                <w:highlight w:val="none"/>
                <w:lang w:bidi="ar"/>
              </w:rPr>
              <w:t>和软件升级支持服务</w:t>
            </w:r>
            <w:r>
              <w:rPr>
                <w:rFonts w:hint="eastAsia" w:ascii="仿宋" w:hAnsi="仿宋" w:eastAsia="仿宋" w:cs="仿宋"/>
                <w:spacing w:val="8"/>
                <w:kern w:val="2"/>
                <w:sz w:val="24"/>
                <w:szCs w:val="24"/>
                <w:highlight w:val="none"/>
                <w:lang w:eastAsia="zh-CN"/>
              </w:rPr>
              <w:t>及售后服务。</w:t>
            </w:r>
          </w:p>
        </w:tc>
      </w:tr>
      <w:tr w14:paraId="71A1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3" w:hRule="atLeast"/>
        </w:trPr>
        <w:tc>
          <w:tcPr>
            <w:tcW w:w="337" w:type="pct"/>
            <w:noWrap w:val="0"/>
            <w:vAlign w:val="center"/>
          </w:tcPr>
          <w:p w14:paraId="32A86B1E">
            <w:pPr>
              <w:pageBreakBefore w:val="0"/>
              <w:wordWrap/>
              <w:overflowPunct/>
              <w:topLinePunct w:val="0"/>
              <w:bidi w:val="0"/>
              <w:spacing w:before="70" w:line="360" w:lineRule="auto"/>
              <w:jc w:val="center"/>
              <w:rPr>
                <w:rFonts w:hint="eastAsia" w:ascii="仿宋" w:hAnsi="仿宋" w:eastAsia="仿宋" w:cs="仿宋"/>
                <w:sz w:val="24"/>
                <w:szCs w:val="24"/>
              </w:rPr>
            </w:pPr>
            <w:r>
              <w:rPr>
                <w:rFonts w:hint="eastAsia" w:ascii="仿宋" w:hAnsi="仿宋" w:eastAsia="仿宋" w:cs="仿宋"/>
                <w:spacing w:val="-17"/>
                <w:sz w:val="24"/>
                <w:szCs w:val="24"/>
              </w:rPr>
              <w:t>3</w:t>
            </w:r>
          </w:p>
        </w:tc>
        <w:tc>
          <w:tcPr>
            <w:tcW w:w="477" w:type="pct"/>
            <w:noWrap w:val="0"/>
            <w:vAlign w:val="top"/>
          </w:tcPr>
          <w:p w14:paraId="28B16488">
            <w:pPr>
              <w:pageBreakBefore w:val="0"/>
              <w:wordWrap/>
              <w:overflowPunct/>
              <w:topLinePunct w:val="0"/>
              <w:bidi w:val="0"/>
              <w:spacing w:line="360" w:lineRule="auto"/>
              <w:rPr>
                <w:rFonts w:hint="eastAsia" w:ascii="仿宋" w:hAnsi="仿宋" w:eastAsia="仿宋" w:cs="仿宋"/>
                <w:sz w:val="24"/>
                <w:szCs w:val="24"/>
              </w:rPr>
            </w:pPr>
          </w:p>
        </w:tc>
        <w:tc>
          <w:tcPr>
            <w:tcW w:w="680" w:type="pct"/>
            <w:noWrap w:val="0"/>
            <w:vAlign w:val="top"/>
          </w:tcPr>
          <w:p w14:paraId="556EF725">
            <w:pPr>
              <w:pageBreakBefore w:val="0"/>
              <w:wordWrap/>
              <w:overflowPunct/>
              <w:topLinePunct w:val="0"/>
              <w:bidi w:val="0"/>
              <w:spacing w:line="360" w:lineRule="auto"/>
              <w:rPr>
                <w:rFonts w:hint="eastAsia" w:ascii="仿宋" w:hAnsi="仿宋" w:eastAsia="仿宋" w:cs="仿宋"/>
                <w:sz w:val="24"/>
                <w:szCs w:val="24"/>
              </w:rPr>
            </w:pPr>
          </w:p>
          <w:p w14:paraId="051D9F91">
            <w:pPr>
              <w:pageBreakBefore w:val="0"/>
              <w:wordWrap/>
              <w:overflowPunct/>
              <w:topLinePunct w:val="0"/>
              <w:bidi w:val="0"/>
              <w:spacing w:line="360" w:lineRule="auto"/>
              <w:rPr>
                <w:rFonts w:hint="eastAsia" w:ascii="仿宋" w:hAnsi="仿宋" w:eastAsia="仿宋" w:cs="仿宋"/>
                <w:sz w:val="24"/>
                <w:szCs w:val="24"/>
              </w:rPr>
            </w:pPr>
          </w:p>
          <w:p w14:paraId="5DD2814B">
            <w:pPr>
              <w:pageBreakBefore w:val="0"/>
              <w:wordWrap/>
              <w:overflowPunct/>
              <w:topLinePunct w:val="0"/>
              <w:bidi w:val="0"/>
              <w:spacing w:line="360" w:lineRule="auto"/>
              <w:rPr>
                <w:rFonts w:hint="eastAsia" w:ascii="仿宋" w:hAnsi="仿宋" w:eastAsia="仿宋" w:cs="仿宋"/>
                <w:sz w:val="24"/>
                <w:szCs w:val="24"/>
              </w:rPr>
            </w:pPr>
          </w:p>
          <w:p w14:paraId="586EA720">
            <w:pPr>
              <w:pageBreakBefore w:val="0"/>
              <w:wordWrap/>
              <w:overflowPunct/>
              <w:topLinePunct w:val="0"/>
              <w:bidi w:val="0"/>
              <w:spacing w:line="360" w:lineRule="auto"/>
              <w:rPr>
                <w:rFonts w:hint="eastAsia" w:ascii="仿宋" w:hAnsi="仿宋" w:eastAsia="仿宋" w:cs="仿宋"/>
                <w:sz w:val="24"/>
                <w:szCs w:val="24"/>
              </w:rPr>
            </w:pPr>
          </w:p>
          <w:p w14:paraId="6D729642">
            <w:pPr>
              <w:pageBreakBefore w:val="0"/>
              <w:wordWrap/>
              <w:overflowPunct/>
              <w:topLinePunct w:val="0"/>
              <w:bidi w:val="0"/>
              <w:spacing w:line="360" w:lineRule="auto"/>
              <w:rPr>
                <w:rFonts w:hint="eastAsia" w:ascii="仿宋" w:hAnsi="仿宋" w:eastAsia="仿宋" w:cs="仿宋"/>
                <w:sz w:val="24"/>
                <w:szCs w:val="24"/>
              </w:rPr>
            </w:pPr>
          </w:p>
          <w:p w14:paraId="270D9146">
            <w:pPr>
              <w:pageBreakBefore w:val="0"/>
              <w:wordWrap/>
              <w:overflowPunct/>
              <w:topLinePunct w:val="0"/>
              <w:bidi w:val="0"/>
              <w:spacing w:line="360" w:lineRule="auto"/>
              <w:rPr>
                <w:rFonts w:hint="eastAsia" w:ascii="仿宋" w:hAnsi="仿宋" w:eastAsia="仿宋" w:cs="仿宋"/>
                <w:sz w:val="24"/>
                <w:szCs w:val="24"/>
              </w:rPr>
            </w:pPr>
          </w:p>
          <w:p w14:paraId="63ECC6B9">
            <w:pPr>
              <w:pStyle w:val="19"/>
              <w:pageBreakBefore w:val="0"/>
              <w:widowControl w:val="0"/>
              <w:wordWrap/>
              <w:overflowPunct/>
              <w:topLinePunct w:val="0"/>
              <w:bidi w:val="0"/>
              <w:spacing w:before="65" w:line="360" w:lineRule="auto"/>
              <w:ind w:left="114" w:right="144" w:firstLine="2"/>
              <w:jc w:val="both"/>
              <w:rPr>
                <w:rFonts w:hint="eastAsia" w:ascii="仿宋" w:hAnsi="仿宋" w:eastAsia="仿宋" w:cs="仿宋"/>
                <w:kern w:val="2"/>
                <w:sz w:val="24"/>
                <w:szCs w:val="24"/>
              </w:rPr>
            </w:pPr>
            <w:r>
              <w:rPr>
                <w:rFonts w:hint="eastAsia" w:ascii="仿宋" w:hAnsi="仿宋" w:eastAsia="仿宋" w:cs="仿宋"/>
                <w:spacing w:val="7"/>
                <w:kern w:val="2"/>
                <w:sz w:val="24"/>
                <w:szCs w:val="24"/>
              </w:rPr>
              <w:t>实施项目管</w:t>
            </w:r>
            <w:r>
              <w:rPr>
                <w:rFonts w:hint="eastAsia" w:ascii="仿宋" w:hAnsi="仿宋" w:eastAsia="仿宋" w:cs="仿宋"/>
                <w:spacing w:val="6"/>
                <w:kern w:val="2"/>
                <w:sz w:val="24"/>
                <w:szCs w:val="24"/>
              </w:rPr>
              <w:t>理要求</w:t>
            </w:r>
          </w:p>
        </w:tc>
        <w:tc>
          <w:tcPr>
            <w:tcW w:w="3504" w:type="pct"/>
            <w:noWrap w:val="0"/>
            <w:vAlign w:val="top"/>
          </w:tcPr>
          <w:p w14:paraId="3C13EB34">
            <w:pPr>
              <w:pStyle w:val="19"/>
              <w:pageBreakBefore w:val="0"/>
              <w:widowControl w:val="0"/>
              <w:wordWrap/>
              <w:overflowPunct/>
              <w:topLinePunct w:val="0"/>
              <w:bidi w:val="0"/>
              <w:spacing w:before="111" w:line="360" w:lineRule="auto"/>
              <w:ind w:right="294"/>
              <w:jc w:val="both"/>
              <w:rPr>
                <w:rFonts w:hint="eastAsia" w:ascii="仿宋" w:hAnsi="仿宋" w:eastAsia="仿宋" w:cs="仿宋"/>
                <w:kern w:val="2"/>
                <w:sz w:val="24"/>
                <w:szCs w:val="24"/>
                <w:lang w:eastAsia="zh-CN"/>
              </w:rPr>
            </w:pPr>
            <w:r>
              <w:rPr>
                <w:rFonts w:hint="eastAsia" w:ascii="仿宋" w:hAnsi="仿宋" w:eastAsia="仿宋" w:cs="仿宋"/>
                <w:spacing w:val="7"/>
                <w:kern w:val="2"/>
                <w:sz w:val="24"/>
                <w:szCs w:val="24"/>
                <w:lang w:eastAsia="zh-CN"/>
              </w:rPr>
              <w:t>（</w:t>
            </w:r>
            <w:r>
              <w:rPr>
                <w:rFonts w:hint="eastAsia" w:ascii="仿宋" w:hAnsi="仿宋" w:eastAsia="仿宋" w:cs="仿宋"/>
                <w:spacing w:val="7"/>
                <w:kern w:val="2"/>
                <w:sz w:val="24"/>
                <w:szCs w:val="24"/>
                <w:lang w:val="en-US" w:eastAsia="zh-CN"/>
              </w:rPr>
              <w:t>3</w:t>
            </w:r>
            <w:r>
              <w:rPr>
                <w:rFonts w:hint="eastAsia" w:ascii="仿宋" w:hAnsi="仿宋" w:eastAsia="仿宋" w:cs="仿宋"/>
                <w:spacing w:val="7"/>
                <w:kern w:val="2"/>
                <w:sz w:val="24"/>
                <w:szCs w:val="24"/>
                <w:lang w:eastAsia="zh-CN"/>
              </w:rPr>
              <w:t>）</w:t>
            </w:r>
            <w:r>
              <w:rPr>
                <w:rFonts w:hint="eastAsia" w:ascii="仿宋" w:hAnsi="仿宋" w:eastAsia="仿宋" w:cs="仿宋"/>
                <w:spacing w:val="9"/>
                <w:kern w:val="2"/>
                <w:sz w:val="24"/>
                <w:szCs w:val="24"/>
                <w:lang w:eastAsia="zh-CN"/>
              </w:rPr>
              <w:t>项目投标人按照信息系统项目管理体系对项目实现全过程管理，确保项</w:t>
            </w:r>
            <w:r>
              <w:rPr>
                <w:rFonts w:hint="eastAsia" w:ascii="仿宋" w:hAnsi="仿宋" w:eastAsia="仿宋" w:cs="仿宋"/>
                <w:spacing w:val="5"/>
                <w:kern w:val="2"/>
                <w:sz w:val="24"/>
                <w:szCs w:val="24"/>
                <w:lang w:eastAsia="zh-CN"/>
              </w:rPr>
              <w:t>目达到预期目标。需实现：</w:t>
            </w:r>
          </w:p>
          <w:p w14:paraId="70A25D4D">
            <w:pPr>
              <w:pStyle w:val="19"/>
              <w:pageBreakBefore w:val="0"/>
              <w:widowControl w:val="0"/>
              <w:numPr>
                <w:ilvl w:val="0"/>
                <w:numId w:val="0"/>
              </w:numPr>
              <w:wordWrap/>
              <w:overflowPunct/>
              <w:topLinePunct w:val="0"/>
              <w:bidi w:val="0"/>
              <w:spacing w:before="1" w:line="360" w:lineRule="auto"/>
              <w:ind w:leftChars="0" w:right="109" w:rightChars="0" w:firstLine="256" w:firstLineChars="100"/>
              <w:jc w:val="both"/>
              <w:rPr>
                <w:rFonts w:hint="eastAsia" w:ascii="仿宋" w:hAnsi="仿宋" w:eastAsia="仿宋" w:cs="仿宋"/>
                <w:kern w:val="2"/>
                <w:sz w:val="24"/>
                <w:szCs w:val="24"/>
                <w:lang w:eastAsia="zh-CN"/>
              </w:rPr>
            </w:pPr>
            <w:r>
              <w:rPr>
                <w:rFonts w:hint="eastAsia" w:ascii="仿宋" w:hAnsi="仿宋" w:eastAsia="仿宋" w:cs="仿宋"/>
                <w:spacing w:val="8"/>
                <w:kern w:val="2"/>
                <w:position w:val="1"/>
                <w:sz w:val="24"/>
                <w:szCs w:val="24"/>
                <w:lang w:val="en-US" w:eastAsia="zh-CN"/>
              </w:rPr>
              <w:t>1）</w:t>
            </w:r>
            <w:r>
              <w:rPr>
                <w:rFonts w:hint="eastAsia" w:ascii="仿宋" w:hAnsi="仿宋" w:eastAsia="仿宋" w:cs="仿宋"/>
                <w:spacing w:val="13"/>
                <w:kern w:val="2"/>
                <w:sz w:val="24"/>
                <w:szCs w:val="24"/>
                <w:lang w:eastAsia="zh-CN"/>
              </w:rPr>
              <w:t>项目整体管理，包括：制定项目章程、制定项目管理计划、制定项</w:t>
            </w:r>
            <w:r>
              <w:rPr>
                <w:rFonts w:hint="eastAsia" w:ascii="仿宋" w:hAnsi="仿宋" w:eastAsia="仿宋" w:cs="仿宋"/>
                <w:spacing w:val="7"/>
                <w:kern w:val="2"/>
                <w:sz w:val="24"/>
                <w:szCs w:val="24"/>
                <w:lang w:eastAsia="zh-CN"/>
              </w:rPr>
              <w:t>目实施计划、监督和控制项目工作、项目收尾等；</w:t>
            </w:r>
          </w:p>
          <w:p w14:paraId="57D6C255">
            <w:pPr>
              <w:pStyle w:val="19"/>
              <w:pageBreakBefore w:val="0"/>
              <w:widowControl w:val="0"/>
              <w:numPr>
                <w:ilvl w:val="0"/>
                <w:numId w:val="0"/>
              </w:numPr>
              <w:wordWrap/>
              <w:overflowPunct/>
              <w:topLinePunct w:val="0"/>
              <w:bidi w:val="0"/>
              <w:spacing w:before="9" w:line="360" w:lineRule="auto"/>
              <w:ind w:leftChars="0" w:firstLine="256" w:firstLineChars="100"/>
              <w:jc w:val="both"/>
              <w:rPr>
                <w:rFonts w:hint="eastAsia" w:ascii="仿宋" w:hAnsi="仿宋" w:eastAsia="仿宋" w:cs="仿宋"/>
                <w:kern w:val="2"/>
                <w:sz w:val="24"/>
                <w:szCs w:val="24"/>
                <w:lang w:eastAsia="zh-CN"/>
              </w:rPr>
            </w:pPr>
            <w:r>
              <w:rPr>
                <w:rFonts w:hint="eastAsia" w:ascii="仿宋" w:hAnsi="仿宋" w:eastAsia="仿宋" w:cs="仿宋"/>
                <w:spacing w:val="8"/>
                <w:kern w:val="2"/>
                <w:position w:val="1"/>
                <w:sz w:val="24"/>
                <w:szCs w:val="24"/>
                <w:lang w:val="en-US" w:eastAsia="zh-CN"/>
              </w:rPr>
              <w:t>2）</w:t>
            </w:r>
            <w:r>
              <w:rPr>
                <w:rFonts w:hint="eastAsia" w:ascii="仿宋" w:hAnsi="仿宋" w:eastAsia="仿宋" w:cs="仿宋"/>
                <w:spacing w:val="8"/>
                <w:kern w:val="2"/>
                <w:position w:val="1"/>
                <w:sz w:val="24"/>
                <w:szCs w:val="24"/>
                <w:lang w:eastAsia="zh-CN"/>
              </w:rPr>
              <w:t>项目范围管理，包括：范围规划、范围确认、范围控制等；</w:t>
            </w:r>
          </w:p>
          <w:p w14:paraId="484B37F3">
            <w:pPr>
              <w:pStyle w:val="19"/>
              <w:pageBreakBefore w:val="0"/>
              <w:widowControl w:val="0"/>
              <w:numPr>
                <w:ilvl w:val="0"/>
                <w:numId w:val="0"/>
              </w:numPr>
              <w:wordWrap/>
              <w:overflowPunct/>
              <w:topLinePunct w:val="0"/>
              <w:bidi w:val="0"/>
              <w:spacing w:before="90" w:line="360" w:lineRule="auto"/>
              <w:ind w:leftChars="0" w:right="110" w:rightChars="0" w:firstLine="256" w:firstLineChars="100"/>
              <w:jc w:val="both"/>
              <w:rPr>
                <w:rFonts w:hint="eastAsia" w:ascii="仿宋" w:hAnsi="仿宋" w:eastAsia="仿宋" w:cs="仿宋"/>
                <w:kern w:val="2"/>
                <w:sz w:val="24"/>
                <w:szCs w:val="24"/>
                <w:lang w:eastAsia="zh-CN"/>
              </w:rPr>
            </w:pPr>
            <w:r>
              <w:rPr>
                <w:rFonts w:hint="eastAsia" w:ascii="仿宋" w:hAnsi="仿宋" w:eastAsia="仿宋" w:cs="仿宋"/>
                <w:spacing w:val="8"/>
                <w:kern w:val="2"/>
                <w:position w:val="1"/>
                <w:sz w:val="24"/>
                <w:szCs w:val="24"/>
                <w:lang w:val="en-US" w:eastAsia="zh-CN"/>
              </w:rPr>
              <w:t>3）</w:t>
            </w:r>
            <w:r>
              <w:rPr>
                <w:rFonts w:hint="eastAsia" w:ascii="仿宋" w:hAnsi="仿宋" w:eastAsia="仿宋" w:cs="仿宋"/>
                <w:spacing w:val="19"/>
                <w:kern w:val="2"/>
                <w:sz w:val="24"/>
                <w:szCs w:val="24"/>
                <w:lang w:eastAsia="zh-CN"/>
              </w:rPr>
              <w:t>项目时间管理，包括：</w:t>
            </w:r>
            <w:r>
              <w:rPr>
                <w:rFonts w:hint="eastAsia" w:ascii="仿宋" w:hAnsi="仿宋" w:eastAsia="仿宋" w:cs="仿宋"/>
                <w:spacing w:val="-55"/>
                <w:kern w:val="2"/>
                <w:sz w:val="24"/>
                <w:szCs w:val="24"/>
                <w:lang w:eastAsia="zh-CN"/>
              </w:rPr>
              <w:t xml:space="preserve"> </w:t>
            </w:r>
            <w:r>
              <w:rPr>
                <w:rFonts w:hint="eastAsia" w:ascii="仿宋" w:hAnsi="仿宋" w:eastAsia="仿宋" w:cs="仿宋"/>
                <w:spacing w:val="19"/>
                <w:kern w:val="2"/>
                <w:sz w:val="24"/>
                <w:szCs w:val="24"/>
                <w:lang w:eastAsia="zh-CN"/>
              </w:rPr>
              <w:t>排序、资源估算、历时估</w:t>
            </w:r>
            <w:r>
              <w:rPr>
                <w:rFonts w:hint="eastAsia" w:ascii="仿宋" w:hAnsi="仿宋" w:eastAsia="仿宋" w:cs="仿宋"/>
                <w:spacing w:val="18"/>
                <w:kern w:val="2"/>
                <w:sz w:val="24"/>
                <w:szCs w:val="24"/>
                <w:lang w:eastAsia="zh-CN"/>
              </w:rPr>
              <w:t>算、制定进度计</w:t>
            </w:r>
            <w:r>
              <w:rPr>
                <w:rFonts w:hint="eastAsia" w:ascii="仿宋" w:hAnsi="仿宋" w:eastAsia="仿宋" w:cs="仿宋"/>
                <w:spacing w:val="7"/>
                <w:kern w:val="2"/>
                <w:sz w:val="24"/>
                <w:szCs w:val="24"/>
                <w:lang w:eastAsia="zh-CN"/>
              </w:rPr>
              <w:t>划、进度控制等；</w:t>
            </w:r>
          </w:p>
          <w:p w14:paraId="0269423A">
            <w:pPr>
              <w:pStyle w:val="19"/>
              <w:pageBreakBefore w:val="0"/>
              <w:widowControl w:val="0"/>
              <w:numPr>
                <w:ilvl w:val="0"/>
                <w:numId w:val="0"/>
              </w:numPr>
              <w:wordWrap/>
              <w:overflowPunct/>
              <w:topLinePunct w:val="0"/>
              <w:bidi w:val="0"/>
              <w:spacing w:before="9" w:line="360" w:lineRule="auto"/>
              <w:ind w:leftChars="0" w:right="110" w:rightChars="0" w:firstLine="256" w:firstLineChars="100"/>
              <w:jc w:val="both"/>
              <w:rPr>
                <w:rFonts w:hint="eastAsia" w:ascii="仿宋" w:hAnsi="仿宋" w:eastAsia="仿宋" w:cs="仿宋"/>
                <w:kern w:val="2"/>
                <w:sz w:val="24"/>
                <w:szCs w:val="24"/>
                <w:lang w:eastAsia="zh-CN"/>
              </w:rPr>
            </w:pPr>
            <w:r>
              <w:rPr>
                <w:rFonts w:hint="eastAsia" w:ascii="仿宋" w:hAnsi="仿宋" w:eastAsia="仿宋" w:cs="仿宋"/>
                <w:spacing w:val="8"/>
                <w:kern w:val="2"/>
                <w:position w:val="1"/>
                <w:sz w:val="24"/>
                <w:szCs w:val="24"/>
                <w:lang w:val="en-US" w:eastAsia="zh-CN"/>
              </w:rPr>
              <w:t>4）</w:t>
            </w:r>
            <w:r>
              <w:rPr>
                <w:rFonts w:hint="eastAsia" w:ascii="仿宋" w:hAnsi="仿宋" w:eastAsia="仿宋" w:cs="仿宋"/>
                <w:spacing w:val="19"/>
                <w:kern w:val="2"/>
                <w:sz w:val="24"/>
                <w:szCs w:val="24"/>
                <w:lang w:eastAsia="zh-CN"/>
              </w:rPr>
              <w:t>项目质量管理，包括：</w:t>
            </w:r>
            <w:r>
              <w:rPr>
                <w:rFonts w:hint="eastAsia" w:ascii="仿宋" w:hAnsi="仿宋" w:eastAsia="仿宋" w:cs="仿宋"/>
                <w:spacing w:val="-54"/>
                <w:kern w:val="2"/>
                <w:sz w:val="24"/>
                <w:szCs w:val="24"/>
                <w:lang w:eastAsia="zh-CN"/>
              </w:rPr>
              <w:t xml:space="preserve"> </w:t>
            </w:r>
            <w:r>
              <w:rPr>
                <w:rFonts w:hint="eastAsia" w:ascii="仿宋" w:hAnsi="仿宋" w:eastAsia="仿宋" w:cs="仿宋"/>
                <w:spacing w:val="19"/>
                <w:kern w:val="2"/>
                <w:sz w:val="24"/>
                <w:szCs w:val="24"/>
                <w:lang w:eastAsia="zh-CN"/>
              </w:rPr>
              <w:t>质量规划、执行质量保</w:t>
            </w:r>
            <w:r>
              <w:rPr>
                <w:rFonts w:hint="eastAsia" w:ascii="仿宋" w:hAnsi="仿宋" w:eastAsia="仿宋" w:cs="仿宋"/>
                <w:spacing w:val="18"/>
                <w:kern w:val="2"/>
                <w:sz w:val="24"/>
                <w:szCs w:val="24"/>
                <w:lang w:eastAsia="zh-CN"/>
              </w:rPr>
              <w:t>证、执行质量控制</w:t>
            </w:r>
            <w:r>
              <w:rPr>
                <w:rFonts w:hint="eastAsia" w:ascii="仿宋" w:hAnsi="仿宋" w:eastAsia="仿宋" w:cs="仿宋"/>
                <w:spacing w:val="-1"/>
                <w:kern w:val="2"/>
                <w:sz w:val="24"/>
                <w:szCs w:val="24"/>
                <w:lang w:eastAsia="zh-CN"/>
              </w:rPr>
              <w:t>等；</w:t>
            </w:r>
          </w:p>
          <w:p w14:paraId="21D6A9E2">
            <w:pPr>
              <w:pStyle w:val="19"/>
              <w:pageBreakBefore w:val="0"/>
              <w:widowControl w:val="0"/>
              <w:numPr>
                <w:ilvl w:val="0"/>
                <w:numId w:val="0"/>
              </w:numPr>
              <w:wordWrap/>
              <w:overflowPunct/>
              <w:topLinePunct w:val="0"/>
              <w:bidi w:val="0"/>
              <w:spacing w:before="9" w:line="360" w:lineRule="auto"/>
              <w:ind w:leftChars="0" w:right="110" w:rightChars="0" w:firstLine="256" w:firstLineChars="100"/>
              <w:jc w:val="both"/>
              <w:rPr>
                <w:rFonts w:hint="eastAsia" w:ascii="仿宋" w:hAnsi="仿宋" w:eastAsia="仿宋" w:cs="仿宋"/>
                <w:spacing w:val="19"/>
                <w:kern w:val="2"/>
                <w:sz w:val="24"/>
                <w:szCs w:val="24"/>
                <w:lang w:eastAsia="zh-CN"/>
              </w:rPr>
            </w:pPr>
            <w:r>
              <w:rPr>
                <w:rFonts w:hint="eastAsia" w:ascii="仿宋" w:hAnsi="仿宋" w:eastAsia="仿宋" w:cs="仿宋"/>
                <w:spacing w:val="8"/>
                <w:kern w:val="2"/>
                <w:position w:val="1"/>
                <w:sz w:val="24"/>
                <w:szCs w:val="24"/>
                <w:lang w:val="en-US" w:eastAsia="zh-CN"/>
              </w:rPr>
              <w:t>5）</w:t>
            </w:r>
            <w:r>
              <w:rPr>
                <w:rFonts w:hint="eastAsia" w:ascii="仿宋" w:hAnsi="仿宋" w:eastAsia="仿宋" w:cs="仿宋"/>
                <w:spacing w:val="19"/>
                <w:kern w:val="2"/>
                <w:sz w:val="24"/>
                <w:szCs w:val="24"/>
                <w:lang w:eastAsia="zh-CN"/>
              </w:rPr>
              <w:t>项目人力资源管理，包括：人力资源计划编制、组建项目团队、管理项目团队等；</w:t>
            </w:r>
          </w:p>
          <w:p w14:paraId="58C00B28">
            <w:pPr>
              <w:pStyle w:val="19"/>
              <w:pageBreakBefore w:val="0"/>
              <w:widowControl w:val="0"/>
              <w:numPr>
                <w:ilvl w:val="0"/>
                <w:numId w:val="0"/>
              </w:numPr>
              <w:wordWrap/>
              <w:overflowPunct/>
              <w:topLinePunct w:val="0"/>
              <w:bidi w:val="0"/>
              <w:spacing w:before="104" w:line="360" w:lineRule="auto"/>
              <w:ind w:leftChars="0" w:right="109" w:rightChars="0" w:firstLine="256" w:firstLineChars="100"/>
              <w:jc w:val="both"/>
              <w:rPr>
                <w:rFonts w:hint="eastAsia" w:ascii="仿宋" w:hAnsi="仿宋" w:eastAsia="仿宋" w:cs="仿宋"/>
                <w:kern w:val="2"/>
                <w:sz w:val="24"/>
                <w:szCs w:val="24"/>
                <w:lang w:eastAsia="zh-CN"/>
              </w:rPr>
            </w:pPr>
            <w:r>
              <w:rPr>
                <w:rFonts w:hint="eastAsia" w:ascii="仿宋" w:hAnsi="仿宋" w:eastAsia="仿宋" w:cs="仿宋"/>
                <w:spacing w:val="8"/>
                <w:kern w:val="2"/>
                <w:position w:val="1"/>
                <w:sz w:val="24"/>
                <w:szCs w:val="24"/>
                <w:lang w:val="en-US" w:eastAsia="zh-CN"/>
              </w:rPr>
              <w:t>6）</w:t>
            </w:r>
            <w:r>
              <w:rPr>
                <w:rFonts w:hint="eastAsia" w:ascii="仿宋" w:hAnsi="仿宋" w:eastAsia="仿宋" w:cs="仿宋"/>
                <w:spacing w:val="13"/>
                <w:kern w:val="2"/>
                <w:sz w:val="24"/>
                <w:szCs w:val="24"/>
                <w:lang w:eastAsia="zh-CN"/>
              </w:rPr>
              <w:t>项目风险管理，包括：风险管理计划编制、风险识别、风险应对计</w:t>
            </w:r>
            <w:r>
              <w:rPr>
                <w:rFonts w:hint="eastAsia" w:ascii="仿宋" w:hAnsi="仿宋" w:eastAsia="仿宋" w:cs="仿宋"/>
                <w:spacing w:val="8"/>
                <w:kern w:val="2"/>
                <w:sz w:val="24"/>
                <w:szCs w:val="24"/>
                <w:lang w:eastAsia="zh-CN"/>
              </w:rPr>
              <w:t>划编制、风险监控等。</w:t>
            </w:r>
          </w:p>
          <w:p w14:paraId="323E12BF">
            <w:pPr>
              <w:pStyle w:val="19"/>
              <w:pageBreakBefore w:val="0"/>
              <w:widowControl w:val="0"/>
              <w:wordWrap/>
              <w:overflowPunct/>
              <w:topLinePunct w:val="0"/>
              <w:bidi w:val="0"/>
              <w:spacing w:before="18" w:line="360" w:lineRule="auto"/>
              <w:ind w:right="294" w:firstLine="256" w:firstLineChars="100"/>
              <w:jc w:val="both"/>
              <w:rPr>
                <w:rFonts w:hint="eastAsia" w:ascii="仿宋" w:hAnsi="仿宋" w:eastAsia="仿宋" w:cs="仿宋"/>
                <w:kern w:val="2"/>
                <w:sz w:val="24"/>
                <w:szCs w:val="24"/>
                <w:lang w:eastAsia="zh-CN"/>
              </w:rPr>
            </w:pPr>
            <w:r>
              <w:rPr>
                <w:rFonts w:hint="eastAsia" w:ascii="仿宋" w:hAnsi="仿宋" w:eastAsia="仿宋" w:cs="仿宋"/>
                <w:spacing w:val="8"/>
                <w:kern w:val="2"/>
                <w:position w:val="1"/>
                <w:sz w:val="24"/>
                <w:szCs w:val="24"/>
                <w:lang w:val="en-US" w:eastAsia="zh-CN"/>
              </w:rPr>
              <w:t>7）</w:t>
            </w:r>
            <w:r>
              <w:rPr>
                <w:rFonts w:hint="eastAsia" w:ascii="仿宋" w:hAnsi="仿宋" w:eastAsia="仿宋" w:cs="仿宋"/>
                <w:spacing w:val="9"/>
                <w:kern w:val="2"/>
                <w:sz w:val="24"/>
                <w:szCs w:val="24"/>
                <w:lang w:eastAsia="zh-CN"/>
              </w:rPr>
              <w:t>项目投标人应组织完成本项目的部署实施方案规划及实施工作，组织完</w:t>
            </w:r>
            <w:r>
              <w:rPr>
                <w:rFonts w:hint="eastAsia" w:ascii="仿宋" w:hAnsi="仿宋" w:eastAsia="仿宋" w:cs="仿宋"/>
                <w:spacing w:val="8"/>
                <w:kern w:val="2"/>
                <w:sz w:val="24"/>
                <w:szCs w:val="24"/>
                <w:lang w:eastAsia="zh-CN"/>
              </w:rPr>
              <w:t>成各项软、硬件的集成、安装、调试工作。</w:t>
            </w:r>
          </w:p>
          <w:p w14:paraId="0242C61C">
            <w:pPr>
              <w:pStyle w:val="19"/>
              <w:pageBreakBefore w:val="0"/>
              <w:widowControl w:val="0"/>
              <w:wordWrap/>
              <w:overflowPunct/>
              <w:topLinePunct w:val="0"/>
              <w:bidi w:val="0"/>
              <w:spacing w:before="1" w:line="360" w:lineRule="auto"/>
              <w:ind w:right="294" w:firstLine="256" w:firstLineChars="100"/>
              <w:jc w:val="both"/>
              <w:rPr>
                <w:rFonts w:hint="eastAsia" w:ascii="仿宋" w:hAnsi="仿宋" w:eastAsia="仿宋" w:cs="仿宋"/>
                <w:kern w:val="2"/>
                <w:sz w:val="24"/>
                <w:szCs w:val="24"/>
                <w:lang w:eastAsia="zh-CN"/>
              </w:rPr>
            </w:pPr>
            <w:r>
              <w:rPr>
                <w:rFonts w:hint="eastAsia" w:ascii="仿宋" w:hAnsi="仿宋" w:eastAsia="仿宋" w:cs="仿宋"/>
                <w:spacing w:val="8"/>
                <w:kern w:val="2"/>
                <w:position w:val="1"/>
                <w:sz w:val="24"/>
                <w:szCs w:val="24"/>
                <w:lang w:val="en-US" w:eastAsia="zh-CN"/>
              </w:rPr>
              <w:t>8）</w:t>
            </w:r>
            <w:r>
              <w:rPr>
                <w:rFonts w:hint="eastAsia" w:ascii="仿宋" w:hAnsi="仿宋" w:eastAsia="仿宋" w:cs="仿宋"/>
                <w:spacing w:val="9"/>
                <w:kern w:val="2"/>
                <w:sz w:val="24"/>
                <w:szCs w:val="24"/>
                <w:lang w:eastAsia="zh-CN"/>
              </w:rPr>
              <w:t>项目投标人应根据现场实际环境情况，经院方相关部门确认后详细编写</w:t>
            </w:r>
            <w:r>
              <w:rPr>
                <w:rFonts w:hint="eastAsia" w:ascii="仿宋" w:hAnsi="仿宋" w:eastAsia="仿宋" w:cs="仿宋"/>
                <w:spacing w:val="10"/>
                <w:kern w:val="2"/>
                <w:sz w:val="24"/>
                <w:szCs w:val="24"/>
                <w:lang w:eastAsia="zh-CN"/>
              </w:rPr>
              <w:t>项目实施方案，并严格参照实施。在项目实</w:t>
            </w:r>
            <w:r>
              <w:rPr>
                <w:rFonts w:hint="eastAsia" w:ascii="仿宋" w:hAnsi="仿宋" w:eastAsia="仿宋" w:cs="仿宋"/>
                <w:spacing w:val="9"/>
                <w:kern w:val="2"/>
                <w:sz w:val="24"/>
                <w:szCs w:val="24"/>
                <w:lang w:eastAsia="zh-CN"/>
              </w:rPr>
              <w:t>施各阶段，按医院要求提供相应</w:t>
            </w:r>
            <w:r>
              <w:rPr>
                <w:rFonts w:hint="eastAsia" w:ascii="仿宋" w:hAnsi="仿宋" w:eastAsia="仿宋" w:cs="仿宋"/>
                <w:spacing w:val="6"/>
                <w:kern w:val="2"/>
                <w:sz w:val="24"/>
                <w:szCs w:val="24"/>
                <w:lang w:eastAsia="zh-CN"/>
              </w:rPr>
              <w:t>的项目文档。</w:t>
            </w:r>
          </w:p>
          <w:p w14:paraId="36D79BBB">
            <w:pPr>
              <w:pStyle w:val="19"/>
              <w:pageBreakBefore w:val="0"/>
              <w:widowControl w:val="0"/>
              <w:wordWrap/>
              <w:overflowPunct/>
              <w:topLinePunct w:val="0"/>
              <w:bidi w:val="0"/>
              <w:spacing w:before="1" w:line="360" w:lineRule="auto"/>
              <w:ind w:right="294" w:firstLine="256" w:firstLineChars="100"/>
              <w:jc w:val="both"/>
              <w:rPr>
                <w:rFonts w:hint="eastAsia" w:ascii="仿宋" w:hAnsi="仿宋" w:eastAsia="仿宋" w:cs="仿宋"/>
                <w:spacing w:val="13"/>
                <w:kern w:val="2"/>
                <w:sz w:val="24"/>
                <w:szCs w:val="24"/>
                <w:lang w:eastAsia="zh-CN"/>
              </w:rPr>
            </w:pPr>
            <w:r>
              <w:rPr>
                <w:rFonts w:hint="eastAsia" w:ascii="仿宋" w:hAnsi="仿宋" w:eastAsia="仿宋" w:cs="仿宋"/>
                <w:spacing w:val="8"/>
                <w:kern w:val="2"/>
                <w:position w:val="1"/>
                <w:sz w:val="24"/>
                <w:szCs w:val="24"/>
                <w:lang w:val="en-US" w:eastAsia="zh-CN"/>
              </w:rPr>
              <w:t>9）</w:t>
            </w:r>
            <w:r>
              <w:rPr>
                <w:rFonts w:hint="eastAsia" w:ascii="仿宋" w:hAnsi="仿宋" w:eastAsia="仿宋" w:cs="仿宋"/>
                <w:spacing w:val="9"/>
                <w:kern w:val="2"/>
                <w:sz w:val="24"/>
                <w:szCs w:val="24"/>
                <w:lang w:eastAsia="zh-CN"/>
              </w:rPr>
              <w:t>项目投标人应针对本项目配备专业的实施团队，负责在项目实施过程中保持项目团队成员稳定，协调、统一项目各软、硬件厂商之间的进度，按照建设单位的要求开展工作。投标人应成立专门的项目实施小组，并提供本项目组织结构图，说明各角色的职责、人员姓名、人员数量。</w:t>
            </w:r>
          </w:p>
        </w:tc>
      </w:tr>
      <w:tr w14:paraId="1263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7" w:hRule="atLeast"/>
        </w:trPr>
        <w:tc>
          <w:tcPr>
            <w:tcW w:w="337" w:type="pct"/>
            <w:noWrap w:val="0"/>
            <w:vAlign w:val="center"/>
          </w:tcPr>
          <w:p w14:paraId="21B2CCCA">
            <w:pPr>
              <w:pageBreakBefore w:val="0"/>
              <w:wordWrap/>
              <w:overflowPunct/>
              <w:topLinePunct w:val="0"/>
              <w:bidi w:val="0"/>
              <w:spacing w:before="70" w:line="360" w:lineRule="auto"/>
              <w:jc w:val="center"/>
              <w:rPr>
                <w:rFonts w:hint="eastAsia" w:ascii="仿宋" w:hAnsi="仿宋" w:eastAsia="仿宋" w:cs="仿宋"/>
                <w:spacing w:val="-17"/>
                <w:sz w:val="24"/>
                <w:szCs w:val="24"/>
              </w:rPr>
            </w:pPr>
            <w:r>
              <w:rPr>
                <w:rFonts w:hint="eastAsia" w:ascii="仿宋" w:hAnsi="仿宋" w:eastAsia="仿宋" w:cs="仿宋"/>
                <w:spacing w:val="-11"/>
                <w:w w:val="95"/>
                <w:sz w:val="24"/>
                <w:szCs w:val="24"/>
              </w:rPr>
              <w:t>4</w:t>
            </w:r>
          </w:p>
        </w:tc>
        <w:tc>
          <w:tcPr>
            <w:tcW w:w="477" w:type="pct"/>
            <w:noWrap w:val="0"/>
            <w:vAlign w:val="center"/>
          </w:tcPr>
          <w:p w14:paraId="29C0A747">
            <w:pPr>
              <w:pageBreakBefore w:val="0"/>
              <w:wordWrap/>
              <w:overflowPunct/>
              <w:topLinePunct w:val="0"/>
              <w:bidi w:val="0"/>
              <w:spacing w:line="360" w:lineRule="auto"/>
              <w:jc w:val="center"/>
              <w:rPr>
                <w:rFonts w:hint="eastAsia" w:ascii="仿宋" w:hAnsi="仿宋" w:eastAsia="仿宋" w:cs="仿宋"/>
                <w:sz w:val="24"/>
                <w:szCs w:val="24"/>
              </w:rPr>
            </w:pPr>
          </w:p>
        </w:tc>
        <w:tc>
          <w:tcPr>
            <w:tcW w:w="680" w:type="pct"/>
            <w:noWrap w:val="0"/>
            <w:vAlign w:val="center"/>
          </w:tcPr>
          <w:p w14:paraId="2DA31D56">
            <w:pPr>
              <w:pStyle w:val="19"/>
              <w:pageBreakBefore w:val="0"/>
              <w:widowControl w:val="0"/>
              <w:wordWrap/>
              <w:overflowPunct/>
              <w:topLinePunct w:val="0"/>
              <w:bidi w:val="0"/>
              <w:spacing w:before="256" w:line="360" w:lineRule="auto"/>
              <w:ind w:left="112"/>
              <w:jc w:val="center"/>
              <w:rPr>
                <w:rFonts w:hint="eastAsia" w:ascii="仿宋" w:hAnsi="仿宋" w:eastAsia="仿宋" w:cs="仿宋"/>
                <w:spacing w:val="7"/>
                <w:kern w:val="2"/>
                <w:sz w:val="24"/>
                <w:szCs w:val="24"/>
              </w:rPr>
            </w:pPr>
            <w:r>
              <w:rPr>
                <w:rFonts w:hint="eastAsia" w:ascii="仿宋" w:hAnsi="仿宋" w:eastAsia="仿宋" w:cs="仿宋"/>
                <w:spacing w:val="7"/>
                <w:kern w:val="2"/>
                <w:sz w:val="24"/>
                <w:szCs w:val="24"/>
              </w:rPr>
              <w:t>供货要求</w:t>
            </w:r>
          </w:p>
        </w:tc>
        <w:tc>
          <w:tcPr>
            <w:tcW w:w="3504" w:type="pct"/>
            <w:noWrap w:val="0"/>
            <w:vAlign w:val="center"/>
          </w:tcPr>
          <w:p w14:paraId="523E0376">
            <w:pPr>
              <w:pStyle w:val="19"/>
              <w:pageBreakBefore w:val="0"/>
              <w:widowControl w:val="0"/>
              <w:wordWrap/>
              <w:overflowPunct/>
              <w:topLinePunct w:val="0"/>
              <w:bidi w:val="0"/>
              <w:spacing w:before="111" w:line="360" w:lineRule="auto"/>
              <w:ind w:left="114" w:right="294" w:firstLine="1"/>
              <w:jc w:val="center"/>
              <w:rPr>
                <w:rFonts w:hint="default" w:ascii="仿宋" w:hAnsi="仿宋" w:eastAsia="仿宋" w:cs="仿宋"/>
                <w:spacing w:val="9"/>
                <w:kern w:val="2"/>
                <w:sz w:val="24"/>
                <w:szCs w:val="24"/>
                <w:lang w:val="en-US" w:eastAsia="zh-CN"/>
              </w:rPr>
            </w:pPr>
            <w:r>
              <w:rPr>
                <w:rFonts w:hint="eastAsia" w:ascii="仿宋" w:hAnsi="仿宋" w:eastAsia="仿宋" w:cs="仿宋"/>
                <w:spacing w:val="10"/>
                <w:kern w:val="2"/>
                <w:sz w:val="24"/>
                <w:szCs w:val="24"/>
                <w:lang w:val="en-US" w:eastAsia="zh-CN"/>
              </w:rPr>
              <w:t>按照招标文件列明的“</w:t>
            </w:r>
            <w:r>
              <w:rPr>
                <w:rFonts w:hint="eastAsia" w:ascii="仿宋" w:hAnsi="仿宋" w:eastAsia="仿宋" w:cs="仿宋"/>
                <w:spacing w:val="7"/>
                <w:kern w:val="2"/>
                <w:sz w:val="24"/>
                <w:szCs w:val="24"/>
              </w:rPr>
              <w:t>交货时间及</w:t>
            </w:r>
            <w:r>
              <w:rPr>
                <w:rFonts w:hint="eastAsia" w:ascii="仿宋" w:hAnsi="仿宋" w:eastAsia="仿宋" w:cs="仿宋"/>
                <w:spacing w:val="4"/>
                <w:kern w:val="2"/>
                <w:sz w:val="24"/>
                <w:szCs w:val="24"/>
              </w:rPr>
              <w:t>地点</w:t>
            </w:r>
            <w:r>
              <w:rPr>
                <w:rFonts w:hint="eastAsia" w:ascii="仿宋" w:hAnsi="仿宋" w:eastAsia="仿宋" w:cs="仿宋"/>
                <w:spacing w:val="10"/>
                <w:kern w:val="2"/>
                <w:sz w:val="24"/>
                <w:szCs w:val="24"/>
                <w:lang w:val="en-US" w:eastAsia="zh-CN"/>
              </w:rPr>
              <w:t>”进行供货。</w:t>
            </w:r>
          </w:p>
        </w:tc>
      </w:tr>
      <w:tr w14:paraId="25090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43" w:hRule="atLeast"/>
        </w:trPr>
        <w:tc>
          <w:tcPr>
            <w:tcW w:w="337" w:type="pct"/>
            <w:noWrap w:val="0"/>
            <w:vAlign w:val="center"/>
          </w:tcPr>
          <w:p w14:paraId="51AF595F">
            <w:pPr>
              <w:pageBreakBefore w:val="0"/>
              <w:wordWrap/>
              <w:overflowPunct/>
              <w:topLinePunct w:val="0"/>
              <w:bidi w:val="0"/>
              <w:spacing w:before="70" w:line="360" w:lineRule="auto"/>
              <w:jc w:val="center"/>
              <w:rPr>
                <w:rFonts w:hint="eastAsia" w:ascii="仿宋" w:hAnsi="仿宋" w:eastAsia="仿宋" w:cs="仿宋"/>
                <w:spacing w:val="-11"/>
                <w:w w:val="95"/>
                <w:sz w:val="24"/>
                <w:szCs w:val="24"/>
              </w:rPr>
            </w:pPr>
            <w:r>
              <w:rPr>
                <w:rFonts w:hint="eastAsia" w:ascii="仿宋" w:hAnsi="仿宋" w:eastAsia="仿宋" w:cs="仿宋"/>
                <w:spacing w:val="-17"/>
                <w:sz w:val="24"/>
                <w:szCs w:val="24"/>
              </w:rPr>
              <w:t>5</w:t>
            </w:r>
          </w:p>
        </w:tc>
        <w:tc>
          <w:tcPr>
            <w:tcW w:w="477" w:type="pct"/>
            <w:noWrap w:val="0"/>
            <w:vAlign w:val="top"/>
          </w:tcPr>
          <w:p w14:paraId="7DCE7978">
            <w:pPr>
              <w:pageBreakBefore w:val="0"/>
              <w:wordWrap/>
              <w:overflowPunct/>
              <w:topLinePunct w:val="0"/>
              <w:bidi w:val="0"/>
              <w:spacing w:line="360" w:lineRule="auto"/>
              <w:rPr>
                <w:rFonts w:hint="eastAsia" w:ascii="仿宋" w:hAnsi="仿宋" w:eastAsia="仿宋" w:cs="仿宋"/>
                <w:sz w:val="24"/>
                <w:szCs w:val="24"/>
              </w:rPr>
            </w:pPr>
          </w:p>
        </w:tc>
        <w:tc>
          <w:tcPr>
            <w:tcW w:w="680" w:type="pct"/>
            <w:noWrap w:val="0"/>
            <w:vAlign w:val="top"/>
          </w:tcPr>
          <w:p w14:paraId="6CC0706C">
            <w:pPr>
              <w:pageBreakBefore w:val="0"/>
              <w:wordWrap/>
              <w:overflowPunct/>
              <w:topLinePunct w:val="0"/>
              <w:bidi w:val="0"/>
              <w:spacing w:line="360" w:lineRule="auto"/>
              <w:rPr>
                <w:rFonts w:hint="eastAsia" w:ascii="仿宋" w:hAnsi="仿宋" w:eastAsia="仿宋" w:cs="仿宋"/>
                <w:sz w:val="24"/>
                <w:szCs w:val="24"/>
              </w:rPr>
            </w:pPr>
          </w:p>
          <w:p w14:paraId="7219D015">
            <w:pPr>
              <w:pageBreakBefore w:val="0"/>
              <w:wordWrap/>
              <w:overflowPunct/>
              <w:topLinePunct w:val="0"/>
              <w:bidi w:val="0"/>
              <w:spacing w:line="360" w:lineRule="auto"/>
              <w:rPr>
                <w:rFonts w:hint="eastAsia" w:ascii="仿宋" w:hAnsi="仿宋" w:eastAsia="仿宋" w:cs="仿宋"/>
                <w:sz w:val="24"/>
                <w:szCs w:val="24"/>
              </w:rPr>
            </w:pPr>
          </w:p>
          <w:p w14:paraId="1A431467">
            <w:pPr>
              <w:pageBreakBefore w:val="0"/>
              <w:wordWrap/>
              <w:overflowPunct/>
              <w:topLinePunct w:val="0"/>
              <w:bidi w:val="0"/>
              <w:spacing w:line="360" w:lineRule="auto"/>
              <w:rPr>
                <w:rFonts w:hint="eastAsia" w:ascii="仿宋" w:hAnsi="仿宋" w:eastAsia="仿宋" w:cs="仿宋"/>
                <w:sz w:val="24"/>
                <w:szCs w:val="24"/>
              </w:rPr>
            </w:pPr>
          </w:p>
          <w:p w14:paraId="4F92A8B6">
            <w:pPr>
              <w:pStyle w:val="19"/>
              <w:pageBreakBefore w:val="0"/>
              <w:widowControl w:val="0"/>
              <w:wordWrap/>
              <w:overflowPunct/>
              <w:topLinePunct w:val="0"/>
              <w:bidi w:val="0"/>
              <w:spacing w:before="65" w:line="360" w:lineRule="auto"/>
              <w:ind w:left="112" w:right="144"/>
              <w:jc w:val="both"/>
              <w:rPr>
                <w:rFonts w:hint="eastAsia" w:ascii="仿宋" w:hAnsi="仿宋" w:eastAsia="仿宋" w:cs="仿宋"/>
                <w:spacing w:val="7"/>
                <w:kern w:val="2"/>
                <w:sz w:val="24"/>
                <w:szCs w:val="24"/>
              </w:rPr>
            </w:pPr>
            <w:r>
              <w:rPr>
                <w:rFonts w:hint="eastAsia" w:ascii="仿宋" w:hAnsi="仿宋" w:eastAsia="仿宋" w:cs="仿宋"/>
                <w:spacing w:val="7"/>
                <w:kern w:val="2"/>
                <w:sz w:val="24"/>
                <w:szCs w:val="24"/>
              </w:rPr>
              <w:t>培训要求</w:t>
            </w:r>
          </w:p>
        </w:tc>
        <w:tc>
          <w:tcPr>
            <w:tcW w:w="3504" w:type="pct"/>
            <w:noWrap w:val="0"/>
            <w:vAlign w:val="top"/>
          </w:tcPr>
          <w:p w14:paraId="2EEB8F0A">
            <w:pPr>
              <w:pStyle w:val="19"/>
              <w:pageBreakBefore w:val="0"/>
              <w:widowControl w:val="0"/>
              <w:wordWrap/>
              <w:overflowPunct/>
              <w:topLinePunct w:val="0"/>
              <w:bidi w:val="0"/>
              <w:spacing w:before="110" w:line="360" w:lineRule="auto"/>
              <w:ind w:left="117" w:right="294" w:hanging="5"/>
              <w:jc w:val="both"/>
              <w:rPr>
                <w:rFonts w:hint="eastAsia" w:ascii="仿宋" w:hAnsi="仿宋" w:eastAsia="仿宋" w:cs="仿宋"/>
                <w:kern w:val="2"/>
                <w:sz w:val="24"/>
                <w:szCs w:val="24"/>
                <w:lang w:eastAsia="zh-CN"/>
              </w:rPr>
            </w:pPr>
            <w:r>
              <w:rPr>
                <w:rFonts w:hint="eastAsia" w:ascii="仿宋" w:hAnsi="仿宋" w:eastAsia="仿宋" w:cs="仿宋"/>
                <w:spacing w:val="10"/>
                <w:kern w:val="2"/>
                <w:sz w:val="24"/>
                <w:szCs w:val="24"/>
                <w:lang w:eastAsia="zh-CN"/>
              </w:rPr>
              <w:t>通过培训使建设单位的相关人员充分掌握系统的结</w:t>
            </w:r>
            <w:r>
              <w:rPr>
                <w:rFonts w:hint="eastAsia" w:ascii="仿宋" w:hAnsi="仿宋" w:eastAsia="仿宋" w:cs="仿宋"/>
                <w:spacing w:val="9"/>
                <w:kern w:val="2"/>
                <w:sz w:val="24"/>
                <w:szCs w:val="24"/>
                <w:lang w:eastAsia="zh-CN"/>
              </w:rPr>
              <w:t>构原理、安装调试，熟练掌握系统的操作和使用方法，能独立进行设备的日常维护保养及具备排除系</w:t>
            </w:r>
            <w:r>
              <w:rPr>
                <w:rFonts w:hint="eastAsia" w:ascii="仿宋" w:hAnsi="仿宋" w:eastAsia="仿宋" w:cs="仿宋"/>
                <w:spacing w:val="7"/>
                <w:kern w:val="2"/>
                <w:sz w:val="24"/>
                <w:szCs w:val="24"/>
                <w:lang w:eastAsia="zh-CN"/>
              </w:rPr>
              <w:t>统设备故障的能力。</w:t>
            </w:r>
          </w:p>
          <w:p w14:paraId="68620C21">
            <w:pPr>
              <w:pStyle w:val="19"/>
              <w:pageBreakBefore w:val="0"/>
              <w:widowControl w:val="0"/>
              <w:wordWrap/>
              <w:overflowPunct/>
              <w:topLinePunct w:val="0"/>
              <w:bidi w:val="0"/>
              <w:spacing w:line="360" w:lineRule="auto"/>
              <w:ind w:left="121"/>
              <w:jc w:val="both"/>
              <w:rPr>
                <w:rFonts w:hint="eastAsia" w:ascii="仿宋" w:hAnsi="仿宋" w:eastAsia="仿宋" w:cs="仿宋"/>
                <w:kern w:val="2"/>
                <w:sz w:val="24"/>
                <w:szCs w:val="24"/>
                <w:lang w:eastAsia="zh-CN"/>
              </w:rPr>
            </w:pPr>
            <w:r>
              <w:rPr>
                <w:rFonts w:hint="eastAsia" w:ascii="仿宋" w:hAnsi="仿宋" w:eastAsia="仿宋" w:cs="仿宋"/>
                <w:spacing w:val="8"/>
                <w:kern w:val="2"/>
                <w:position w:val="1"/>
                <w:sz w:val="24"/>
                <w:szCs w:val="24"/>
                <w:lang w:eastAsia="zh-CN"/>
              </w:rPr>
              <w:t>培训方式：项目实施竣工后使用注意事项培训。</w:t>
            </w:r>
          </w:p>
          <w:p w14:paraId="25B790A5">
            <w:pPr>
              <w:pStyle w:val="19"/>
              <w:pageBreakBefore w:val="0"/>
              <w:widowControl w:val="0"/>
              <w:wordWrap/>
              <w:overflowPunct/>
              <w:topLinePunct w:val="0"/>
              <w:bidi w:val="0"/>
              <w:spacing w:before="90" w:line="360" w:lineRule="auto"/>
              <w:ind w:left="121"/>
              <w:jc w:val="both"/>
              <w:rPr>
                <w:rFonts w:hint="eastAsia" w:ascii="仿宋" w:hAnsi="仿宋" w:eastAsia="仿宋" w:cs="仿宋"/>
                <w:kern w:val="2"/>
                <w:sz w:val="24"/>
                <w:szCs w:val="24"/>
                <w:lang w:eastAsia="zh-CN"/>
              </w:rPr>
            </w:pPr>
            <w:r>
              <w:rPr>
                <w:rFonts w:hint="eastAsia" w:ascii="仿宋" w:hAnsi="仿宋" w:eastAsia="仿宋" w:cs="仿宋"/>
                <w:spacing w:val="8"/>
                <w:kern w:val="2"/>
                <w:position w:val="1"/>
                <w:sz w:val="24"/>
                <w:szCs w:val="24"/>
                <w:lang w:eastAsia="zh-CN"/>
              </w:rPr>
              <w:t>培训内容：包括但不限于本项目涉及的各个系统。</w:t>
            </w:r>
          </w:p>
          <w:p w14:paraId="250A2C18">
            <w:pPr>
              <w:pStyle w:val="19"/>
              <w:pageBreakBefore w:val="0"/>
              <w:widowControl w:val="0"/>
              <w:wordWrap/>
              <w:overflowPunct/>
              <w:topLinePunct w:val="0"/>
              <w:bidi w:val="0"/>
              <w:spacing w:before="91" w:line="360" w:lineRule="auto"/>
              <w:ind w:left="121"/>
              <w:jc w:val="both"/>
              <w:rPr>
                <w:rFonts w:hint="eastAsia" w:ascii="仿宋" w:hAnsi="仿宋" w:eastAsia="仿宋" w:cs="仿宋"/>
                <w:kern w:val="2"/>
                <w:sz w:val="24"/>
                <w:szCs w:val="24"/>
                <w:lang w:eastAsia="zh-CN"/>
              </w:rPr>
            </w:pPr>
            <w:r>
              <w:rPr>
                <w:rFonts w:hint="eastAsia" w:ascii="仿宋" w:hAnsi="仿宋" w:eastAsia="仿宋" w:cs="仿宋"/>
                <w:spacing w:val="6"/>
                <w:kern w:val="2"/>
                <w:position w:val="1"/>
                <w:sz w:val="24"/>
                <w:szCs w:val="24"/>
                <w:lang w:eastAsia="zh-CN"/>
              </w:rPr>
              <w:t>培训时间及人次：不限人次。</w:t>
            </w:r>
          </w:p>
          <w:p w14:paraId="28C3F84E">
            <w:pPr>
              <w:pStyle w:val="19"/>
              <w:pageBreakBefore w:val="0"/>
              <w:widowControl w:val="0"/>
              <w:wordWrap/>
              <w:overflowPunct/>
              <w:topLinePunct w:val="0"/>
              <w:bidi w:val="0"/>
              <w:spacing w:before="90" w:line="360" w:lineRule="auto"/>
              <w:ind w:left="121"/>
              <w:jc w:val="both"/>
              <w:rPr>
                <w:rFonts w:hint="eastAsia" w:ascii="仿宋" w:hAnsi="仿宋" w:eastAsia="仿宋" w:cs="仿宋"/>
                <w:spacing w:val="8"/>
                <w:kern w:val="2"/>
                <w:sz w:val="24"/>
                <w:szCs w:val="24"/>
                <w:lang w:eastAsia="zh-CN"/>
              </w:rPr>
            </w:pPr>
            <w:r>
              <w:rPr>
                <w:rFonts w:hint="eastAsia" w:ascii="仿宋" w:hAnsi="仿宋" w:eastAsia="仿宋" w:cs="仿宋"/>
                <w:spacing w:val="8"/>
                <w:kern w:val="2"/>
                <w:sz w:val="24"/>
                <w:szCs w:val="24"/>
                <w:lang w:eastAsia="zh-CN"/>
              </w:rPr>
              <w:t>培训计划：需制定一套详细、针对性、实用性的培训计划。</w:t>
            </w:r>
          </w:p>
        </w:tc>
      </w:tr>
      <w:tr w14:paraId="22673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6" w:hRule="atLeast"/>
        </w:trPr>
        <w:tc>
          <w:tcPr>
            <w:tcW w:w="337" w:type="pct"/>
            <w:noWrap w:val="0"/>
            <w:vAlign w:val="center"/>
          </w:tcPr>
          <w:p w14:paraId="22B4825F">
            <w:pPr>
              <w:pageBreakBefore w:val="0"/>
              <w:wordWrap/>
              <w:overflowPunct/>
              <w:topLinePunct w:val="0"/>
              <w:bidi w:val="0"/>
              <w:spacing w:before="71" w:line="360" w:lineRule="auto"/>
              <w:jc w:val="center"/>
              <w:rPr>
                <w:rFonts w:hint="eastAsia" w:ascii="仿宋" w:hAnsi="仿宋" w:eastAsia="仿宋" w:cs="仿宋"/>
                <w:spacing w:val="-17"/>
                <w:sz w:val="24"/>
                <w:szCs w:val="24"/>
              </w:rPr>
            </w:pPr>
            <w:r>
              <w:rPr>
                <w:rFonts w:hint="eastAsia" w:ascii="仿宋" w:hAnsi="仿宋" w:eastAsia="仿宋" w:cs="仿宋"/>
                <w:spacing w:val="-13"/>
                <w:w w:val="97"/>
                <w:sz w:val="24"/>
                <w:szCs w:val="24"/>
              </w:rPr>
              <w:t>6</w:t>
            </w:r>
          </w:p>
        </w:tc>
        <w:tc>
          <w:tcPr>
            <w:tcW w:w="477" w:type="pct"/>
            <w:noWrap w:val="0"/>
            <w:vAlign w:val="top"/>
          </w:tcPr>
          <w:p w14:paraId="7BA0DA75">
            <w:pPr>
              <w:pageBreakBefore w:val="0"/>
              <w:wordWrap/>
              <w:overflowPunct/>
              <w:topLinePunct w:val="0"/>
              <w:bidi w:val="0"/>
              <w:spacing w:line="360" w:lineRule="auto"/>
              <w:rPr>
                <w:rFonts w:hint="eastAsia" w:ascii="仿宋" w:hAnsi="仿宋" w:eastAsia="仿宋" w:cs="仿宋"/>
                <w:sz w:val="24"/>
                <w:szCs w:val="24"/>
              </w:rPr>
            </w:pPr>
          </w:p>
        </w:tc>
        <w:tc>
          <w:tcPr>
            <w:tcW w:w="680" w:type="pct"/>
            <w:noWrap w:val="0"/>
            <w:vAlign w:val="top"/>
          </w:tcPr>
          <w:p w14:paraId="2E53AF61">
            <w:pPr>
              <w:pStyle w:val="19"/>
              <w:pageBreakBefore w:val="0"/>
              <w:widowControl w:val="0"/>
              <w:wordWrap/>
              <w:overflowPunct/>
              <w:topLinePunct w:val="0"/>
              <w:bidi w:val="0"/>
              <w:spacing w:before="306" w:line="360" w:lineRule="auto"/>
              <w:ind w:left="112" w:right="144" w:firstLine="4"/>
              <w:jc w:val="both"/>
              <w:rPr>
                <w:rFonts w:hint="eastAsia" w:ascii="仿宋" w:hAnsi="仿宋" w:eastAsia="仿宋" w:cs="仿宋"/>
                <w:spacing w:val="8"/>
                <w:kern w:val="2"/>
                <w:sz w:val="24"/>
                <w:szCs w:val="24"/>
              </w:rPr>
            </w:pPr>
            <w:r>
              <w:rPr>
                <w:rFonts w:hint="eastAsia" w:ascii="仿宋" w:hAnsi="仿宋" w:eastAsia="仿宋" w:cs="仿宋"/>
                <w:spacing w:val="7"/>
                <w:kern w:val="2"/>
                <w:sz w:val="24"/>
                <w:szCs w:val="24"/>
              </w:rPr>
              <w:t>交货时间及</w:t>
            </w:r>
            <w:r>
              <w:rPr>
                <w:rFonts w:hint="eastAsia" w:ascii="仿宋" w:hAnsi="仿宋" w:eastAsia="仿宋" w:cs="仿宋"/>
                <w:spacing w:val="4"/>
                <w:kern w:val="2"/>
                <w:sz w:val="24"/>
                <w:szCs w:val="24"/>
              </w:rPr>
              <w:t>地点</w:t>
            </w:r>
          </w:p>
        </w:tc>
        <w:tc>
          <w:tcPr>
            <w:tcW w:w="3504" w:type="pct"/>
            <w:noWrap w:val="0"/>
            <w:vAlign w:val="top"/>
          </w:tcPr>
          <w:p w14:paraId="7B81B0DB">
            <w:pPr>
              <w:pStyle w:val="19"/>
              <w:pageBreakBefore w:val="0"/>
              <w:widowControl w:val="0"/>
              <w:wordWrap/>
              <w:overflowPunct/>
              <w:topLinePunct w:val="0"/>
              <w:bidi w:val="0"/>
              <w:spacing w:before="36" w:line="360" w:lineRule="auto"/>
              <w:ind w:left="116" w:right="294" w:firstLine="11"/>
              <w:jc w:val="both"/>
              <w:rPr>
                <w:rFonts w:hint="eastAsia" w:ascii="仿宋" w:hAnsi="仿宋" w:eastAsia="仿宋" w:cs="仿宋"/>
                <w:kern w:val="2"/>
                <w:sz w:val="24"/>
                <w:szCs w:val="24"/>
                <w:lang w:eastAsia="zh-CN"/>
              </w:rPr>
            </w:pPr>
            <w:r>
              <w:rPr>
                <w:rFonts w:hint="eastAsia" w:ascii="仿宋" w:hAnsi="仿宋" w:eastAsia="仿宋" w:cs="仿宋"/>
                <w:spacing w:val="9"/>
                <w:kern w:val="2"/>
                <w:sz w:val="24"/>
                <w:szCs w:val="24"/>
                <w:lang w:eastAsia="zh-CN"/>
              </w:rPr>
              <w:t>1、</w:t>
            </w:r>
            <w:r>
              <w:rPr>
                <w:rFonts w:hint="eastAsia" w:ascii="仿宋" w:hAnsi="仿宋" w:eastAsia="仿宋" w:cs="仿宋"/>
                <w:spacing w:val="9"/>
                <w:kern w:val="2"/>
                <w:sz w:val="24"/>
                <w:szCs w:val="24"/>
                <w:lang w:val="en-US" w:eastAsia="zh-CN"/>
              </w:rPr>
              <w:t>中标人</w:t>
            </w:r>
            <w:r>
              <w:rPr>
                <w:rFonts w:hint="eastAsia" w:ascii="仿宋" w:hAnsi="仿宋" w:eastAsia="仿宋" w:cs="仿宋"/>
                <w:spacing w:val="9"/>
                <w:kern w:val="2"/>
                <w:sz w:val="24"/>
                <w:szCs w:val="24"/>
                <w:lang w:eastAsia="zh-CN"/>
              </w:rPr>
              <w:t>负责办理运输和保险，将货物运抵甲方指定地点，并在运抵前3</w:t>
            </w:r>
            <w:r>
              <w:rPr>
                <w:rFonts w:hint="eastAsia" w:ascii="仿宋" w:hAnsi="仿宋" w:eastAsia="仿宋" w:cs="仿宋"/>
                <w:spacing w:val="8"/>
                <w:kern w:val="2"/>
                <w:sz w:val="24"/>
                <w:szCs w:val="24"/>
                <w:lang w:eastAsia="zh-CN"/>
              </w:rPr>
              <w:t>天通</w:t>
            </w:r>
            <w:r>
              <w:rPr>
                <w:rFonts w:hint="eastAsia" w:ascii="仿宋" w:hAnsi="仿宋" w:eastAsia="仿宋" w:cs="仿宋"/>
                <w:spacing w:val="4"/>
                <w:kern w:val="2"/>
                <w:sz w:val="24"/>
                <w:szCs w:val="24"/>
                <w:lang w:eastAsia="zh-CN"/>
              </w:rPr>
              <w:t>知甲方。</w:t>
            </w:r>
          </w:p>
          <w:p w14:paraId="73104E0D">
            <w:pPr>
              <w:pStyle w:val="19"/>
              <w:pageBreakBefore w:val="0"/>
              <w:widowControl w:val="0"/>
              <w:wordWrap/>
              <w:overflowPunct/>
              <w:topLinePunct w:val="0"/>
              <w:bidi w:val="0"/>
              <w:spacing w:line="360" w:lineRule="auto"/>
              <w:ind w:left="115"/>
              <w:jc w:val="both"/>
              <w:rPr>
                <w:rFonts w:hint="eastAsia" w:ascii="仿宋" w:hAnsi="仿宋" w:eastAsia="仿宋" w:cs="仿宋"/>
                <w:kern w:val="2"/>
                <w:sz w:val="24"/>
                <w:szCs w:val="24"/>
                <w:lang w:eastAsia="zh-CN"/>
              </w:rPr>
            </w:pPr>
            <w:r>
              <w:rPr>
                <w:rFonts w:hint="eastAsia" w:ascii="仿宋" w:hAnsi="仿宋" w:eastAsia="仿宋" w:cs="仿宋"/>
                <w:spacing w:val="9"/>
                <w:kern w:val="2"/>
                <w:sz w:val="24"/>
                <w:szCs w:val="24"/>
                <w:lang w:eastAsia="zh-CN"/>
              </w:rPr>
              <w:t>2、</w:t>
            </w:r>
            <w:r>
              <w:rPr>
                <w:rFonts w:hint="eastAsia" w:ascii="仿宋" w:hAnsi="仿宋" w:eastAsia="仿宋" w:cs="仿宋"/>
                <w:spacing w:val="9"/>
                <w:kern w:val="2"/>
                <w:sz w:val="24"/>
                <w:szCs w:val="24"/>
                <w:lang w:val="en-US" w:eastAsia="zh-CN"/>
              </w:rPr>
              <w:t>中标人</w:t>
            </w:r>
            <w:r>
              <w:rPr>
                <w:rFonts w:hint="eastAsia" w:ascii="仿宋" w:hAnsi="仿宋" w:eastAsia="仿宋" w:cs="仿宋"/>
                <w:spacing w:val="9"/>
                <w:kern w:val="2"/>
                <w:sz w:val="24"/>
                <w:szCs w:val="24"/>
                <w:lang w:eastAsia="zh-CN"/>
              </w:rPr>
              <w:t>交付的货物必须提供未经使用的全新产品，采用厂家原装包装。</w:t>
            </w:r>
            <w:r>
              <w:rPr>
                <w:rFonts w:hint="eastAsia" w:ascii="仿宋" w:hAnsi="仿宋" w:eastAsia="仿宋" w:cs="仿宋"/>
                <w:sz w:val="24"/>
                <w:szCs w:val="24"/>
                <w:lang w:bidi="ar"/>
              </w:rPr>
              <w:t>提供原厂现场安装调试</w:t>
            </w:r>
            <w:r>
              <w:rPr>
                <w:rFonts w:hint="eastAsia" w:ascii="仿宋" w:hAnsi="仿宋" w:eastAsia="仿宋" w:cs="仿宋"/>
                <w:sz w:val="24"/>
                <w:szCs w:val="24"/>
                <w:lang w:eastAsia="zh-CN" w:bidi="ar"/>
              </w:rPr>
              <w:t>。</w:t>
            </w:r>
          </w:p>
          <w:p w14:paraId="60047BBA">
            <w:pPr>
              <w:pStyle w:val="19"/>
              <w:pageBreakBefore w:val="0"/>
              <w:widowControl w:val="0"/>
              <w:wordWrap/>
              <w:overflowPunct/>
              <w:topLinePunct w:val="0"/>
              <w:bidi w:val="0"/>
              <w:spacing w:before="27" w:line="360" w:lineRule="auto"/>
              <w:ind w:left="116"/>
              <w:jc w:val="both"/>
              <w:rPr>
                <w:rFonts w:hint="eastAsia" w:ascii="仿宋" w:hAnsi="仿宋" w:eastAsia="仿宋" w:cs="仿宋"/>
                <w:spacing w:val="8"/>
                <w:kern w:val="2"/>
                <w:sz w:val="24"/>
                <w:szCs w:val="24"/>
                <w:lang w:eastAsia="zh-CN"/>
              </w:rPr>
            </w:pPr>
            <w:r>
              <w:rPr>
                <w:rFonts w:hint="eastAsia" w:ascii="仿宋" w:hAnsi="仿宋" w:eastAsia="仿宋" w:cs="仿宋"/>
                <w:spacing w:val="3"/>
                <w:kern w:val="2"/>
                <w:sz w:val="24"/>
                <w:szCs w:val="24"/>
                <w:lang w:eastAsia="zh-CN"/>
              </w:rPr>
              <w:t>3、</w:t>
            </w:r>
            <w:r>
              <w:rPr>
                <w:rFonts w:hint="eastAsia" w:ascii="仿宋" w:hAnsi="仿宋" w:eastAsia="仿宋" w:cs="仿宋"/>
                <w:b/>
                <w:bCs/>
                <w:spacing w:val="3"/>
                <w:kern w:val="2"/>
                <w:sz w:val="24"/>
                <w:szCs w:val="24"/>
                <w:lang w:eastAsia="zh-CN"/>
              </w:rPr>
              <w:t>合同生效后，存储设施30天内；定制化软件设施 90日内</w:t>
            </w:r>
            <w:r>
              <w:rPr>
                <w:rFonts w:hint="eastAsia" w:ascii="仿宋" w:hAnsi="仿宋" w:eastAsia="仿宋" w:cs="仿宋"/>
                <w:spacing w:val="3"/>
                <w:kern w:val="2"/>
                <w:sz w:val="24"/>
                <w:szCs w:val="24"/>
                <w:lang w:eastAsia="zh-CN"/>
              </w:rPr>
              <w:t>。</w:t>
            </w:r>
          </w:p>
        </w:tc>
      </w:tr>
      <w:tr w14:paraId="5BA5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1" w:hRule="atLeast"/>
        </w:trPr>
        <w:tc>
          <w:tcPr>
            <w:tcW w:w="337" w:type="pct"/>
            <w:noWrap w:val="0"/>
            <w:vAlign w:val="center"/>
          </w:tcPr>
          <w:p w14:paraId="2A8E8658">
            <w:pPr>
              <w:pageBreakBefore w:val="0"/>
              <w:wordWrap/>
              <w:overflowPunct/>
              <w:topLinePunct w:val="0"/>
              <w:bidi w:val="0"/>
              <w:spacing w:before="70" w:line="360" w:lineRule="auto"/>
              <w:jc w:val="center"/>
              <w:rPr>
                <w:rFonts w:hint="eastAsia" w:ascii="仿宋" w:hAnsi="仿宋" w:eastAsia="仿宋" w:cs="仿宋"/>
                <w:spacing w:val="-17"/>
                <w:sz w:val="24"/>
                <w:szCs w:val="24"/>
              </w:rPr>
            </w:pPr>
            <w:r>
              <w:rPr>
                <w:rFonts w:hint="eastAsia" w:ascii="仿宋" w:hAnsi="仿宋" w:eastAsia="仿宋" w:cs="仿宋"/>
                <w:spacing w:val="-14"/>
                <w:w w:val="98"/>
                <w:sz w:val="24"/>
                <w:szCs w:val="24"/>
              </w:rPr>
              <w:t>7</w:t>
            </w:r>
          </w:p>
        </w:tc>
        <w:tc>
          <w:tcPr>
            <w:tcW w:w="477" w:type="pct"/>
            <w:noWrap w:val="0"/>
            <w:vAlign w:val="top"/>
          </w:tcPr>
          <w:p w14:paraId="4EEACDDA">
            <w:pPr>
              <w:pageBreakBefore w:val="0"/>
              <w:wordWrap/>
              <w:overflowPunct/>
              <w:topLinePunct w:val="0"/>
              <w:bidi w:val="0"/>
              <w:spacing w:line="360" w:lineRule="auto"/>
              <w:rPr>
                <w:rFonts w:hint="eastAsia" w:ascii="仿宋" w:hAnsi="仿宋" w:eastAsia="仿宋" w:cs="仿宋"/>
                <w:sz w:val="24"/>
                <w:szCs w:val="24"/>
              </w:rPr>
            </w:pPr>
          </w:p>
        </w:tc>
        <w:tc>
          <w:tcPr>
            <w:tcW w:w="680" w:type="pct"/>
            <w:noWrap w:val="0"/>
            <w:vAlign w:val="top"/>
          </w:tcPr>
          <w:p w14:paraId="5995E227">
            <w:pPr>
              <w:pageBreakBefore w:val="0"/>
              <w:wordWrap/>
              <w:overflowPunct/>
              <w:topLinePunct w:val="0"/>
              <w:bidi w:val="0"/>
              <w:spacing w:line="360" w:lineRule="auto"/>
              <w:rPr>
                <w:rFonts w:hint="eastAsia" w:ascii="仿宋" w:hAnsi="仿宋" w:eastAsia="仿宋" w:cs="仿宋"/>
                <w:sz w:val="24"/>
                <w:szCs w:val="24"/>
              </w:rPr>
            </w:pPr>
          </w:p>
          <w:p w14:paraId="246DB738">
            <w:pPr>
              <w:pageBreakBefore w:val="0"/>
              <w:wordWrap/>
              <w:overflowPunct/>
              <w:topLinePunct w:val="0"/>
              <w:bidi w:val="0"/>
              <w:spacing w:line="360" w:lineRule="auto"/>
              <w:rPr>
                <w:rFonts w:hint="eastAsia" w:ascii="仿宋" w:hAnsi="仿宋" w:eastAsia="仿宋" w:cs="仿宋"/>
                <w:sz w:val="24"/>
                <w:szCs w:val="24"/>
              </w:rPr>
            </w:pPr>
          </w:p>
          <w:p w14:paraId="45229CEB">
            <w:pPr>
              <w:pageBreakBefore w:val="0"/>
              <w:wordWrap/>
              <w:overflowPunct/>
              <w:topLinePunct w:val="0"/>
              <w:bidi w:val="0"/>
              <w:spacing w:line="360" w:lineRule="auto"/>
              <w:rPr>
                <w:rFonts w:hint="eastAsia" w:ascii="仿宋" w:hAnsi="仿宋" w:eastAsia="仿宋" w:cs="仿宋"/>
                <w:sz w:val="24"/>
                <w:szCs w:val="24"/>
              </w:rPr>
            </w:pPr>
          </w:p>
          <w:p w14:paraId="4020E905">
            <w:pPr>
              <w:pStyle w:val="19"/>
              <w:pageBreakBefore w:val="0"/>
              <w:widowControl w:val="0"/>
              <w:wordWrap/>
              <w:overflowPunct/>
              <w:topLinePunct w:val="0"/>
              <w:bidi w:val="0"/>
              <w:spacing w:before="65" w:line="360" w:lineRule="auto"/>
              <w:ind w:left="113" w:right="144" w:hanging="2"/>
              <w:jc w:val="both"/>
              <w:rPr>
                <w:rFonts w:hint="eastAsia" w:ascii="仿宋" w:hAnsi="仿宋" w:eastAsia="仿宋" w:cs="仿宋"/>
                <w:spacing w:val="8"/>
                <w:kern w:val="2"/>
                <w:sz w:val="24"/>
                <w:szCs w:val="24"/>
              </w:rPr>
            </w:pPr>
            <w:r>
              <w:rPr>
                <w:rFonts w:hint="eastAsia" w:ascii="仿宋" w:hAnsi="仿宋" w:eastAsia="仿宋" w:cs="仿宋"/>
                <w:spacing w:val="8"/>
                <w:kern w:val="2"/>
                <w:sz w:val="24"/>
                <w:szCs w:val="24"/>
              </w:rPr>
              <w:t>验收服务要</w:t>
            </w:r>
            <w:r>
              <w:rPr>
                <w:rFonts w:hint="eastAsia" w:ascii="仿宋" w:hAnsi="仿宋" w:eastAsia="仿宋" w:cs="仿宋"/>
                <w:kern w:val="2"/>
                <w:sz w:val="24"/>
                <w:szCs w:val="24"/>
              </w:rPr>
              <w:t>求</w:t>
            </w:r>
          </w:p>
        </w:tc>
        <w:tc>
          <w:tcPr>
            <w:tcW w:w="3504" w:type="pct"/>
            <w:noWrap w:val="0"/>
            <w:vAlign w:val="top"/>
          </w:tcPr>
          <w:p w14:paraId="69C8DDEF">
            <w:pPr>
              <w:pStyle w:val="19"/>
              <w:pageBreakBefore w:val="0"/>
              <w:widowControl w:val="0"/>
              <w:wordWrap/>
              <w:overflowPunct/>
              <w:topLinePunct w:val="0"/>
              <w:bidi w:val="0"/>
              <w:spacing w:before="37" w:line="360" w:lineRule="auto"/>
              <w:ind w:left="115" w:right="191"/>
              <w:jc w:val="both"/>
              <w:rPr>
                <w:rFonts w:hint="eastAsia" w:ascii="仿宋" w:hAnsi="仿宋" w:eastAsia="仿宋" w:cs="仿宋"/>
                <w:b/>
                <w:bCs/>
                <w:spacing w:val="4"/>
                <w:kern w:val="2"/>
                <w:sz w:val="24"/>
                <w:szCs w:val="24"/>
                <w:lang w:eastAsia="zh-CN"/>
              </w:rPr>
            </w:pPr>
            <w:r>
              <w:rPr>
                <w:rFonts w:hint="eastAsia" w:ascii="仿宋" w:hAnsi="仿宋" w:eastAsia="仿宋" w:cs="仿宋"/>
                <w:b/>
                <w:bCs/>
                <w:spacing w:val="9"/>
                <w:kern w:val="2"/>
                <w:sz w:val="24"/>
                <w:szCs w:val="24"/>
                <w:lang w:eastAsia="zh-CN"/>
              </w:rPr>
              <w:t>硬件设备到货且具备实施条件之日起60天内包括所有软、硬件的安装、调试与运</w:t>
            </w:r>
            <w:r>
              <w:rPr>
                <w:rFonts w:hint="eastAsia" w:ascii="仿宋" w:hAnsi="仿宋" w:eastAsia="仿宋" w:cs="仿宋"/>
                <w:b/>
                <w:bCs/>
                <w:spacing w:val="4"/>
                <w:kern w:val="2"/>
                <w:sz w:val="24"/>
                <w:szCs w:val="24"/>
                <w:lang w:eastAsia="zh-CN"/>
              </w:rPr>
              <w:t>行工作。</w:t>
            </w:r>
          </w:p>
          <w:p w14:paraId="48DDC509">
            <w:pPr>
              <w:pStyle w:val="19"/>
              <w:pageBreakBefore w:val="0"/>
              <w:widowControl w:val="0"/>
              <w:wordWrap/>
              <w:overflowPunct/>
              <w:topLinePunct w:val="0"/>
              <w:bidi w:val="0"/>
              <w:spacing w:before="37" w:line="360" w:lineRule="auto"/>
              <w:ind w:left="115" w:right="191"/>
              <w:jc w:val="both"/>
              <w:rPr>
                <w:rFonts w:hint="eastAsia" w:ascii="仿宋" w:hAnsi="仿宋" w:eastAsia="仿宋" w:cs="仿宋"/>
                <w:b/>
                <w:bCs/>
                <w:kern w:val="2"/>
                <w:sz w:val="24"/>
                <w:szCs w:val="24"/>
                <w:lang w:eastAsia="zh-CN"/>
              </w:rPr>
            </w:pPr>
            <w:r>
              <w:rPr>
                <w:rFonts w:hint="eastAsia" w:ascii="仿宋" w:hAnsi="仿宋" w:eastAsia="仿宋" w:cs="仿宋"/>
                <w:b/>
                <w:bCs/>
                <w:spacing w:val="9"/>
                <w:kern w:val="2"/>
                <w:sz w:val="24"/>
                <w:szCs w:val="24"/>
                <w:lang w:eastAsia="zh-CN"/>
              </w:rPr>
              <w:t>软件设施开发完成且具备实施条件之日起90天内包括所有软、硬件的安装、调试与运</w:t>
            </w:r>
            <w:r>
              <w:rPr>
                <w:rFonts w:hint="eastAsia" w:ascii="仿宋" w:hAnsi="仿宋" w:eastAsia="仿宋" w:cs="仿宋"/>
                <w:b/>
                <w:bCs/>
                <w:spacing w:val="4"/>
                <w:kern w:val="2"/>
                <w:sz w:val="24"/>
                <w:szCs w:val="24"/>
                <w:lang w:eastAsia="zh-CN"/>
              </w:rPr>
              <w:t>行工作。</w:t>
            </w:r>
          </w:p>
          <w:p w14:paraId="2AA8CEF8">
            <w:pPr>
              <w:pStyle w:val="19"/>
              <w:pageBreakBefore w:val="0"/>
              <w:widowControl w:val="0"/>
              <w:wordWrap/>
              <w:overflowPunct/>
              <w:topLinePunct w:val="0"/>
              <w:bidi w:val="0"/>
              <w:spacing w:line="360" w:lineRule="auto"/>
              <w:ind w:left="116"/>
              <w:jc w:val="both"/>
              <w:rPr>
                <w:rFonts w:hint="eastAsia" w:ascii="仿宋" w:hAnsi="仿宋" w:eastAsia="仿宋" w:cs="仿宋"/>
                <w:kern w:val="2"/>
                <w:sz w:val="24"/>
                <w:szCs w:val="24"/>
                <w:lang w:eastAsia="zh-CN"/>
              </w:rPr>
            </w:pPr>
            <w:r>
              <w:rPr>
                <w:rFonts w:hint="eastAsia" w:ascii="仿宋" w:hAnsi="仿宋" w:eastAsia="仿宋" w:cs="仿宋"/>
                <w:spacing w:val="9"/>
                <w:kern w:val="2"/>
                <w:sz w:val="24"/>
                <w:szCs w:val="24"/>
                <w:lang w:eastAsia="zh-CN"/>
              </w:rPr>
              <w:t>安装调试完成后由承建方提出初验申请，并从初验合格之日起进行试运行，</w:t>
            </w:r>
          </w:p>
          <w:p w14:paraId="6FB51394">
            <w:pPr>
              <w:pStyle w:val="19"/>
              <w:pageBreakBefore w:val="0"/>
              <w:widowControl w:val="0"/>
              <w:wordWrap/>
              <w:overflowPunct/>
              <w:topLinePunct w:val="0"/>
              <w:bidi w:val="0"/>
              <w:spacing w:before="25" w:line="360" w:lineRule="auto"/>
              <w:ind w:left="129" w:right="191" w:hanging="17"/>
              <w:jc w:val="both"/>
              <w:rPr>
                <w:rFonts w:hint="eastAsia" w:ascii="仿宋" w:hAnsi="仿宋" w:eastAsia="仿宋" w:cs="仿宋"/>
                <w:kern w:val="2"/>
                <w:sz w:val="24"/>
                <w:szCs w:val="24"/>
                <w:lang w:eastAsia="zh-CN"/>
              </w:rPr>
            </w:pPr>
            <w:r>
              <w:rPr>
                <w:rFonts w:hint="eastAsia" w:ascii="仿宋" w:hAnsi="仿宋" w:eastAsia="仿宋" w:cs="仿宋"/>
                <w:spacing w:val="9"/>
                <w:kern w:val="2"/>
                <w:sz w:val="24"/>
                <w:szCs w:val="24"/>
                <w:lang w:eastAsia="zh-CN"/>
              </w:rPr>
              <w:t>试运行1个月并运行正常后可组织项目终验。测试和验收应符合相应国家相关</w:t>
            </w:r>
            <w:r>
              <w:rPr>
                <w:rFonts w:hint="eastAsia" w:ascii="仿宋" w:hAnsi="仿宋" w:eastAsia="仿宋" w:cs="仿宋"/>
                <w:kern w:val="2"/>
                <w:sz w:val="24"/>
                <w:szCs w:val="24"/>
                <w:lang w:eastAsia="zh-CN"/>
              </w:rPr>
              <w:t>的标准。</w:t>
            </w:r>
          </w:p>
          <w:p w14:paraId="3C3916A8">
            <w:pPr>
              <w:pStyle w:val="19"/>
              <w:pageBreakBefore w:val="0"/>
              <w:widowControl w:val="0"/>
              <w:wordWrap/>
              <w:overflowPunct/>
              <w:topLinePunct w:val="0"/>
              <w:bidi w:val="0"/>
              <w:spacing w:line="360" w:lineRule="auto"/>
              <w:ind w:left="115"/>
              <w:jc w:val="both"/>
              <w:rPr>
                <w:rFonts w:hint="eastAsia" w:ascii="仿宋" w:hAnsi="仿宋" w:eastAsia="仿宋" w:cs="仿宋"/>
                <w:spacing w:val="8"/>
                <w:kern w:val="2"/>
                <w:sz w:val="24"/>
                <w:szCs w:val="24"/>
                <w:lang w:eastAsia="zh-CN"/>
              </w:rPr>
            </w:pPr>
            <w:r>
              <w:rPr>
                <w:rFonts w:hint="eastAsia" w:ascii="仿宋" w:hAnsi="仿宋" w:eastAsia="仿宋" w:cs="仿宋"/>
                <w:spacing w:val="9"/>
                <w:kern w:val="2"/>
                <w:sz w:val="24"/>
                <w:szCs w:val="24"/>
                <w:lang w:eastAsia="zh-CN"/>
              </w:rPr>
              <w:t>终验时承建方需提供本项目所有相关资料，包含项目实施文档、试运行报告、系统操作手册、系统运维手册、培训文档以及建设单位所需其他与本项</w:t>
            </w:r>
            <w:r>
              <w:rPr>
                <w:rFonts w:hint="eastAsia" w:ascii="仿宋" w:hAnsi="仿宋" w:eastAsia="仿宋" w:cs="仿宋"/>
                <w:spacing w:val="1"/>
                <w:kern w:val="2"/>
                <w:sz w:val="24"/>
                <w:szCs w:val="24"/>
                <w:lang w:eastAsia="zh-CN"/>
              </w:rPr>
              <w:t>目相关的资料。</w:t>
            </w:r>
          </w:p>
        </w:tc>
      </w:tr>
      <w:tr w14:paraId="7DA60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9" w:hRule="atLeast"/>
        </w:trPr>
        <w:tc>
          <w:tcPr>
            <w:tcW w:w="337" w:type="pct"/>
            <w:noWrap w:val="0"/>
            <w:vAlign w:val="center"/>
          </w:tcPr>
          <w:p w14:paraId="7A5E2A3E">
            <w:pPr>
              <w:pageBreakBefore w:val="0"/>
              <w:wordWrap/>
              <w:overflowPunct/>
              <w:topLinePunct w:val="0"/>
              <w:bidi w:val="0"/>
              <w:spacing w:before="70" w:line="360" w:lineRule="auto"/>
              <w:jc w:val="center"/>
              <w:rPr>
                <w:rFonts w:hint="eastAsia" w:ascii="仿宋" w:hAnsi="仿宋" w:eastAsia="仿宋" w:cs="仿宋"/>
                <w:spacing w:val="-17"/>
                <w:sz w:val="24"/>
                <w:szCs w:val="24"/>
              </w:rPr>
            </w:pPr>
            <w:r>
              <w:rPr>
                <w:rFonts w:hint="eastAsia" w:ascii="仿宋" w:hAnsi="仿宋" w:eastAsia="仿宋" w:cs="仿宋"/>
                <w:spacing w:val="-17"/>
                <w:sz w:val="24"/>
                <w:szCs w:val="24"/>
              </w:rPr>
              <w:t>8</w:t>
            </w:r>
          </w:p>
        </w:tc>
        <w:tc>
          <w:tcPr>
            <w:tcW w:w="477" w:type="pct"/>
            <w:noWrap w:val="0"/>
            <w:vAlign w:val="top"/>
          </w:tcPr>
          <w:p w14:paraId="09EFEAF4">
            <w:pPr>
              <w:pageBreakBefore w:val="0"/>
              <w:wordWrap/>
              <w:overflowPunct/>
              <w:topLinePunct w:val="0"/>
              <w:bidi w:val="0"/>
              <w:spacing w:line="360" w:lineRule="auto"/>
              <w:rPr>
                <w:rFonts w:hint="eastAsia" w:ascii="仿宋" w:hAnsi="仿宋" w:eastAsia="仿宋" w:cs="仿宋"/>
                <w:sz w:val="24"/>
                <w:szCs w:val="24"/>
              </w:rPr>
            </w:pPr>
          </w:p>
          <w:p w14:paraId="7804504F">
            <w:pPr>
              <w:pageBreakBefore w:val="0"/>
              <w:wordWrap/>
              <w:overflowPunct/>
              <w:topLinePunct w:val="0"/>
              <w:bidi w:val="0"/>
              <w:spacing w:line="360" w:lineRule="auto"/>
              <w:rPr>
                <w:rFonts w:hint="eastAsia" w:ascii="仿宋" w:hAnsi="仿宋" w:eastAsia="仿宋" w:cs="仿宋"/>
                <w:sz w:val="24"/>
                <w:szCs w:val="24"/>
              </w:rPr>
            </w:pPr>
          </w:p>
          <w:p w14:paraId="6F35E059">
            <w:pPr>
              <w:pageBreakBefore w:val="0"/>
              <w:wordWrap/>
              <w:overflowPunct/>
              <w:topLinePunct w:val="0"/>
              <w:bidi w:val="0"/>
              <w:spacing w:line="360" w:lineRule="auto"/>
              <w:rPr>
                <w:rFonts w:hint="eastAsia" w:ascii="仿宋" w:hAnsi="仿宋" w:eastAsia="仿宋" w:cs="仿宋"/>
                <w:sz w:val="24"/>
                <w:szCs w:val="24"/>
              </w:rPr>
            </w:pPr>
            <w:r>
              <w:rPr>
                <w:rFonts w:hint="eastAsia" w:ascii="仿宋" w:hAnsi="仿宋" w:eastAsia="仿宋" w:cs="仿宋"/>
                <w:sz w:val="24"/>
                <w:szCs w:val="24"/>
              </w:rPr>
              <w:t>★</w:t>
            </w:r>
          </w:p>
        </w:tc>
        <w:tc>
          <w:tcPr>
            <w:tcW w:w="680" w:type="pct"/>
            <w:noWrap w:val="0"/>
            <w:vAlign w:val="top"/>
          </w:tcPr>
          <w:p w14:paraId="2DDAFEE3">
            <w:pPr>
              <w:pStyle w:val="19"/>
              <w:pageBreakBefore w:val="0"/>
              <w:widowControl w:val="0"/>
              <w:wordWrap/>
              <w:overflowPunct/>
              <w:topLinePunct w:val="0"/>
              <w:bidi w:val="0"/>
              <w:spacing w:before="65" w:line="360" w:lineRule="auto"/>
              <w:ind w:right="144"/>
              <w:jc w:val="both"/>
              <w:rPr>
                <w:rFonts w:hint="eastAsia" w:ascii="仿宋" w:hAnsi="仿宋" w:eastAsia="仿宋" w:cs="仿宋"/>
                <w:b/>
                <w:bCs/>
                <w:spacing w:val="8"/>
                <w:kern w:val="2"/>
                <w:sz w:val="24"/>
                <w:szCs w:val="24"/>
              </w:rPr>
            </w:pPr>
            <w:r>
              <w:rPr>
                <w:rFonts w:hint="eastAsia" w:ascii="仿宋" w:hAnsi="仿宋" w:eastAsia="仿宋" w:cs="仿宋"/>
                <w:b/>
                <w:bCs/>
                <w:spacing w:val="8"/>
                <w:kern w:val="2"/>
                <w:sz w:val="24"/>
                <w:szCs w:val="24"/>
                <w:lang w:eastAsia="zh-CN"/>
              </w:rPr>
              <w:t>驻厂服务要求（需提供驻厂服务承诺函）</w:t>
            </w:r>
          </w:p>
        </w:tc>
        <w:tc>
          <w:tcPr>
            <w:tcW w:w="3504" w:type="pct"/>
            <w:noWrap w:val="0"/>
            <w:vAlign w:val="top"/>
          </w:tcPr>
          <w:p w14:paraId="54A1B6AA">
            <w:pPr>
              <w:pStyle w:val="19"/>
              <w:pageBreakBefore w:val="0"/>
              <w:widowControl w:val="0"/>
              <w:wordWrap/>
              <w:overflowPunct/>
              <w:topLinePunct w:val="0"/>
              <w:bidi w:val="0"/>
              <w:spacing w:before="37" w:line="360" w:lineRule="auto"/>
              <w:ind w:left="115" w:right="191"/>
              <w:jc w:val="both"/>
              <w:rPr>
                <w:rFonts w:hint="eastAsia" w:ascii="仿宋" w:hAnsi="仿宋" w:eastAsia="仿宋" w:cs="仿宋"/>
                <w:kern w:val="2"/>
                <w:sz w:val="24"/>
                <w:szCs w:val="24"/>
                <w:lang w:eastAsia="zh-CN"/>
              </w:rPr>
            </w:pPr>
            <w:r>
              <w:rPr>
                <w:rFonts w:hint="eastAsia" w:ascii="仿宋" w:hAnsi="仿宋" w:eastAsia="仿宋" w:cs="仿宋"/>
                <w:spacing w:val="9"/>
                <w:kern w:val="2"/>
                <w:sz w:val="24"/>
                <w:szCs w:val="24"/>
                <w:lang w:eastAsia="zh-CN"/>
              </w:rPr>
              <w:t>所有系统软件完成验收后，3年内供应商需提供</w:t>
            </w:r>
            <w:r>
              <w:rPr>
                <w:rFonts w:hint="eastAsia" w:ascii="仿宋" w:hAnsi="仿宋" w:eastAsia="仿宋" w:cs="仿宋"/>
                <w:spacing w:val="9"/>
                <w:kern w:val="2"/>
                <w:sz w:val="24"/>
                <w:szCs w:val="24"/>
                <w:lang w:val="en-US" w:eastAsia="zh-CN"/>
              </w:rPr>
              <w:t>3</w:t>
            </w:r>
            <w:r>
              <w:rPr>
                <w:rFonts w:hint="eastAsia" w:ascii="仿宋" w:hAnsi="仿宋" w:eastAsia="仿宋" w:cs="仿宋"/>
                <w:spacing w:val="9"/>
                <w:kern w:val="2"/>
                <w:sz w:val="24"/>
                <w:szCs w:val="24"/>
                <w:lang w:eastAsia="zh-CN"/>
              </w:rPr>
              <w:t>名全职人员提供</w:t>
            </w:r>
            <w:r>
              <w:rPr>
                <w:rFonts w:hint="eastAsia" w:ascii="仿宋" w:hAnsi="仿宋" w:eastAsia="仿宋" w:cs="仿宋"/>
                <w:spacing w:val="9"/>
                <w:kern w:val="2"/>
                <w:sz w:val="24"/>
                <w:szCs w:val="24"/>
                <w:lang w:val="en-US" w:eastAsia="zh-CN"/>
              </w:rPr>
              <w:t>每周</w:t>
            </w:r>
            <w:r>
              <w:rPr>
                <w:rFonts w:hint="eastAsia" w:ascii="仿宋" w:hAnsi="仿宋" w:eastAsia="仿宋" w:cs="仿宋"/>
                <w:spacing w:val="9"/>
                <w:kern w:val="2"/>
                <w:sz w:val="24"/>
                <w:szCs w:val="24"/>
                <w:lang w:eastAsia="zh-CN"/>
              </w:rPr>
              <w:t>5*8小时驻厂服务。</w:t>
            </w:r>
          </w:p>
          <w:p w14:paraId="7D3C1D02">
            <w:pPr>
              <w:pStyle w:val="19"/>
              <w:pageBreakBefore w:val="0"/>
              <w:widowControl w:val="0"/>
              <w:wordWrap/>
              <w:overflowPunct/>
              <w:topLinePunct w:val="0"/>
              <w:bidi w:val="0"/>
              <w:spacing w:line="360" w:lineRule="auto"/>
              <w:ind w:left="116"/>
              <w:jc w:val="both"/>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1）协助业务方进行软件系统的多中心培训、使用指导和推广。</w:t>
            </w:r>
          </w:p>
          <w:p w14:paraId="6660CBD3">
            <w:pPr>
              <w:pStyle w:val="19"/>
              <w:pageBreakBefore w:val="0"/>
              <w:widowControl w:val="0"/>
              <w:wordWrap/>
              <w:overflowPunct/>
              <w:topLinePunct w:val="0"/>
              <w:bidi w:val="0"/>
              <w:spacing w:before="25" w:line="360" w:lineRule="auto"/>
              <w:ind w:left="129" w:right="191" w:hanging="17"/>
              <w:jc w:val="both"/>
              <w:rPr>
                <w:rFonts w:hint="eastAsia" w:ascii="仿宋" w:hAnsi="仿宋" w:eastAsia="仿宋" w:cs="仿宋"/>
                <w:kern w:val="2"/>
                <w:sz w:val="24"/>
                <w:szCs w:val="24"/>
                <w:lang w:eastAsia="zh-CN"/>
              </w:rPr>
            </w:pPr>
            <w:r>
              <w:rPr>
                <w:rFonts w:hint="eastAsia" w:ascii="仿宋" w:hAnsi="仿宋" w:eastAsia="仿宋" w:cs="仿宋"/>
                <w:kern w:val="2"/>
                <w:sz w:val="24"/>
                <w:szCs w:val="24"/>
                <w:lang w:eastAsia="zh-CN"/>
              </w:rPr>
              <w:t>2）根据业务进展和需求，对已有功能点进行优化迭代；</w:t>
            </w:r>
          </w:p>
          <w:p w14:paraId="72757364">
            <w:pPr>
              <w:pStyle w:val="19"/>
              <w:pageBreakBefore w:val="0"/>
              <w:widowControl w:val="0"/>
              <w:wordWrap/>
              <w:overflowPunct/>
              <w:topLinePunct w:val="0"/>
              <w:bidi w:val="0"/>
              <w:spacing w:before="25" w:line="360" w:lineRule="auto"/>
              <w:ind w:left="129" w:right="191" w:hanging="17"/>
              <w:jc w:val="both"/>
              <w:rPr>
                <w:rFonts w:hint="eastAsia" w:ascii="仿宋" w:hAnsi="仿宋" w:eastAsia="仿宋" w:cs="仿宋"/>
                <w:kern w:val="2"/>
                <w:sz w:val="24"/>
                <w:szCs w:val="24"/>
                <w:lang w:eastAsia="zh-CN"/>
              </w:rPr>
            </w:pPr>
            <w:r>
              <w:rPr>
                <w:rFonts w:hint="eastAsia" w:ascii="仿宋" w:hAnsi="仿宋" w:eastAsia="仿宋" w:cs="仿宋"/>
                <w:kern w:val="2"/>
                <w:sz w:val="24"/>
                <w:szCs w:val="24"/>
                <w:lang w:val="en-US" w:eastAsia="zh-CN"/>
              </w:rPr>
              <w:t>3</w:t>
            </w:r>
            <w:r>
              <w:rPr>
                <w:rFonts w:hint="eastAsia" w:ascii="仿宋" w:hAnsi="仿宋" w:eastAsia="仿宋" w:cs="仿宋"/>
                <w:kern w:val="2"/>
                <w:sz w:val="24"/>
                <w:szCs w:val="24"/>
                <w:lang w:eastAsia="zh-CN"/>
              </w:rPr>
              <w:t>）协助业务方进行</w:t>
            </w:r>
            <w:r>
              <w:rPr>
                <w:rFonts w:hint="eastAsia" w:ascii="仿宋" w:hAnsi="仿宋" w:eastAsia="仿宋" w:cs="仿宋"/>
                <w:kern w:val="2"/>
                <w:sz w:val="24"/>
                <w:szCs w:val="24"/>
                <w:lang w:val="en-US" w:eastAsia="zh-CN"/>
              </w:rPr>
              <w:t>设备</w:t>
            </w:r>
            <w:r>
              <w:rPr>
                <w:rFonts w:hint="eastAsia" w:ascii="仿宋" w:hAnsi="仿宋" w:eastAsia="仿宋" w:cs="仿宋"/>
                <w:kern w:val="2"/>
                <w:sz w:val="24"/>
                <w:szCs w:val="24"/>
                <w:lang w:eastAsia="zh-CN"/>
              </w:rPr>
              <w:t>管理、</w:t>
            </w:r>
            <w:r>
              <w:rPr>
                <w:rFonts w:hint="eastAsia" w:ascii="仿宋" w:hAnsi="仿宋" w:eastAsia="仿宋" w:cs="仿宋"/>
                <w:kern w:val="2"/>
                <w:sz w:val="24"/>
                <w:szCs w:val="24"/>
                <w:lang w:val="en-US" w:eastAsia="zh-CN"/>
              </w:rPr>
              <w:t>调试</w:t>
            </w:r>
            <w:r>
              <w:rPr>
                <w:rFonts w:hint="eastAsia" w:ascii="仿宋" w:hAnsi="仿宋" w:eastAsia="仿宋" w:cs="仿宋"/>
                <w:kern w:val="2"/>
                <w:sz w:val="24"/>
                <w:szCs w:val="24"/>
                <w:lang w:eastAsia="zh-CN"/>
              </w:rPr>
              <w:t>和维护；</w:t>
            </w:r>
          </w:p>
        </w:tc>
      </w:tr>
      <w:tr w14:paraId="15965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39" w:hRule="atLeast"/>
        </w:trPr>
        <w:tc>
          <w:tcPr>
            <w:tcW w:w="337" w:type="pct"/>
            <w:noWrap w:val="0"/>
            <w:vAlign w:val="center"/>
          </w:tcPr>
          <w:p w14:paraId="3A609546">
            <w:pPr>
              <w:pageBreakBefore w:val="0"/>
              <w:wordWrap/>
              <w:overflowPunct/>
              <w:topLinePunct w:val="0"/>
              <w:bidi w:val="0"/>
              <w:spacing w:before="70" w:line="360" w:lineRule="auto"/>
              <w:jc w:val="center"/>
              <w:rPr>
                <w:rFonts w:hint="eastAsia" w:ascii="仿宋" w:hAnsi="仿宋" w:eastAsia="仿宋" w:cs="仿宋"/>
                <w:spacing w:val="-17"/>
                <w:sz w:val="24"/>
                <w:szCs w:val="24"/>
              </w:rPr>
            </w:pPr>
            <w:r>
              <w:rPr>
                <w:rFonts w:hint="eastAsia" w:ascii="仿宋" w:hAnsi="仿宋" w:eastAsia="仿宋" w:cs="仿宋"/>
                <w:spacing w:val="-17"/>
                <w:sz w:val="24"/>
                <w:szCs w:val="24"/>
              </w:rPr>
              <w:t>9</w:t>
            </w:r>
          </w:p>
        </w:tc>
        <w:tc>
          <w:tcPr>
            <w:tcW w:w="477" w:type="pct"/>
            <w:noWrap w:val="0"/>
            <w:vAlign w:val="top"/>
          </w:tcPr>
          <w:p w14:paraId="671079F2">
            <w:pPr>
              <w:pageBreakBefore w:val="0"/>
              <w:wordWrap/>
              <w:overflowPunct/>
              <w:topLinePunct w:val="0"/>
              <w:bidi w:val="0"/>
              <w:spacing w:line="360" w:lineRule="auto"/>
              <w:rPr>
                <w:rFonts w:hint="eastAsia" w:ascii="仿宋" w:hAnsi="仿宋" w:eastAsia="仿宋" w:cs="仿宋"/>
                <w:sz w:val="24"/>
                <w:szCs w:val="24"/>
              </w:rPr>
            </w:pPr>
          </w:p>
          <w:p w14:paraId="7925762D">
            <w:pPr>
              <w:pageBreakBefore w:val="0"/>
              <w:wordWrap/>
              <w:overflowPunct/>
              <w:topLinePunct w:val="0"/>
              <w:bidi w:val="0"/>
              <w:spacing w:line="360" w:lineRule="auto"/>
              <w:rPr>
                <w:rFonts w:hint="eastAsia" w:ascii="仿宋" w:hAnsi="仿宋" w:eastAsia="仿宋" w:cs="仿宋"/>
                <w:sz w:val="24"/>
                <w:szCs w:val="24"/>
              </w:rPr>
            </w:pPr>
          </w:p>
          <w:p w14:paraId="676B8B25">
            <w:pPr>
              <w:pageBreakBefore w:val="0"/>
              <w:wordWrap/>
              <w:overflowPunct/>
              <w:topLinePunct w:val="0"/>
              <w:bidi w:val="0"/>
              <w:spacing w:line="360" w:lineRule="auto"/>
              <w:rPr>
                <w:rFonts w:hint="eastAsia" w:ascii="仿宋" w:hAnsi="仿宋" w:eastAsia="仿宋" w:cs="仿宋"/>
                <w:sz w:val="24"/>
                <w:szCs w:val="24"/>
              </w:rPr>
            </w:pPr>
          </w:p>
          <w:p w14:paraId="346507AA">
            <w:pPr>
              <w:pageBreakBefore w:val="0"/>
              <w:wordWrap/>
              <w:overflowPunct/>
              <w:topLinePunct w:val="0"/>
              <w:bidi w:val="0"/>
              <w:spacing w:line="360" w:lineRule="auto"/>
              <w:rPr>
                <w:rFonts w:hint="eastAsia" w:ascii="仿宋" w:hAnsi="仿宋" w:eastAsia="仿宋" w:cs="仿宋"/>
                <w:sz w:val="24"/>
                <w:szCs w:val="24"/>
              </w:rPr>
            </w:pPr>
          </w:p>
          <w:p w14:paraId="5B69A460">
            <w:pPr>
              <w:pageBreakBefore w:val="0"/>
              <w:wordWrap/>
              <w:overflowPunct/>
              <w:topLinePunct w:val="0"/>
              <w:bidi w:val="0"/>
              <w:spacing w:line="360" w:lineRule="auto"/>
              <w:rPr>
                <w:rFonts w:hint="eastAsia" w:ascii="仿宋" w:hAnsi="仿宋" w:eastAsia="仿宋" w:cs="仿宋"/>
                <w:sz w:val="24"/>
                <w:szCs w:val="24"/>
              </w:rPr>
            </w:pPr>
          </w:p>
          <w:p w14:paraId="31702CA3">
            <w:pPr>
              <w:pageBreakBefore w:val="0"/>
              <w:wordWrap/>
              <w:overflowPunct/>
              <w:topLinePunct w:val="0"/>
              <w:bidi w:val="0"/>
              <w:spacing w:line="360" w:lineRule="auto"/>
              <w:rPr>
                <w:rFonts w:hint="eastAsia" w:ascii="仿宋" w:hAnsi="仿宋" w:eastAsia="仿宋" w:cs="仿宋"/>
                <w:sz w:val="24"/>
                <w:szCs w:val="24"/>
              </w:rPr>
            </w:pPr>
          </w:p>
          <w:p w14:paraId="3960A517">
            <w:pPr>
              <w:pageBreakBefore w:val="0"/>
              <w:wordWrap/>
              <w:overflowPunct/>
              <w:topLinePunct w:val="0"/>
              <w:bidi w:val="0"/>
              <w:spacing w:line="360" w:lineRule="auto"/>
              <w:rPr>
                <w:rFonts w:hint="eastAsia" w:ascii="仿宋" w:hAnsi="仿宋" w:eastAsia="仿宋" w:cs="仿宋"/>
                <w:sz w:val="24"/>
                <w:szCs w:val="24"/>
              </w:rPr>
            </w:pPr>
          </w:p>
          <w:p w14:paraId="289B923D">
            <w:pPr>
              <w:pageBreakBefore w:val="0"/>
              <w:wordWrap/>
              <w:overflowPunct/>
              <w:topLinePunct w:val="0"/>
              <w:bidi w:val="0"/>
              <w:spacing w:line="360" w:lineRule="auto"/>
              <w:rPr>
                <w:rFonts w:hint="eastAsia" w:ascii="仿宋" w:hAnsi="仿宋" w:eastAsia="仿宋" w:cs="仿宋"/>
                <w:sz w:val="24"/>
                <w:szCs w:val="24"/>
              </w:rPr>
            </w:pPr>
          </w:p>
          <w:p w14:paraId="5606A7CB">
            <w:pPr>
              <w:pageBreakBefore w:val="0"/>
              <w:wordWrap/>
              <w:overflowPunct/>
              <w:topLinePunct w:val="0"/>
              <w:bidi w:val="0"/>
              <w:spacing w:line="360" w:lineRule="auto"/>
              <w:rPr>
                <w:rFonts w:hint="eastAsia" w:ascii="仿宋" w:hAnsi="仿宋" w:eastAsia="仿宋" w:cs="仿宋"/>
                <w:sz w:val="24"/>
                <w:szCs w:val="24"/>
              </w:rPr>
            </w:pPr>
          </w:p>
          <w:p w14:paraId="7B193E50">
            <w:pPr>
              <w:pageBreakBefore w:val="0"/>
              <w:wordWrap/>
              <w:overflowPunct/>
              <w:topLinePunct w:val="0"/>
              <w:bidi w:val="0"/>
              <w:spacing w:line="360" w:lineRule="auto"/>
              <w:jc w:val="center"/>
              <w:rPr>
                <w:rFonts w:hint="eastAsia" w:ascii="仿宋" w:hAnsi="仿宋" w:eastAsia="仿宋" w:cs="仿宋"/>
                <w:sz w:val="24"/>
                <w:szCs w:val="24"/>
              </w:rPr>
            </w:pPr>
          </w:p>
        </w:tc>
        <w:tc>
          <w:tcPr>
            <w:tcW w:w="680" w:type="pct"/>
            <w:noWrap w:val="0"/>
            <w:vAlign w:val="top"/>
          </w:tcPr>
          <w:p w14:paraId="449BD302">
            <w:pPr>
              <w:pStyle w:val="19"/>
              <w:pageBreakBefore w:val="0"/>
              <w:widowControl w:val="0"/>
              <w:wordWrap/>
              <w:overflowPunct/>
              <w:topLinePunct w:val="0"/>
              <w:bidi w:val="0"/>
              <w:spacing w:before="65" w:line="360" w:lineRule="auto"/>
              <w:ind w:left="113" w:right="144" w:hanging="2"/>
              <w:jc w:val="center"/>
              <w:rPr>
                <w:rFonts w:hint="eastAsia" w:ascii="仿宋" w:hAnsi="仿宋" w:eastAsia="仿宋" w:cs="仿宋"/>
                <w:b/>
                <w:bCs/>
                <w:spacing w:val="8"/>
                <w:kern w:val="2"/>
                <w:sz w:val="24"/>
                <w:szCs w:val="24"/>
                <w:lang w:eastAsia="zh-CN"/>
              </w:rPr>
            </w:pPr>
            <w:r>
              <w:rPr>
                <w:rFonts w:hint="eastAsia" w:ascii="仿宋" w:hAnsi="仿宋" w:eastAsia="仿宋" w:cs="仿宋"/>
                <w:sz w:val="24"/>
                <w:szCs w:val="24"/>
                <w:lang w:eastAsia="zh-CN"/>
              </w:rPr>
              <w:t>软件</w:t>
            </w:r>
            <w:r>
              <w:rPr>
                <w:rFonts w:hint="eastAsia" w:ascii="仿宋" w:hAnsi="仿宋" w:eastAsia="仿宋" w:cs="仿宋"/>
                <w:sz w:val="24"/>
                <w:szCs w:val="24"/>
              </w:rPr>
              <w:t>人员资格标准</w:t>
            </w:r>
          </w:p>
        </w:tc>
        <w:tc>
          <w:tcPr>
            <w:tcW w:w="3504" w:type="pct"/>
            <w:noWrap w:val="0"/>
            <w:vAlign w:val="top"/>
          </w:tcPr>
          <w:p w14:paraId="2BE74ECF">
            <w:pPr>
              <w:pStyle w:val="5"/>
              <w:keepNext w:val="0"/>
              <w:keepLines w:val="0"/>
              <w:pageBreakBefore w:val="0"/>
              <w:wordWrap/>
              <w:overflowPunct/>
              <w:topLinePunct w:val="0"/>
              <w:bidi w:val="0"/>
              <w:spacing w:line="360" w:lineRule="auto"/>
              <w:rPr>
                <w:rFonts w:hint="eastAsia" w:ascii="仿宋" w:hAnsi="仿宋" w:eastAsia="仿宋" w:cs="仿宋"/>
                <w:sz w:val="24"/>
                <w:szCs w:val="24"/>
                <w:lang w:eastAsia="zh-CN"/>
              </w:rPr>
            </w:pPr>
            <w:r>
              <w:rPr>
                <w:rFonts w:hint="eastAsia" w:ascii="仿宋" w:hAnsi="仿宋" w:eastAsia="仿宋" w:cs="仿宋"/>
                <w:sz w:val="24"/>
                <w:szCs w:val="24"/>
                <w:lang w:eastAsia="zh-CN"/>
              </w:rPr>
              <w:t>项目经理和技术负责人需具有承担过同类系统软件开发经验，能够与用户进行良好的沟通，并且精通系统开发架构的理论知识及其实际应用。</w:t>
            </w:r>
          </w:p>
          <w:p w14:paraId="79886716">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投标人应提供《拟投入本项目的团队情况表》及《拟投入本项目的项目经理及技术人员简介》</w:t>
            </w:r>
          </w:p>
          <w:p w14:paraId="6EC6D0A1">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1</w:t>
            </w: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rPr>
              <w:t>项目经理：</w:t>
            </w:r>
          </w:p>
          <w:p w14:paraId="7CCB5F6B">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不少于1人；</w:t>
            </w:r>
          </w:p>
          <w:p w14:paraId="6AD3001D">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计算机科学与技术、软件工程、网络工程、信息安全等计算机相关专业；</w:t>
            </w:r>
          </w:p>
          <w:p w14:paraId="7FDEF747">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具有由中华人民共和国人力资源和社会保障部、工业和信息化部批准颁发的“信息系统项目管理师”证书；</w:t>
            </w:r>
          </w:p>
          <w:p w14:paraId="49CE97D1">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具有5年及以上信息化系统建设项目开发及管理经验，能够与用户进行良好的沟通，担任同等角色；</w:t>
            </w:r>
          </w:p>
          <w:p w14:paraId="446F30FC">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具备良好的团队协作精神，能利用自身技术能力提升团队整体研发效率，提高团队影响力。</w:t>
            </w:r>
          </w:p>
          <w:p w14:paraId="651C8F61">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2</w:t>
            </w: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rPr>
              <w:t>设计工程师：</w:t>
            </w:r>
          </w:p>
          <w:p w14:paraId="25DD0402">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不少于</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人；</w:t>
            </w:r>
          </w:p>
          <w:p w14:paraId="48B1F79E">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计算机科学与技术、软件工程、网络工程、信息安全等计算机相关专业；</w:t>
            </w:r>
          </w:p>
          <w:p w14:paraId="4E45D60C">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精通Java语言，从事Java应用系统软件开发5年以上，有信息化系统建设或维护经验，担任同等角色；</w:t>
            </w:r>
          </w:p>
          <w:p w14:paraId="770D1D0A">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精通常用开源框架，精通Spring、IBATIS(mybatis）等框架；精通使用SQL语句，精通数据库及SQL调优；精通前端技术和常用前端框架，对前端工程化与模块化开发有了解；</w:t>
            </w:r>
          </w:p>
          <w:p w14:paraId="44B588DA">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具备系统架构设计能力、项目实施能力，能够与用户进行良好的沟通；</w:t>
            </w:r>
          </w:p>
          <w:p w14:paraId="54A4C8E1">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具备良好的编程习惯、文档写作及管理能力。</w:t>
            </w:r>
          </w:p>
          <w:p w14:paraId="07AC121F">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3</w:t>
            </w: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rPr>
              <w:t>需求工程师：</w:t>
            </w:r>
          </w:p>
          <w:p w14:paraId="4CB3395D">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不少于</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人；</w:t>
            </w:r>
          </w:p>
          <w:p w14:paraId="5C0C143E">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具备软件需求分析能力、流程设计能力，需具有3年（含）以上信息化系统建设项目需求开发经验；</w:t>
            </w:r>
          </w:p>
          <w:p w14:paraId="5FC72305">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具备良好的文档写作及管理能力；具备良好的团队协作精神。</w:t>
            </w:r>
          </w:p>
          <w:p w14:paraId="71BA4A7D">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b/>
                <w:bCs/>
                <w:color w:val="auto"/>
                <w:sz w:val="24"/>
                <w:szCs w:val="24"/>
              </w:rPr>
              <w:t>4</w:t>
            </w: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rPr>
              <w:t>研发工程师</w:t>
            </w:r>
            <w:r>
              <w:rPr>
                <w:rFonts w:hint="eastAsia" w:ascii="仿宋" w:hAnsi="仿宋" w:eastAsia="仿宋" w:cs="仿宋"/>
                <w:color w:val="auto"/>
                <w:sz w:val="24"/>
                <w:szCs w:val="24"/>
              </w:rPr>
              <w:t>：</w:t>
            </w:r>
          </w:p>
          <w:p w14:paraId="0878C6AD">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不少于</w:t>
            </w: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rPr>
              <w:t>人；</w:t>
            </w:r>
          </w:p>
          <w:p w14:paraId="1072794A">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计算机科学与技术、软件工程、网络工程、信息安全等计算机相关专业；</w:t>
            </w:r>
          </w:p>
          <w:p w14:paraId="427B730F">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精通Java语言，从事Java应用系统软件开发3年以上，具有3年（含）以上信息化系统建设项目开发经验。</w:t>
            </w:r>
          </w:p>
          <w:p w14:paraId="117FEF5F">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精通常用开源框架，精通Spring、IBATIS（Mybatis）等框架；精通使用SQL语句，精通数据库及SQL调优；</w:t>
            </w:r>
          </w:p>
          <w:p w14:paraId="7F3FC160">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具备良好的编程习惯、文档写作及管理能力；具备良好的团队协作精神。</w:t>
            </w:r>
          </w:p>
          <w:p w14:paraId="2A8CF953">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5</w:t>
            </w: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rPr>
              <w:t>大数据工程师</w:t>
            </w:r>
          </w:p>
          <w:p w14:paraId="71AE09B0">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不少于3人； </w:t>
            </w:r>
          </w:p>
          <w:p w14:paraId="1556F6B5">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计算机科学与技术、软件工程、网络工程、信息安全等计算机相关专业；</w:t>
            </w:r>
          </w:p>
          <w:p w14:paraId="410C40F1">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具有5年及以上大数据项目开发及管理经验，熟悉大数据架构、数据存储、数据处理、数据分析等相关技术； 具备良好的团队协作精神，能利用自身技术能力提升团队整体研发效率，提高团队影响力。</w:t>
            </w:r>
          </w:p>
          <w:p w14:paraId="2F482247">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6</w:t>
            </w: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rPr>
              <w:t>测试工程师：</w:t>
            </w:r>
          </w:p>
          <w:p w14:paraId="110F0A40">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不少于</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人；</w:t>
            </w:r>
          </w:p>
          <w:p w14:paraId="6ED3CBAF">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计算机科学与技术、软件工程、网络工程、信息安全等计算机相关专业；</w:t>
            </w:r>
          </w:p>
          <w:p w14:paraId="60F3C73E">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具备测试用例设计、测试执行、功能测试、性能测试的能力，需具有3年（含）以上信息化系统建设项目测试经验；掌握缺陷管理工具的使用；掌握数据库操作，能完成增删改查等操作；掌握 Linux 基本命令；了解自动化测试框架，能编写相关自动化脚本；掌握接口测试和性能测试工具；</w:t>
            </w:r>
          </w:p>
          <w:p w14:paraId="41EEBE41">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7</w:t>
            </w: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rPr>
              <w:t>运维工程师（此处人员要求为项目售后服务阶段，驻场人员要求）：</w:t>
            </w:r>
          </w:p>
          <w:p w14:paraId="0713F6E6">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不少于</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人。</w:t>
            </w:r>
          </w:p>
          <w:p w14:paraId="14EDE5B3">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计算机科学与技术、软件工程、网络工程、信息安全等计算机相关专业；</w:t>
            </w:r>
          </w:p>
          <w:p w14:paraId="4ABFA349">
            <w:pPr>
              <w:pStyle w:val="20"/>
              <w:keepNext w:val="0"/>
              <w:keepLines w:val="0"/>
              <w:pageBreakBefore w:val="0"/>
              <w:tabs>
                <w:tab w:val="left" w:pos="709"/>
              </w:tabs>
              <w:wordWrap/>
              <w:overflowPunct/>
              <w:topLinePunct w:val="0"/>
              <w:bidi w:val="0"/>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具备网络设备配置、系统部署、运维监控、故障排查与处理的能力。</w:t>
            </w:r>
          </w:p>
          <w:p w14:paraId="5F07EFF2">
            <w:pPr>
              <w:pStyle w:val="19"/>
              <w:keepNext w:val="0"/>
              <w:keepLines w:val="0"/>
              <w:pageBreakBefore w:val="0"/>
              <w:widowControl w:val="0"/>
              <w:wordWrap/>
              <w:overflowPunct/>
              <w:topLinePunct w:val="0"/>
              <w:bidi w:val="0"/>
              <w:spacing w:before="25" w:line="360" w:lineRule="auto"/>
              <w:ind w:right="191"/>
              <w:jc w:val="both"/>
              <w:rPr>
                <w:rFonts w:hint="eastAsia" w:ascii="仿宋" w:hAnsi="仿宋" w:eastAsia="仿宋" w:cs="仿宋"/>
                <w:kern w:val="2"/>
                <w:sz w:val="24"/>
                <w:szCs w:val="24"/>
                <w:lang w:eastAsia="zh-CN"/>
              </w:rPr>
            </w:pPr>
            <w:r>
              <w:rPr>
                <w:rFonts w:hint="eastAsia" w:ascii="仿宋" w:hAnsi="仿宋" w:eastAsia="仿宋" w:cs="仿宋"/>
                <w:sz w:val="24"/>
                <w:szCs w:val="24"/>
                <w:lang w:eastAsia="zh-CN"/>
              </w:rPr>
              <w:t>具有3年（含）以上的信息化系统建设项目运维经验；熟练掌握网络设备配置、系统部署、运维监控等技能，并能快速定位并解决故障。</w:t>
            </w:r>
          </w:p>
        </w:tc>
      </w:tr>
    </w:tbl>
    <w:p w14:paraId="3AEF1BBA"/>
    <w:p w14:paraId="4B14AC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2、采购标的需满足的服务标准、期限、效率等要求；</w:t>
      </w:r>
    </w:p>
    <w:bookmarkEnd w:id="19"/>
    <w:bookmarkEnd w:id="20"/>
    <w:p w14:paraId="5F8C0F08">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bCs/>
          <w:sz w:val="24"/>
          <w:lang w:val="en-US" w:eastAsia="zh-CN"/>
        </w:rPr>
      </w:pPr>
      <w:r>
        <w:rPr>
          <w:rFonts w:hint="eastAsia" w:ascii="仿宋" w:hAnsi="仿宋" w:eastAsia="仿宋" w:cs="仿宋"/>
          <w:bCs/>
          <w:sz w:val="24"/>
        </w:rPr>
        <w:t>详见</w:t>
      </w:r>
      <w:r>
        <w:rPr>
          <w:rFonts w:hint="eastAsia" w:ascii="仿宋" w:hAnsi="仿宋" w:eastAsia="仿宋" w:cs="仿宋"/>
          <w:bCs/>
          <w:sz w:val="24"/>
          <w:lang w:eastAsia="zh-CN"/>
        </w:rPr>
        <w:t>“</w:t>
      </w:r>
      <w:r>
        <w:rPr>
          <w:rFonts w:hint="eastAsia" w:ascii="仿宋" w:hAnsi="仿宋" w:eastAsia="仿宋" w:cs="仿宋"/>
          <w:bCs/>
          <w:sz w:val="24"/>
          <w:lang w:val="en-US" w:eastAsia="zh-CN"/>
        </w:rPr>
        <w:t xml:space="preserve"> </w:t>
      </w:r>
      <w:r>
        <w:rPr>
          <w:rFonts w:hint="eastAsia" w:ascii="仿宋" w:hAnsi="仿宋" w:eastAsia="仿宋" w:cs="仿宋"/>
          <w:bCs/>
          <w:kern w:val="2"/>
          <w:sz w:val="24"/>
          <w:szCs w:val="24"/>
          <w:lang w:val="en-US" w:eastAsia="zh-CN" w:bidi="ar-SA"/>
        </w:rPr>
        <w:t xml:space="preserve">1、采购标的需满足的性能、材料、结构、外观、质量、安全、技术规格、物理特性等要求： </w:t>
      </w:r>
      <w:r>
        <w:rPr>
          <w:rFonts w:hint="eastAsia" w:ascii="仿宋" w:hAnsi="仿宋" w:eastAsia="仿宋" w:cs="仿宋"/>
          <w:bCs/>
          <w:sz w:val="24"/>
          <w:lang w:val="en-US" w:eastAsia="zh-CN"/>
        </w:rPr>
        <w:t>二、</w:t>
      </w:r>
      <w:r>
        <w:rPr>
          <w:rFonts w:hint="eastAsia" w:ascii="仿宋" w:hAnsi="仿宋" w:eastAsia="仿宋" w:cs="仿宋"/>
          <w:bCs/>
          <w:sz w:val="24"/>
        </w:rPr>
        <w:t>服务要求</w:t>
      </w:r>
      <w:r>
        <w:rPr>
          <w:rFonts w:hint="eastAsia" w:ascii="仿宋" w:hAnsi="仿宋" w:eastAsia="仿宋" w:cs="仿宋"/>
          <w:bCs/>
          <w:sz w:val="24"/>
          <w:lang w:eastAsia="zh-CN"/>
        </w:rPr>
        <w:t>”</w:t>
      </w:r>
      <w:r>
        <w:rPr>
          <w:rFonts w:hint="eastAsia" w:ascii="仿宋" w:hAnsi="仿宋" w:eastAsia="仿宋" w:cs="仿宋"/>
          <w:bCs/>
          <w:sz w:val="24"/>
          <w:lang w:val="en-US" w:eastAsia="zh-CN"/>
        </w:rPr>
        <w:t>中的“</w:t>
      </w:r>
      <w:r>
        <w:rPr>
          <w:rFonts w:hint="eastAsia" w:ascii="仿宋" w:hAnsi="仿宋" w:eastAsia="仿宋" w:cs="仿宋"/>
          <w:bCs/>
          <w:spacing w:val="0"/>
          <w:kern w:val="2"/>
          <w:sz w:val="24"/>
          <w:szCs w:val="24"/>
          <w:lang w:val="en-US" w:eastAsia="zh-CN"/>
        </w:rPr>
        <w:t>项目</w:t>
      </w:r>
      <w:r>
        <w:rPr>
          <w:rFonts w:hint="eastAsia" w:ascii="仿宋" w:hAnsi="仿宋" w:eastAsia="仿宋" w:cs="仿宋"/>
          <w:bCs/>
          <w:spacing w:val="0"/>
          <w:kern w:val="2"/>
          <w:sz w:val="24"/>
          <w:szCs w:val="24"/>
        </w:rPr>
        <w:t>质保要</w:t>
      </w:r>
      <w:r>
        <w:rPr>
          <w:rFonts w:hint="eastAsia" w:ascii="仿宋" w:hAnsi="仿宋" w:eastAsia="仿宋" w:cs="仿宋"/>
          <w:bCs/>
          <w:kern w:val="2"/>
          <w:sz w:val="24"/>
          <w:szCs w:val="24"/>
        </w:rPr>
        <w:t>求</w:t>
      </w:r>
      <w:r>
        <w:rPr>
          <w:rFonts w:hint="eastAsia" w:ascii="仿宋" w:hAnsi="仿宋" w:eastAsia="仿宋" w:cs="仿宋"/>
          <w:bCs/>
          <w:sz w:val="24"/>
          <w:lang w:val="en-US" w:eastAsia="zh-CN"/>
        </w:rPr>
        <w:t>”的相关要求。</w:t>
      </w:r>
    </w:p>
    <w:p w14:paraId="7C3E870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3、为落实政府采购政策需满足的要求；</w:t>
      </w:r>
    </w:p>
    <w:p w14:paraId="19D71C2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119D9B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03901A0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353152A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56D486E">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2B0F7199">
      <w:pPr>
        <w:snapToGrid w:val="0"/>
        <w:spacing w:line="360" w:lineRule="auto"/>
        <w:ind w:firstLine="480" w:firstLineChars="200"/>
        <w:jc w:val="left"/>
        <w:rPr>
          <w:rFonts w:ascii="仿宋" w:hAnsi="仿宋" w:eastAsia="仿宋" w:cs="仿宋"/>
          <w:bCs/>
          <w:sz w:val="24"/>
          <w:highlight w:val="none"/>
        </w:rPr>
      </w:pPr>
      <w:r>
        <w:rPr>
          <w:rFonts w:hint="eastAsia" w:ascii="仿宋" w:hAnsi="仿宋" w:eastAsia="仿宋" w:cs="仿宋"/>
          <w:bCs/>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r>
        <w:rPr>
          <w:rFonts w:hint="eastAsia" w:ascii="仿宋" w:hAnsi="仿宋" w:eastAsia="仿宋" w:cs="仿宋"/>
          <w:b/>
          <w:bCs/>
          <w:sz w:val="24"/>
          <w:highlight w:val="none"/>
        </w:rPr>
        <w:t>投标人应出具招标文件要求的证明材料给予证明，否则评标时不予认可。投标人应对提交的证明材料真实性负责，</w:t>
      </w:r>
      <w:r>
        <w:rPr>
          <w:rFonts w:hint="eastAsia" w:ascii="仿宋" w:hAnsi="仿宋" w:eastAsia="仿宋" w:cs="仿宋"/>
          <w:bCs/>
          <w:sz w:val="24"/>
          <w:highlight w:val="none"/>
        </w:rPr>
        <w:t>提交证明材料不真实的，应承担相应的法律责任。</w:t>
      </w:r>
    </w:p>
    <w:p w14:paraId="58E4F13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4、采购标的的其他技术、服务等要求；</w:t>
      </w:r>
    </w:p>
    <w:p w14:paraId="34E53FB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4.1、技术证明支持材料</w:t>
      </w:r>
    </w:p>
    <w:p w14:paraId="5C7CF03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ascii="仿宋" w:hAnsi="仿宋" w:eastAsia="仿宋" w:cs="仿宋"/>
          <w:bCs/>
          <w:sz w:val="24"/>
        </w:rPr>
      </w:pPr>
      <w:bookmarkStart w:id="22" w:name="OLE_LINK201"/>
      <w:bookmarkStart w:id="23" w:name="OLE_LINK200"/>
      <w:r>
        <w:rPr>
          <w:rFonts w:hint="eastAsia" w:ascii="仿宋" w:hAnsi="仿宋" w:eastAsia="仿宋" w:cs="仿宋"/>
          <w:bCs/>
          <w:sz w:val="24"/>
        </w:rPr>
        <w:t>4.1.</w:t>
      </w:r>
      <w:bookmarkEnd w:id="22"/>
      <w:bookmarkEnd w:id="23"/>
      <w:r>
        <w:rPr>
          <w:rFonts w:hint="eastAsia" w:ascii="仿宋" w:hAnsi="仿宋" w:eastAsia="仿宋" w:cs="仿宋"/>
          <w:bCs/>
          <w:sz w:val="24"/>
        </w:rPr>
        <w:t>1、对于技术规格中标注“★”号的技术参数代表实质性指标，不满足该指标项将直接导致投标被拒绝。</w:t>
      </w:r>
    </w:p>
    <w:p w14:paraId="2016ECF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4.1.2、对于技术规格中标注“★”、“</w:t>
      </w:r>
      <w:r>
        <w:rPr>
          <w:rFonts w:ascii="Times New Roman" w:hAnsi="Times New Roman" w:cs="Times New Roman"/>
          <w:color w:val="000000"/>
          <w:sz w:val="20"/>
          <w:szCs w:val="20"/>
        </w:rPr>
        <w:t>▲</w:t>
      </w:r>
      <w:r>
        <w:rPr>
          <w:rFonts w:hint="eastAsia" w:ascii="仿宋" w:hAnsi="仿宋" w:eastAsia="仿宋" w:cs="仿宋"/>
          <w:bCs/>
          <w:sz w:val="24"/>
        </w:rPr>
        <w:t>”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公章的，评标委员会可不予承认，并可认为该技术应答不符合招标文件要求。由此产生的评标风险，由投标人承担。</w:t>
      </w:r>
    </w:p>
    <w:p w14:paraId="60D9912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37EF4A3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无</w:t>
      </w:r>
    </w:p>
    <w:p w14:paraId="53EAAEFB">
      <w:pPr>
        <w:keepNext w:val="0"/>
        <w:keepLines w:val="0"/>
        <w:pageBreakBefore w:val="0"/>
        <w:widowControl w:val="0"/>
        <w:kinsoku/>
        <w:wordWrap/>
        <w:overflowPunct/>
        <w:topLinePunct w:val="0"/>
        <w:autoSpaceDE/>
        <w:autoSpaceDN/>
        <w:bidi w:val="0"/>
        <w:adjustRightInd/>
        <w:snapToGrid w:val="0"/>
        <w:spacing w:line="360" w:lineRule="auto"/>
        <w:ind w:firstLine="482" w:firstLineChars="200"/>
        <w:jc w:val="left"/>
        <w:textAlignment w:val="auto"/>
        <w:rPr>
          <w:rFonts w:ascii="仿宋" w:hAnsi="仿宋" w:eastAsia="仿宋" w:cs="仿宋"/>
          <w:b/>
          <w:bCs/>
          <w:sz w:val="24"/>
        </w:rPr>
      </w:pPr>
      <w:r>
        <w:rPr>
          <w:rFonts w:hint="eastAsia" w:ascii="仿宋" w:hAnsi="仿宋" w:eastAsia="仿宋" w:cs="仿宋"/>
          <w:b/>
          <w:bCs/>
          <w:sz w:val="24"/>
        </w:rPr>
        <w:t>（三）验收标准</w:t>
      </w:r>
    </w:p>
    <w:p w14:paraId="2A8EF025">
      <w:pPr>
        <w:keepNext w:val="0"/>
        <w:keepLines w:val="0"/>
        <w:pageBreakBefore w:val="0"/>
        <w:widowControl w:val="0"/>
        <w:numPr>
          <w:ilvl w:val="-1"/>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bCs/>
          <w:sz w:val="24"/>
          <w:lang w:val="en-US" w:eastAsia="zh-CN"/>
        </w:rPr>
      </w:pPr>
      <w:r>
        <w:rPr>
          <w:rFonts w:hint="eastAsia" w:ascii="仿宋" w:hAnsi="仿宋" w:eastAsia="仿宋" w:cs="仿宋"/>
          <w:bCs/>
          <w:sz w:val="24"/>
        </w:rPr>
        <w:t>详见</w:t>
      </w:r>
      <w:r>
        <w:rPr>
          <w:rFonts w:hint="eastAsia" w:ascii="仿宋" w:hAnsi="仿宋" w:eastAsia="仿宋" w:cs="仿宋"/>
          <w:bCs/>
          <w:sz w:val="24"/>
          <w:lang w:eastAsia="zh-CN"/>
        </w:rPr>
        <w:t>“</w:t>
      </w:r>
      <w:r>
        <w:rPr>
          <w:rFonts w:hint="eastAsia" w:ascii="仿宋" w:hAnsi="仿宋" w:eastAsia="仿宋" w:cs="仿宋"/>
          <w:bCs/>
          <w:sz w:val="24"/>
          <w:lang w:val="en-US" w:eastAsia="zh-CN"/>
        </w:rPr>
        <w:t xml:space="preserve"> </w:t>
      </w:r>
      <w:r>
        <w:rPr>
          <w:rFonts w:hint="eastAsia" w:ascii="仿宋" w:hAnsi="仿宋" w:eastAsia="仿宋" w:cs="仿宋"/>
          <w:bCs/>
          <w:kern w:val="2"/>
          <w:sz w:val="24"/>
          <w:szCs w:val="24"/>
          <w:lang w:val="en-US" w:eastAsia="zh-CN" w:bidi="ar-SA"/>
        </w:rPr>
        <w:t xml:space="preserve">1、采购标的需满足的性能、材料、结构、外观、质量、安全、技术规格、物理特性等要求： </w:t>
      </w:r>
      <w:r>
        <w:rPr>
          <w:rFonts w:hint="eastAsia" w:ascii="仿宋" w:hAnsi="仿宋" w:eastAsia="仿宋" w:cs="仿宋"/>
          <w:bCs/>
          <w:sz w:val="24"/>
          <w:lang w:val="en-US" w:eastAsia="zh-CN"/>
        </w:rPr>
        <w:t>二、</w:t>
      </w:r>
      <w:r>
        <w:rPr>
          <w:rFonts w:hint="eastAsia" w:ascii="仿宋" w:hAnsi="仿宋" w:eastAsia="仿宋" w:cs="仿宋"/>
          <w:bCs/>
          <w:sz w:val="24"/>
        </w:rPr>
        <w:t>服务要求</w:t>
      </w:r>
      <w:r>
        <w:rPr>
          <w:rFonts w:hint="eastAsia" w:ascii="仿宋" w:hAnsi="仿宋" w:eastAsia="仿宋" w:cs="仿宋"/>
          <w:bCs/>
          <w:sz w:val="24"/>
          <w:lang w:eastAsia="zh-CN"/>
        </w:rPr>
        <w:t>”</w:t>
      </w:r>
      <w:r>
        <w:rPr>
          <w:rFonts w:hint="eastAsia" w:ascii="仿宋" w:hAnsi="仿宋" w:eastAsia="仿宋" w:cs="仿宋"/>
          <w:bCs/>
          <w:sz w:val="24"/>
          <w:lang w:val="en-US" w:eastAsia="zh-CN"/>
        </w:rPr>
        <w:t>中的“验收服务要求”。</w:t>
      </w:r>
    </w:p>
    <w:p w14:paraId="686BC889">
      <w:pPr>
        <w:keepNext w:val="0"/>
        <w:keepLines w:val="0"/>
        <w:pageBreakBefore w:val="0"/>
        <w:widowControl w:val="0"/>
        <w:numPr>
          <w:ilvl w:val="255"/>
          <w:numId w:val="0"/>
        </w:numPr>
        <w:kinsoku/>
        <w:wordWrap/>
        <w:overflowPunct/>
        <w:topLinePunct w:val="0"/>
        <w:autoSpaceDE/>
        <w:autoSpaceDN/>
        <w:bidi w:val="0"/>
        <w:adjustRightInd/>
        <w:snapToGrid w:val="0"/>
        <w:spacing w:line="360" w:lineRule="auto"/>
        <w:ind w:firstLine="482" w:firstLineChars="200"/>
        <w:jc w:val="left"/>
        <w:textAlignment w:val="auto"/>
        <w:rPr>
          <w:rFonts w:ascii="仿宋" w:hAnsi="仿宋" w:eastAsia="仿宋" w:cs="仿宋"/>
          <w:b/>
          <w:bCs/>
          <w:sz w:val="24"/>
        </w:rPr>
      </w:pPr>
      <w:r>
        <w:rPr>
          <w:rFonts w:hint="eastAsia" w:ascii="仿宋" w:hAnsi="仿宋" w:eastAsia="仿宋" w:cs="仿宋"/>
          <w:b/>
          <w:bCs/>
          <w:sz w:val="24"/>
        </w:rPr>
        <w:t>（四）其他要求</w:t>
      </w:r>
    </w:p>
    <w:p w14:paraId="2A2E711C">
      <w:pPr>
        <w:keepNext w:val="0"/>
        <w:keepLines w:val="0"/>
        <w:pageBreakBefore w:val="0"/>
        <w:widowControl w:val="0"/>
        <w:numPr>
          <w:ilvl w:val="255"/>
          <w:numId w:val="0"/>
        </w:numPr>
        <w:kinsoku/>
        <w:wordWrap/>
        <w:overflowPunct/>
        <w:topLinePunct w:val="0"/>
        <w:autoSpaceDE/>
        <w:autoSpaceDN/>
        <w:bidi w:val="0"/>
        <w:adjustRightInd/>
        <w:snapToGrid w:val="0"/>
        <w:spacing w:line="360" w:lineRule="auto"/>
        <w:ind w:firstLine="480" w:firstLineChars="200"/>
        <w:jc w:val="left"/>
        <w:textAlignment w:val="auto"/>
        <w:rPr>
          <w:rFonts w:ascii="仿宋" w:hAnsi="仿宋" w:eastAsia="仿宋" w:cs="仿宋"/>
          <w:bCs/>
          <w:sz w:val="24"/>
        </w:rPr>
      </w:pPr>
      <w:r>
        <w:rPr>
          <w:rFonts w:hint="eastAsia" w:ascii="仿宋" w:hAnsi="仿宋" w:eastAsia="仿宋" w:cs="仿宋"/>
          <w:bCs/>
          <w:sz w:val="24"/>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1BE"/>
    <w:rsid w:val="000B37DB"/>
    <w:rsid w:val="00192931"/>
    <w:rsid w:val="002E144C"/>
    <w:rsid w:val="00310E9B"/>
    <w:rsid w:val="007251BE"/>
    <w:rsid w:val="00876916"/>
    <w:rsid w:val="009F1CBF"/>
    <w:rsid w:val="03CF7C97"/>
    <w:rsid w:val="05D832E5"/>
    <w:rsid w:val="115D1809"/>
    <w:rsid w:val="11861B94"/>
    <w:rsid w:val="12BE7183"/>
    <w:rsid w:val="19A215AC"/>
    <w:rsid w:val="21AF0D0A"/>
    <w:rsid w:val="2A7C622E"/>
    <w:rsid w:val="2C46226B"/>
    <w:rsid w:val="2D382F2D"/>
    <w:rsid w:val="43437BDD"/>
    <w:rsid w:val="500A28C8"/>
    <w:rsid w:val="5C480E38"/>
    <w:rsid w:val="67746F85"/>
    <w:rsid w:val="730B69EF"/>
    <w:rsid w:val="79EB1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4"/>
    <w:basedOn w:val="1"/>
    <w:next w:val="1"/>
    <w:qFormat/>
    <w:uiPriority w:val="9"/>
    <w:pPr>
      <w:keepNext/>
      <w:keepLines/>
      <w:adjustRightInd w:val="0"/>
      <w:spacing w:before="280" w:after="290" w:line="376" w:lineRule="atLeast"/>
      <w:textAlignment w:val="baseline"/>
      <w:outlineLvl w:val="3"/>
    </w:pPr>
    <w:rPr>
      <w:kern w:val="0"/>
      <w:sz w:val="24"/>
      <w:szCs w:val="20"/>
    </w:rPr>
  </w:style>
  <w:style w:type="paragraph" w:styleId="3">
    <w:name w:val="heading 5"/>
    <w:basedOn w:val="1"/>
    <w:next w:val="1"/>
    <w:qFormat/>
    <w:uiPriority w:val="9"/>
    <w:pPr>
      <w:keepNext/>
      <w:keepLines/>
      <w:adjustRightInd w:val="0"/>
      <w:spacing w:before="280" w:after="290" w:line="376" w:lineRule="atLeast"/>
      <w:textAlignment w:val="baseline"/>
      <w:outlineLvl w:val="4"/>
    </w:pPr>
    <w:rPr>
      <w:b/>
      <w:kern w:val="0"/>
      <w:sz w:val="28"/>
      <w:szCs w:val="20"/>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5">
    <w:name w:val="Body Text 3"/>
    <w:basedOn w:val="1"/>
    <w:qFormat/>
    <w:uiPriority w:val="0"/>
    <w:pPr>
      <w:spacing w:after="120"/>
    </w:pPr>
    <w:rPr>
      <w:sz w:val="16"/>
      <w:szCs w:val="16"/>
    </w:rPr>
  </w:style>
  <w:style w:type="paragraph" w:styleId="6">
    <w:name w:val="Body Text"/>
    <w:basedOn w:val="1"/>
    <w:link w:val="14"/>
    <w:semiHidden/>
    <w:unhideWhenUsed/>
    <w:qFormat/>
    <w:uiPriority w:val="99"/>
    <w:pPr>
      <w:spacing w:after="120"/>
    </w:pPr>
  </w:style>
  <w:style w:type="paragraph" w:styleId="7">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11">
    <w:name w:val="annotation reference"/>
    <w:qFormat/>
    <w:uiPriority w:val="99"/>
    <w:rPr>
      <w:sz w:val="21"/>
      <w:szCs w:val="21"/>
    </w:rPr>
  </w:style>
  <w:style w:type="character" w:customStyle="1" w:styleId="12">
    <w:name w:val="页眉 Char"/>
    <w:basedOn w:val="10"/>
    <w:link w:val="8"/>
    <w:qFormat/>
    <w:uiPriority w:val="99"/>
    <w:rPr>
      <w:sz w:val="18"/>
      <w:szCs w:val="18"/>
    </w:rPr>
  </w:style>
  <w:style w:type="character" w:customStyle="1" w:styleId="13">
    <w:name w:val="页脚 Char"/>
    <w:basedOn w:val="10"/>
    <w:link w:val="7"/>
    <w:qFormat/>
    <w:uiPriority w:val="99"/>
    <w:rPr>
      <w:sz w:val="18"/>
      <w:szCs w:val="18"/>
    </w:rPr>
  </w:style>
  <w:style w:type="character" w:customStyle="1" w:styleId="14">
    <w:name w:val="正文文本 Char"/>
    <w:basedOn w:val="10"/>
    <w:link w:val="6"/>
    <w:semiHidden/>
    <w:qFormat/>
    <w:uiPriority w:val="99"/>
    <w:rPr>
      <w:rFonts w:ascii="Calibri" w:hAnsi="Calibri" w:eastAsia="宋体" w:cs="Times New Roman"/>
      <w:szCs w:val="24"/>
    </w:rPr>
  </w:style>
  <w:style w:type="paragraph" w:customStyle="1" w:styleId="15">
    <w:name w:val="列出段落1"/>
    <w:basedOn w:val="1"/>
    <w:link w:val="16"/>
    <w:qFormat/>
    <w:uiPriority w:val="0"/>
    <w:pPr>
      <w:ind w:firstLine="420" w:firstLineChars="200"/>
    </w:pPr>
    <w:rPr>
      <w:szCs w:val="22"/>
    </w:rPr>
  </w:style>
  <w:style w:type="character" w:customStyle="1" w:styleId="16">
    <w:name w:val="List Paragraph Char"/>
    <w:link w:val="15"/>
    <w:qFormat/>
    <w:locked/>
    <w:uiPriority w:val="0"/>
    <w:rPr>
      <w:rFonts w:ascii="Calibri" w:hAnsi="Calibri" w:eastAsia="宋体" w:cs="Times New Roman"/>
    </w:rPr>
  </w:style>
  <w:style w:type="paragraph" w:customStyle="1" w:styleId="17">
    <w:name w:val="pf0"/>
    <w:basedOn w:val="1"/>
    <w:qFormat/>
    <w:uiPriority w:val="0"/>
    <w:pPr>
      <w:widowControl/>
      <w:spacing w:before="100" w:beforeAutospacing="1" w:after="100" w:afterAutospacing="1"/>
      <w:jc w:val="left"/>
    </w:pPr>
    <w:rPr>
      <w:rFonts w:ascii="宋体" w:hAnsi="宋体" w:cs="宋体"/>
      <w:kern w:val="0"/>
      <w:sz w:val="24"/>
    </w:rPr>
  </w:style>
  <w:style w:type="paragraph" w:styleId="18">
    <w:name w:val="List Paragraph"/>
    <w:basedOn w:val="1"/>
    <w:qFormat/>
    <w:uiPriority w:val="34"/>
    <w:pPr>
      <w:ind w:firstLine="420" w:firstLineChars="200"/>
    </w:pPr>
    <w:rPr>
      <w:rFonts w:ascii="Calibri" w:hAnsi="Calibri"/>
      <w:szCs w:val="22"/>
    </w:rPr>
  </w:style>
  <w:style w:type="paragraph" w:customStyle="1" w:styleId="19">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0">
    <w:name w:val="样式 63 小四"/>
    <w:qFormat/>
    <w:uiPriority w:val="0"/>
    <w:pPr>
      <w:spacing w:after="5" w:line="269" w:lineRule="auto"/>
      <w:ind w:left="130" w:hanging="10"/>
    </w:pPr>
    <w:rPr>
      <w:rFonts w:ascii="微软雅黑" w:hAnsi="Times New Roman" w:eastAsia="微软雅黑" w:cs="微软雅黑"/>
      <w:color w:val="000000"/>
      <w:kern w:val="2"/>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52</Pages>
  <Words>4104</Words>
  <Characters>4481</Characters>
  <Lines>43</Lines>
  <Paragraphs>12</Paragraphs>
  <TotalTime>0</TotalTime>
  <ScaleCrop>false</ScaleCrop>
  <LinksUpToDate>false</LinksUpToDate>
  <CharactersWithSpaces>4503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2026-01-14T02:10:00Z</dcterms:created>
  <dc:creator>Lenovo</dc:creator>
  <cp:lastModifiedBy>赵雨辰</cp:lastModifiedBy>
  <dcterms:modified xsi:type="dcterms:W3CDTF">2026-08-28T06:30:54Z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2052-12.1.0.28505</vt:lpwstr>
  </property>
  <property fmtid="{D5CDD505-2E9C-101B-9397-08002B2CF9AE}" pid="4" name="ICV">
    <vt:lpwstr>504342F640B84263AA15B8620D91F45A_12</vt:lpwstr>
  </property>
</Properties>
</file>