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67E1CE">
      <w:pPr>
        <w:snapToGrid w:val="0"/>
        <w:spacing w:line="360" w:lineRule="auto"/>
        <w:jc w:val="center"/>
        <w:outlineLvl w:val="0"/>
        <w:rPr>
          <w:rFonts w:ascii="仿宋" w:hAnsi="仿宋" w:eastAsia="仿宋" w:cs="仿宋"/>
          <w:b/>
          <w:sz w:val="40"/>
          <w:szCs w:val="40"/>
        </w:rPr>
      </w:pPr>
      <w:bookmarkStart w:id="0" w:name="OLE_LINK27"/>
      <w:bookmarkStart w:id="1" w:name="OLE_LINK34"/>
      <w:bookmarkStart w:id="2" w:name="OLE_LINK33"/>
      <w:r>
        <w:rPr>
          <w:rFonts w:hint="eastAsia" w:ascii="仿宋" w:hAnsi="仿宋" w:eastAsia="仿宋" w:cs="仿宋"/>
          <w:b/>
          <w:sz w:val="40"/>
          <w:szCs w:val="40"/>
        </w:rPr>
        <w:t>采购需求</w:t>
      </w:r>
    </w:p>
    <w:p w14:paraId="0E1409C7">
      <w:pPr>
        <w:snapToGrid w:val="0"/>
        <w:spacing w:line="360" w:lineRule="auto"/>
        <w:contextualSpacing/>
        <w:rPr>
          <w:rFonts w:ascii="仿宋" w:hAnsi="仿宋" w:eastAsia="仿宋" w:cs="仿宋"/>
          <w:sz w:val="28"/>
          <w:szCs w:val="28"/>
        </w:rPr>
      </w:pPr>
      <w:r>
        <w:rPr>
          <w:rFonts w:hint="eastAsia" w:ascii="仿宋" w:hAnsi="仿宋" w:eastAsia="仿宋" w:cs="仿宋"/>
          <w:sz w:val="28"/>
          <w:szCs w:val="28"/>
        </w:rPr>
        <w:t>说明：</w:t>
      </w:r>
    </w:p>
    <w:p w14:paraId="282DD25B">
      <w:pPr>
        <w:snapToGrid w:val="0"/>
        <w:spacing w:line="360" w:lineRule="auto"/>
        <w:contextualSpacing/>
        <w:rPr>
          <w:rFonts w:ascii="仿宋" w:hAnsi="仿宋" w:eastAsia="仿宋" w:cs="仿宋"/>
          <w:sz w:val="28"/>
          <w:szCs w:val="28"/>
        </w:rPr>
      </w:pPr>
      <w:bookmarkStart w:id="3" w:name="_Hlk167284587"/>
      <w:r>
        <w:rPr>
          <w:rFonts w:hint="eastAsia" w:ascii="仿宋" w:hAnsi="仿宋" w:eastAsia="仿宋" w:cs="仿宋"/>
          <w:sz w:val="28"/>
          <w:szCs w:val="28"/>
        </w:rPr>
        <w:t>1. 当采购项目涉及政务信息系统时，采购需求应当符合《政务信息系统政府采购管理暂行办法》（财库〔2017〕210号）的相关要求。</w:t>
      </w:r>
    </w:p>
    <w:p w14:paraId="1FFDAC17">
      <w:pPr>
        <w:snapToGrid w:val="0"/>
        <w:spacing w:line="360" w:lineRule="auto"/>
        <w:contextualSpacing/>
        <w:rPr>
          <w:rFonts w:ascii="仿宋" w:hAnsi="仿宋" w:eastAsia="仿宋" w:cs="仿宋"/>
          <w:sz w:val="28"/>
          <w:szCs w:val="28"/>
        </w:rPr>
      </w:pPr>
      <w:bookmarkStart w:id="4" w:name="_Hlk168431603"/>
      <w:r>
        <w:rPr>
          <w:rFonts w:hint="eastAsia" w:ascii="仿宋" w:hAnsi="仿宋" w:eastAsia="仿宋" w:cs="仿宋"/>
          <w:sz w:val="28"/>
          <w:szCs w:val="28"/>
        </w:rPr>
        <w:t>2. 采购人及采购代理机构应关注财政部门会同有关部门制定发布的需求标准，结合具体应用场景，根据对应《需求标准》确定采购需求。</w:t>
      </w:r>
    </w:p>
    <w:p w14:paraId="62CBA4FB">
      <w:pPr>
        <w:snapToGrid w:val="0"/>
        <w:spacing w:line="360" w:lineRule="auto"/>
        <w:contextualSpacing/>
        <w:rPr>
          <w:rFonts w:ascii="仿宋" w:hAnsi="仿宋" w:eastAsia="仿宋" w:cs="仿宋"/>
          <w:sz w:val="28"/>
          <w:szCs w:val="28"/>
        </w:rPr>
      </w:pPr>
      <w:r>
        <w:rPr>
          <w:rFonts w:hint="eastAsia" w:ascii="仿宋" w:hAnsi="仿宋" w:eastAsia="仿宋" w:cs="仿宋"/>
          <w:sz w:val="28"/>
          <w:szCs w:val="28"/>
        </w:rPr>
        <w:t>已发布的需求标准如下：</w:t>
      </w:r>
    </w:p>
    <w:p w14:paraId="5392277C">
      <w:pPr>
        <w:snapToGrid w:val="0"/>
        <w:spacing w:line="360" w:lineRule="auto"/>
        <w:contextualSpacing/>
        <w:rPr>
          <w:rFonts w:ascii="仿宋" w:hAnsi="仿宋" w:eastAsia="仿宋" w:cs="仿宋"/>
          <w:sz w:val="28"/>
          <w:szCs w:val="28"/>
        </w:rPr>
      </w:pPr>
      <w:r>
        <w:rPr>
          <w:rFonts w:hint="eastAsia" w:ascii="仿宋" w:hAnsi="仿宋" w:eastAsia="仿宋" w:cs="仿宋"/>
          <w:sz w:val="28"/>
          <w:szCs w:val="28"/>
        </w:rPr>
        <w:t>《关于印发〈商品包装政府采购需求标准（试行）〉、〈快递包装政府采购需求标准（试行）〉的通知》（财办库﹝2020﹞123号））</w:t>
      </w:r>
    </w:p>
    <w:p w14:paraId="7D6FF7A5">
      <w:pPr>
        <w:pStyle w:val="9"/>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《绿色数据中心政府采购需求标准（试行）》（财库〔2023〕7号）</w:t>
      </w:r>
    </w:p>
    <w:p w14:paraId="15EEB4ED">
      <w:pPr>
        <w:pStyle w:val="9"/>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《台式计算机政府采购需求标准（2023年版）》（财库〔2023〕29号）</w:t>
      </w:r>
    </w:p>
    <w:p w14:paraId="1F737E4B">
      <w:pPr>
        <w:pStyle w:val="9"/>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《便携式计算机政府采购需求标准（2023年版）》（财库〔2023〕30号）</w:t>
      </w:r>
    </w:p>
    <w:p w14:paraId="0F9217E8">
      <w:pPr>
        <w:pStyle w:val="9"/>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《一体式计算机政府采购需求标准（2023年版）》（财库〔2023〕31号）</w:t>
      </w:r>
    </w:p>
    <w:p w14:paraId="594B9E08">
      <w:pPr>
        <w:pStyle w:val="9"/>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《工作站政府采购需求标准（2023年版）》（财库〔2023〕32号）</w:t>
      </w:r>
    </w:p>
    <w:p w14:paraId="107EFED6">
      <w:pPr>
        <w:pStyle w:val="9"/>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《通用服务器政府采购需求标准（2023年版）》（财库〔2023〕33号）</w:t>
      </w:r>
    </w:p>
    <w:p w14:paraId="00C84D68">
      <w:pPr>
        <w:pStyle w:val="9"/>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《操作系统政府采购需求标准（2023年版）》（财库〔2023〕34号）</w:t>
      </w:r>
    </w:p>
    <w:p w14:paraId="7D743AE2">
      <w:pPr>
        <w:pStyle w:val="9"/>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《数据库政府采购需求标准（2023年版）》（财库〔2023〕35号）</w:t>
      </w:r>
    </w:p>
    <w:p w14:paraId="4D4CF97C">
      <w:pPr>
        <w:pStyle w:val="9"/>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《物业管理服务政府采购需求标准（办公场所类）（试行）》（财办库〔2024〕113号）</w:t>
      </w:r>
    </w:p>
    <w:p w14:paraId="0A359415">
      <w:pPr>
        <w:snapToGrid w:val="0"/>
        <w:spacing w:line="360" w:lineRule="auto"/>
        <w:contextualSpacing/>
        <w:rPr>
          <w:rFonts w:ascii="仿宋" w:hAnsi="仿宋" w:eastAsia="仿宋" w:cs="仿宋"/>
          <w:sz w:val="28"/>
          <w:szCs w:val="28"/>
        </w:rPr>
      </w:pPr>
      <w:r>
        <w:rPr>
          <w:rFonts w:hint="eastAsia" w:ascii="仿宋" w:hAnsi="仿宋" w:eastAsia="仿宋" w:cs="仿宋"/>
          <w:sz w:val="28"/>
          <w:szCs w:val="28"/>
        </w:rPr>
        <w:t>如有更新或增加，以财政部门发布为准。</w:t>
      </w:r>
      <w:bookmarkEnd w:id="3"/>
      <w:bookmarkEnd w:id="4"/>
    </w:p>
    <w:p w14:paraId="124FF43A">
      <w:pPr>
        <w:widowControl/>
        <w:snapToGrid w:val="0"/>
        <w:spacing w:line="360" w:lineRule="auto"/>
        <w:jc w:val="left"/>
        <w:rPr>
          <w:rFonts w:ascii="仿宋" w:hAnsi="仿宋" w:eastAsia="仿宋" w:cs="仿宋"/>
          <w:b/>
          <w:sz w:val="28"/>
          <w:szCs w:val="28"/>
        </w:rPr>
      </w:pPr>
      <w:r>
        <w:rPr>
          <w:rFonts w:ascii="仿宋" w:hAnsi="仿宋" w:eastAsia="仿宋" w:cs="仿宋"/>
          <w:b/>
          <w:sz w:val="28"/>
          <w:szCs w:val="28"/>
        </w:rPr>
        <w:br w:type="page"/>
      </w:r>
    </w:p>
    <w:p w14:paraId="1D92DD00">
      <w:pPr>
        <w:snapToGrid w:val="0"/>
        <w:spacing w:line="360" w:lineRule="auto"/>
        <w:rPr>
          <w:rFonts w:ascii="仿宋" w:hAnsi="仿宋" w:eastAsia="仿宋" w:cs="仿宋"/>
          <w:b/>
          <w:sz w:val="24"/>
        </w:rPr>
      </w:pPr>
      <w:r>
        <w:rPr>
          <w:rFonts w:hint="eastAsia" w:ascii="仿宋" w:hAnsi="仿宋" w:eastAsia="仿宋" w:cs="仿宋"/>
          <w:b/>
          <w:sz w:val="24"/>
        </w:rPr>
        <w:t>一、采购标的</w:t>
      </w:r>
    </w:p>
    <w:p w14:paraId="6144BCC2">
      <w:pPr>
        <w:snapToGrid w:val="0"/>
        <w:spacing w:line="360" w:lineRule="auto"/>
        <w:rPr>
          <w:rFonts w:ascii="仿宋" w:hAnsi="仿宋" w:eastAsia="仿宋" w:cs="仿宋"/>
          <w:bCs/>
          <w:sz w:val="24"/>
        </w:rPr>
      </w:pPr>
      <w:r>
        <w:rPr>
          <w:rFonts w:hint="eastAsia" w:ascii="仿宋" w:hAnsi="仿宋" w:eastAsia="仿宋" w:cs="仿宋"/>
          <w:bCs/>
          <w:sz w:val="24"/>
        </w:rPr>
        <w:t>（一）采购标的（货物需求一览表或简要服务内容及数量）</w:t>
      </w:r>
    </w:p>
    <w:tbl>
      <w:tblPr>
        <w:tblStyle w:val="6"/>
        <w:tblW w:w="455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7"/>
        <w:gridCol w:w="1078"/>
        <w:gridCol w:w="2732"/>
        <w:gridCol w:w="1634"/>
        <w:gridCol w:w="1343"/>
      </w:tblGrid>
      <w:tr w14:paraId="3055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629" w:type="pct"/>
            <w:vAlign w:val="center"/>
          </w:tcPr>
          <w:p w14:paraId="584F75B3">
            <w:pPr>
              <w:widowControl/>
              <w:spacing w:line="360" w:lineRule="auto"/>
              <w:jc w:val="center"/>
              <w:rPr>
                <w:rFonts w:ascii="仿宋" w:hAnsi="仿宋" w:eastAsia="仿宋" w:cs="仿宋"/>
                <w:b/>
                <w:bCs/>
                <w:sz w:val="24"/>
              </w:rPr>
            </w:pPr>
            <w:r>
              <w:rPr>
                <w:rFonts w:hint="eastAsia" w:ascii="仿宋" w:hAnsi="仿宋" w:eastAsia="仿宋" w:cs="仿宋"/>
                <w:b/>
                <w:bCs/>
                <w:sz w:val="24"/>
              </w:rPr>
              <w:t>包号</w:t>
            </w:r>
          </w:p>
        </w:tc>
        <w:tc>
          <w:tcPr>
            <w:tcW w:w="694" w:type="pct"/>
            <w:vAlign w:val="center"/>
          </w:tcPr>
          <w:p w14:paraId="3FE07FBC">
            <w:pPr>
              <w:widowControl/>
              <w:spacing w:line="360" w:lineRule="auto"/>
              <w:jc w:val="center"/>
              <w:rPr>
                <w:rFonts w:ascii="仿宋" w:hAnsi="仿宋" w:eastAsia="仿宋" w:cs="仿宋"/>
                <w:b/>
                <w:bCs/>
                <w:sz w:val="24"/>
              </w:rPr>
            </w:pPr>
            <w:r>
              <w:rPr>
                <w:rFonts w:hint="eastAsia" w:ascii="仿宋" w:hAnsi="仿宋" w:eastAsia="仿宋" w:cs="仿宋"/>
                <w:b/>
                <w:bCs/>
                <w:sz w:val="24"/>
              </w:rPr>
              <w:t>品目号</w:t>
            </w:r>
          </w:p>
        </w:tc>
        <w:tc>
          <w:tcPr>
            <w:tcW w:w="1759" w:type="pct"/>
            <w:shd w:val="clear" w:color="000000" w:fill="FFFFFF"/>
            <w:vAlign w:val="center"/>
          </w:tcPr>
          <w:p w14:paraId="7E3516E4">
            <w:pPr>
              <w:widowControl/>
              <w:spacing w:line="360" w:lineRule="auto"/>
              <w:jc w:val="center"/>
              <w:rPr>
                <w:rFonts w:ascii="仿宋" w:hAnsi="仿宋" w:eastAsia="仿宋" w:cs="仿宋"/>
                <w:b/>
                <w:bCs/>
                <w:sz w:val="24"/>
              </w:rPr>
            </w:pPr>
            <w:r>
              <w:rPr>
                <w:rFonts w:hint="eastAsia" w:ascii="仿宋" w:hAnsi="仿宋" w:eastAsia="仿宋" w:cs="仿宋"/>
                <w:b/>
                <w:bCs/>
                <w:sz w:val="24"/>
              </w:rPr>
              <w:t>标的名称</w:t>
            </w:r>
          </w:p>
        </w:tc>
        <w:tc>
          <w:tcPr>
            <w:tcW w:w="1052" w:type="pct"/>
            <w:shd w:val="clear" w:color="000000" w:fill="FFFFFF"/>
            <w:vAlign w:val="center"/>
          </w:tcPr>
          <w:p w14:paraId="744517A3">
            <w:pPr>
              <w:widowControl/>
              <w:spacing w:line="360" w:lineRule="auto"/>
              <w:jc w:val="center"/>
              <w:rPr>
                <w:rFonts w:ascii="仿宋" w:hAnsi="仿宋" w:eastAsia="仿宋" w:cs="仿宋"/>
                <w:b/>
                <w:bCs/>
                <w:sz w:val="24"/>
              </w:rPr>
            </w:pPr>
            <w:r>
              <w:rPr>
                <w:rFonts w:ascii="仿宋" w:hAnsi="仿宋" w:eastAsia="仿宋" w:cs="仿宋"/>
                <w:b/>
                <w:bCs/>
                <w:sz w:val="24"/>
              </w:rPr>
              <w:t>数量（台</w:t>
            </w:r>
            <w:r>
              <w:rPr>
                <w:rFonts w:hint="eastAsia" w:ascii="仿宋" w:hAnsi="仿宋" w:eastAsia="仿宋" w:cs="仿宋"/>
                <w:b/>
                <w:bCs/>
                <w:sz w:val="24"/>
              </w:rPr>
              <w:t>/套</w:t>
            </w:r>
            <w:r>
              <w:rPr>
                <w:rFonts w:ascii="仿宋" w:hAnsi="仿宋" w:eastAsia="仿宋" w:cs="仿宋"/>
                <w:b/>
                <w:bCs/>
                <w:sz w:val="24"/>
              </w:rPr>
              <w:t>）</w:t>
            </w:r>
          </w:p>
        </w:tc>
        <w:tc>
          <w:tcPr>
            <w:tcW w:w="864" w:type="pct"/>
            <w:shd w:val="clear" w:color="000000" w:fill="FFFFFF"/>
            <w:vAlign w:val="center"/>
          </w:tcPr>
          <w:p w14:paraId="1D6ED123">
            <w:pPr>
              <w:widowControl/>
              <w:spacing w:line="360" w:lineRule="auto"/>
              <w:jc w:val="center"/>
              <w:rPr>
                <w:rFonts w:ascii="仿宋" w:hAnsi="仿宋" w:eastAsia="仿宋" w:cs="仿宋"/>
                <w:b/>
                <w:bCs/>
                <w:sz w:val="24"/>
              </w:rPr>
            </w:pPr>
            <w:r>
              <w:rPr>
                <w:rFonts w:hint="eastAsia" w:ascii="仿宋" w:hAnsi="仿宋" w:eastAsia="仿宋" w:cs="仿宋"/>
                <w:b/>
                <w:bCs/>
                <w:sz w:val="24"/>
              </w:rPr>
              <w:t>是否接受进口产品</w:t>
            </w:r>
          </w:p>
        </w:tc>
      </w:tr>
      <w:tr w14:paraId="53D5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629" w:type="pct"/>
            <w:vAlign w:val="center"/>
          </w:tcPr>
          <w:p w14:paraId="0B372A7E">
            <w:pPr>
              <w:spacing w:before="120" w:line="360" w:lineRule="auto"/>
              <w:contextualSpacing/>
              <w:jc w:val="center"/>
              <w:rPr>
                <w:rFonts w:ascii="仿宋" w:hAnsi="仿宋" w:eastAsia="仿宋" w:cs="仿宋"/>
                <w:bCs/>
                <w:sz w:val="24"/>
              </w:rPr>
            </w:pPr>
            <w:bookmarkStart w:id="5" w:name="_Hlk229472062"/>
            <w:r>
              <w:rPr>
                <w:rFonts w:hint="eastAsia" w:ascii="仿宋" w:hAnsi="仿宋" w:eastAsia="仿宋" w:cs="仿宋"/>
                <w:bCs/>
                <w:sz w:val="24"/>
              </w:rPr>
              <w:t>1</w:t>
            </w:r>
          </w:p>
        </w:tc>
        <w:tc>
          <w:tcPr>
            <w:tcW w:w="694" w:type="pct"/>
            <w:vAlign w:val="center"/>
          </w:tcPr>
          <w:p w14:paraId="3AA66EB7">
            <w:pPr>
              <w:widowControl/>
              <w:spacing w:before="120" w:line="360" w:lineRule="auto"/>
              <w:contextualSpacing/>
              <w:jc w:val="center"/>
              <w:rPr>
                <w:rFonts w:ascii="仿宋" w:hAnsi="仿宋" w:eastAsia="仿宋" w:cs="仿宋"/>
                <w:bCs/>
                <w:sz w:val="24"/>
              </w:rPr>
            </w:pPr>
            <w:r>
              <w:rPr>
                <w:rFonts w:hint="eastAsia" w:ascii="仿宋" w:hAnsi="仿宋" w:eastAsia="仿宋" w:cs="仿宋"/>
                <w:bCs/>
                <w:sz w:val="24"/>
              </w:rPr>
              <w:t>1</w:t>
            </w:r>
            <w:r>
              <w:rPr>
                <w:rFonts w:ascii="仿宋" w:hAnsi="仿宋" w:eastAsia="仿宋" w:cs="仿宋"/>
                <w:bCs/>
                <w:sz w:val="24"/>
              </w:rPr>
              <w:t>-1</w:t>
            </w:r>
          </w:p>
        </w:tc>
        <w:tc>
          <w:tcPr>
            <w:tcW w:w="1759" w:type="pct"/>
            <w:shd w:val="clear" w:color="000000" w:fill="FFFFFF"/>
            <w:vAlign w:val="center"/>
          </w:tcPr>
          <w:p w14:paraId="61B47E27">
            <w:pPr>
              <w:widowControl/>
              <w:spacing w:before="120" w:line="360" w:lineRule="auto"/>
              <w:contextualSpacing/>
              <w:jc w:val="center"/>
              <w:rPr>
                <w:rFonts w:ascii="仿宋" w:hAnsi="仿宋" w:eastAsia="仿宋" w:cs="仿宋"/>
                <w:bCs/>
                <w:sz w:val="24"/>
              </w:rPr>
            </w:pPr>
            <w:r>
              <w:rPr>
                <w:rFonts w:hint="eastAsia" w:ascii="仿宋" w:hAnsi="仿宋" w:eastAsia="仿宋" w:cs="仿宋"/>
                <w:bCs/>
                <w:sz w:val="24"/>
              </w:rPr>
              <w:t>小动物代谢笼</w:t>
            </w:r>
          </w:p>
        </w:tc>
        <w:tc>
          <w:tcPr>
            <w:tcW w:w="1052" w:type="pct"/>
            <w:shd w:val="clear" w:color="000000" w:fill="FFFFFF"/>
            <w:vAlign w:val="center"/>
          </w:tcPr>
          <w:p w14:paraId="3B9DA3E1">
            <w:pPr>
              <w:spacing w:line="360" w:lineRule="auto"/>
              <w:jc w:val="center"/>
              <w:rPr>
                <w:rFonts w:ascii="仿宋" w:hAnsi="仿宋" w:eastAsia="仿宋" w:cs="仿宋"/>
                <w:bCs/>
                <w:sz w:val="24"/>
              </w:rPr>
            </w:pPr>
            <w:bookmarkStart w:id="6" w:name="OLE_LINK10"/>
            <w:r>
              <w:rPr>
                <w:rFonts w:hint="eastAsia" w:ascii="仿宋" w:hAnsi="仿宋" w:eastAsia="仿宋" w:cs="仿宋"/>
                <w:bCs/>
                <w:sz w:val="24"/>
              </w:rPr>
              <w:t>1</w:t>
            </w:r>
            <w:bookmarkEnd w:id="6"/>
          </w:p>
        </w:tc>
        <w:tc>
          <w:tcPr>
            <w:tcW w:w="864" w:type="pct"/>
            <w:shd w:val="clear" w:color="000000" w:fill="FFFFFF"/>
            <w:vAlign w:val="center"/>
          </w:tcPr>
          <w:p w14:paraId="610A3BA3">
            <w:pPr>
              <w:spacing w:line="360" w:lineRule="auto"/>
              <w:jc w:val="center"/>
              <w:rPr>
                <w:rFonts w:ascii="仿宋" w:hAnsi="仿宋" w:eastAsia="仿宋" w:cs="仿宋"/>
                <w:bCs/>
                <w:sz w:val="24"/>
              </w:rPr>
            </w:pPr>
            <w:r>
              <w:rPr>
                <w:rFonts w:hint="eastAsia" w:ascii="仿宋" w:hAnsi="仿宋" w:eastAsia="仿宋" w:cs="仿宋"/>
                <w:bCs/>
                <w:sz w:val="24"/>
              </w:rPr>
              <w:t>是</w:t>
            </w:r>
          </w:p>
        </w:tc>
      </w:tr>
      <w:bookmarkEnd w:id="5"/>
    </w:tbl>
    <w:p w14:paraId="196D98C1">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（二）项目背景/项目概述</w:t>
      </w:r>
    </w:p>
    <w:p w14:paraId="78A4AEDF">
      <w:pPr>
        <w:spacing w:line="360" w:lineRule="auto"/>
        <w:ind w:firstLine="480" w:firstLineChars="200"/>
        <w:rPr>
          <w:rFonts w:ascii="仿宋" w:hAnsi="仿宋" w:eastAsia="仿宋"/>
          <w:sz w:val="24"/>
        </w:rPr>
      </w:pPr>
      <w:bookmarkStart w:id="7" w:name="OLE_LINK178"/>
      <w:bookmarkStart w:id="8" w:name="OLE_LINK179"/>
      <w:r>
        <w:rPr>
          <w:rFonts w:hint="eastAsia" w:ascii="仿宋" w:hAnsi="仿宋" w:eastAsia="仿宋"/>
          <w:sz w:val="24"/>
        </w:rPr>
        <w:t>本次招标采购项目为北京市糖尿病研究所仪器公共平台二期建设其他医疗设备采购项目(2)，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7"/>
      <w:bookmarkEnd w:id="8"/>
    </w:p>
    <w:p w14:paraId="25BFACC4">
      <w:pPr>
        <w:tabs>
          <w:tab w:val="left" w:pos="5456"/>
        </w:tabs>
        <w:snapToGrid w:val="0"/>
        <w:spacing w:line="360" w:lineRule="auto"/>
        <w:ind w:firstLine="482" w:firstLineChars="200"/>
        <w:rPr>
          <w:rFonts w:ascii="仿宋" w:hAnsi="仿宋" w:eastAsia="仿宋" w:cs="仿宋"/>
          <w:b/>
          <w:bCs/>
          <w:sz w:val="24"/>
        </w:rPr>
      </w:pPr>
      <w:bookmarkStart w:id="9" w:name="OLE_LINK368"/>
      <w:r>
        <w:rPr>
          <w:rFonts w:hint="eastAsia" w:ascii="仿宋" w:hAnsi="仿宋" w:eastAsia="仿宋" w:cs="仿宋"/>
          <w:b/>
          <w:bCs/>
          <w:sz w:val="24"/>
        </w:rPr>
        <w:t>二、商务要求</w:t>
      </w:r>
      <w:bookmarkEnd w:id="9"/>
      <w:r>
        <w:rPr>
          <w:rFonts w:ascii="仿宋" w:hAnsi="仿宋" w:eastAsia="仿宋" w:cs="仿宋"/>
          <w:b/>
          <w:bCs/>
          <w:sz w:val="24"/>
        </w:rPr>
        <w:tab/>
      </w:r>
    </w:p>
    <w:p w14:paraId="79FCE168">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（一）交付（实施）的时间（期限）和地点（范围）</w:t>
      </w:r>
    </w:p>
    <w:p w14:paraId="047FD4AD">
      <w:pPr>
        <w:snapToGrid w:val="0"/>
        <w:spacing w:line="360" w:lineRule="auto"/>
        <w:ind w:firstLine="480" w:firstLineChars="200"/>
        <w:rPr>
          <w:rStyle w:val="8"/>
          <w:rFonts w:ascii="仿宋" w:hAnsi="仿宋" w:eastAsia="仿宋" w:cs="仿宋"/>
          <w:sz w:val="24"/>
          <w:szCs w:val="24"/>
        </w:rPr>
      </w:pPr>
      <w:r>
        <w:rPr>
          <w:rFonts w:hint="eastAsia" w:ascii="仿宋" w:hAnsi="仿宋" w:eastAsia="仿宋" w:cs="仿宋"/>
          <w:bCs/>
          <w:sz w:val="24"/>
        </w:rPr>
        <w:t>1、交付时间：</w:t>
      </w:r>
      <w:r>
        <w:rPr>
          <w:rFonts w:hint="eastAsia" w:ascii="仿宋" w:hAnsi="仿宋" w:eastAsia="仿宋" w:cs="仿宋"/>
          <w:sz w:val="24"/>
        </w:rPr>
        <w:t>自合同签订后90日内。</w:t>
      </w:r>
    </w:p>
    <w:p w14:paraId="79B61FDC">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2、交付地点：</w:t>
      </w:r>
      <w:r>
        <w:rPr>
          <w:rFonts w:hint="eastAsia" w:ascii="仿宋" w:hAnsi="仿宋" w:eastAsia="仿宋" w:cs="宋体"/>
          <w:sz w:val="24"/>
        </w:rPr>
        <w:t>北京市糖尿病研究所（北京市糖尿病防治办公室）指定地点。</w:t>
      </w:r>
    </w:p>
    <w:p w14:paraId="5A99F60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（二）付款条件（进度和方式）</w:t>
      </w:r>
    </w:p>
    <w:p w14:paraId="4645A7A7">
      <w:pPr>
        <w:snapToGrid w:val="0"/>
        <w:spacing w:line="360" w:lineRule="auto"/>
        <w:ind w:firstLine="480" w:firstLineChars="200"/>
        <w:rPr>
          <w:rFonts w:ascii="仿宋" w:hAnsi="仿宋" w:eastAsia="仿宋" w:cs="宋体"/>
          <w:sz w:val="24"/>
        </w:rPr>
      </w:pPr>
      <w:r>
        <w:rPr>
          <w:rFonts w:hint="eastAsia" w:ascii="仿宋" w:hAnsi="仿宋" w:eastAsia="仿宋" w:cs="宋体"/>
          <w:sz w:val="24"/>
        </w:rPr>
        <w:t>详见第六章拟签订的合同文本</w:t>
      </w:r>
    </w:p>
    <w:p w14:paraId="476C665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（三）包装和运输</w:t>
      </w:r>
    </w:p>
    <w:p w14:paraId="2A78AD3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投标产品的包装应符合《财政部等三部门联合印发商品包装和快递包装政府采购需求标准（试行）》（财办库〔2020〕123号）的规定。</w:t>
      </w:r>
    </w:p>
    <w:p w14:paraId="24E7A4B3">
      <w:pPr>
        <w:snapToGrid w:val="0"/>
        <w:spacing w:line="360" w:lineRule="auto"/>
        <w:ind w:firstLine="480" w:firstLineChars="200"/>
        <w:rPr>
          <w:rFonts w:ascii="仿宋" w:hAnsi="仿宋" w:eastAsia="仿宋" w:cs="仿宋"/>
          <w:bCs/>
          <w:sz w:val="24"/>
        </w:rPr>
      </w:pPr>
      <w:bookmarkStart w:id="10" w:name="OLE_LINK369"/>
      <w:bookmarkStart w:id="11" w:name="OLE_LINK370"/>
      <w:r>
        <w:rPr>
          <w:rFonts w:hint="eastAsia" w:ascii="仿宋" w:hAnsi="仿宋" w:eastAsia="仿宋" w:cs="仿宋"/>
          <w:bCs/>
          <w:sz w:val="24"/>
        </w:rPr>
        <w:t>（四）</w:t>
      </w:r>
      <w:bookmarkEnd w:id="10"/>
      <w:bookmarkEnd w:id="11"/>
      <w:bookmarkStart w:id="12" w:name="OLE_LINK367"/>
      <w:r>
        <w:rPr>
          <w:rFonts w:hint="eastAsia" w:ascii="仿宋" w:hAnsi="仿宋" w:eastAsia="仿宋" w:cs="仿宋"/>
          <w:bCs/>
          <w:sz w:val="24"/>
        </w:rPr>
        <w:t>售后服务（质保期）</w:t>
      </w:r>
      <w:bookmarkEnd w:id="12"/>
    </w:p>
    <w:p w14:paraId="3D7FAE7F">
      <w:pPr>
        <w:pStyle w:val="3"/>
        <w:spacing w:before="50" w:line="360" w:lineRule="auto"/>
        <w:rPr>
          <w:rFonts w:hint="default" w:ascii="仿宋" w:hAnsi="仿宋" w:eastAsia="仿宋"/>
          <w:sz w:val="24"/>
          <w:szCs w:val="24"/>
        </w:rPr>
      </w:pPr>
      <w:r>
        <w:rPr>
          <w:rFonts w:ascii="仿宋" w:hAnsi="仿宋" w:eastAsia="仿宋"/>
          <w:sz w:val="24"/>
          <w:szCs w:val="24"/>
        </w:rPr>
        <w:t>1.质量保证期（保修期）及服务要求：详见下表。过保修期后如续保则维保费率原则上不超过设备原值的5%；如不续保则免收配件费以外的其他费用。在设备使用期间，投标人负责每年至少提供两次免费维护。投标人和制造商需要同时提供包含上述质量保证期（保修期）及服务要求的承诺函并加盖单位公章。</w:t>
      </w:r>
    </w:p>
    <w:tbl>
      <w:tblPr>
        <w:tblStyle w:val="6"/>
        <w:tblW w:w="8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142"/>
        <w:gridCol w:w="2409"/>
        <w:gridCol w:w="3828"/>
      </w:tblGrid>
      <w:tr w14:paraId="4B0C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1" w:type="dxa"/>
            <w:vAlign w:val="center"/>
          </w:tcPr>
          <w:p w14:paraId="10235002">
            <w:pPr>
              <w:snapToGrid w:val="0"/>
              <w:spacing w:line="540" w:lineRule="exact"/>
              <w:jc w:val="center"/>
              <w:rPr>
                <w:rFonts w:ascii="仿宋" w:hAnsi="仿宋" w:eastAsia="仿宋"/>
                <w:sz w:val="24"/>
              </w:rPr>
            </w:pPr>
            <w:r>
              <w:rPr>
                <w:rFonts w:hint="eastAsia" w:ascii="仿宋" w:hAnsi="仿宋" w:eastAsia="仿宋"/>
                <w:sz w:val="24"/>
              </w:rPr>
              <w:t>包号</w:t>
            </w:r>
          </w:p>
        </w:tc>
        <w:tc>
          <w:tcPr>
            <w:tcW w:w="1142" w:type="dxa"/>
            <w:vAlign w:val="center"/>
          </w:tcPr>
          <w:p w14:paraId="2D8690FE">
            <w:pPr>
              <w:snapToGrid w:val="0"/>
              <w:spacing w:line="540" w:lineRule="exact"/>
              <w:jc w:val="center"/>
              <w:rPr>
                <w:rFonts w:ascii="仿宋" w:hAnsi="仿宋" w:eastAsia="仿宋"/>
                <w:sz w:val="24"/>
              </w:rPr>
            </w:pPr>
            <w:r>
              <w:rPr>
                <w:rFonts w:hint="eastAsia" w:ascii="仿宋" w:hAnsi="仿宋" w:eastAsia="仿宋"/>
                <w:sz w:val="24"/>
              </w:rPr>
              <w:t>品目号</w:t>
            </w:r>
          </w:p>
        </w:tc>
        <w:tc>
          <w:tcPr>
            <w:tcW w:w="2409" w:type="dxa"/>
            <w:vAlign w:val="center"/>
          </w:tcPr>
          <w:p w14:paraId="2D230035">
            <w:pPr>
              <w:snapToGrid w:val="0"/>
              <w:jc w:val="center"/>
              <w:rPr>
                <w:rFonts w:ascii="仿宋" w:hAnsi="仿宋" w:eastAsia="仿宋"/>
                <w:sz w:val="24"/>
              </w:rPr>
            </w:pPr>
            <w:r>
              <w:rPr>
                <w:rFonts w:hint="eastAsia" w:ascii="仿宋" w:hAnsi="仿宋" w:eastAsia="仿宋"/>
                <w:sz w:val="24"/>
              </w:rPr>
              <w:t>标的名称</w:t>
            </w:r>
          </w:p>
        </w:tc>
        <w:tc>
          <w:tcPr>
            <w:tcW w:w="3828" w:type="dxa"/>
            <w:vAlign w:val="center"/>
          </w:tcPr>
          <w:p w14:paraId="4ADB6498">
            <w:pPr>
              <w:snapToGrid w:val="0"/>
              <w:jc w:val="center"/>
              <w:rPr>
                <w:rFonts w:ascii="仿宋" w:hAnsi="仿宋" w:eastAsia="仿宋"/>
                <w:sz w:val="24"/>
              </w:rPr>
            </w:pPr>
            <w:r>
              <w:rPr>
                <w:rFonts w:hint="eastAsia" w:ascii="仿宋" w:hAnsi="仿宋" w:eastAsia="仿宋"/>
                <w:sz w:val="24"/>
              </w:rPr>
              <w:t>保修</w:t>
            </w:r>
          </w:p>
        </w:tc>
      </w:tr>
      <w:tr w14:paraId="58E7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841" w:type="dxa"/>
            <w:vAlign w:val="center"/>
          </w:tcPr>
          <w:p w14:paraId="06D9651F">
            <w:pPr>
              <w:spacing w:before="120" w:line="360" w:lineRule="auto"/>
              <w:contextualSpacing/>
              <w:jc w:val="center"/>
              <w:rPr>
                <w:rFonts w:ascii="仿宋" w:hAnsi="仿宋" w:eastAsia="仿宋" w:cs="仿宋"/>
                <w:bCs/>
                <w:sz w:val="24"/>
              </w:rPr>
            </w:pPr>
            <w:r>
              <w:rPr>
                <w:rFonts w:hint="eastAsia" w:ascii="仿宋" w:hAnsi="仿宋" w:eastAsia="仿宋" w:cs="仿宋"/>
                <w:bCs/>
                <w:sz w:val="24"/>
              </w:rPr>
              <w:t>1</w:t>
            </w:r>
          </w:p>
        </w:tc>
        <w:tc>
          <w:tcPr>
            <w:tcW w:w="1142" w:type="dxa"/>
            <w:vAlign w:val="center"/>
          </w:tcPr>
          <w:p w14:paraId="6C7C3050">
            <w:pPr>
              <w:widowControl/>
              <w:spacing w:before="120" w:line="360" w:lineRule="auto"/>
              <w:contextualSpacing/>
              <w:jc w:val="center"/>
              <w:rPr>
                <w:rFonts w:ascii="仿宋" w:hAnsi="仿宋" w:eastAsia="仿宋" w:cs="仿宋"/>
                <w:bCs/>
                <w:sz w:val="24"/>
              </w:rPr>
            </w:pPr>
            <w:r>
              <w:rPr>
                <w:rFonts w:hint="eastAsia" w:ascii="仿宋" w:hAnsi="仿宋" w:eastAsia="仿宋" w:cs="仿宋"/>
                <w:bCs/>
                <w:sz w:val="24"/>
              </w:rPr>
              <w:t>1</w:t>
            </w:r>
            <w:r>
              <w:rPr>
                <w:rFonts w:ascii="仿宋" w:hAnsi="仿宋" w:eastAsia="仿宋" w:cs="仿宋"/>
                <w:bCs/>
                <w:sz w:val="24"/>
              </w:rPr>
              <w:t>-1</w:t>
            </w:r>
          </w:p>
        </w:tc>
        <w:tc>
          <w:tcPr>
            <w:tcW w:w="2409" w:type="dxa"/>
            <w:vAlign w:val="center"/>
          </w:tcPr>
          <w:p w14:paraId="0670457E">
            <w:pPr>
              <w:widowControl/>
              <w:jc w:val="center"/>
              <w:textAlignment w:val="center"/>
              <w:rPr>
                <w:rFonts w:ascii="仿宋" w:hAnsi="仿宋" w:eastAsia="仿宋"/>
                <w:sz w:val="24"/>
              </w:rPr>
            </w:pPr>
            <w:r>
              <w:rPr>
                <w:rFonts w:hint="eastAsia" w:ascii="仿宋" w:hAnsi="仿宋" w:eastAsia="仿宋"/>
                <w:sz w:val="24"/>
              </w:rPr>
              <w:t>小动物代谢笼</w:t>
            </w:r>
          </w:p>
        </w:tc>
        <w:tc>
          <w:tcPr>
            <w:tcW w:w="3828" w:type="dxa"/>
          </w:tcPr>
          <w:p w14:paraId="1CE82740">
            <w:pPr>
              <w:rPr>
                <w:rFonts w:ascii="仿宋" w:hAnsi="仿宋" w:eastAsia="仿宋"/>
                <w:sz w:val="24"/>
              </w:rPr>
            </w:pPr>
            <w:bookmarkStart w:id="13" w:name="OLE_LINK17"/>
            <w:bookmarkStart w:id="14" w:name="OLE_LINK18"/>
            <w:r>
              <w:rPr>
                <w:rFonts w:hint="eastAsia" w:ascii="仿宋" w:hAnsi="仿宋" w:eastAsia="仿宋" w:cs="宋体"/>
                <w:kern w:val="0"/>
                <w:sz w:val="24"/>
              </w:rPr>
              <w:t>原厂质保，自设备验收合格之日后全保3年。</w:t>
            </w:r>
            <w:bookmarkEnd w:id="13"/>
            <w:bookmarkEnd w:id="14"/>
          </w:p>
        </w:tc>
      </w:tr>
    </w:tbl>
    <w:p w14:paraId="562BFB6D">
      <w:pPr>
        <w:pStyle w:val="3"/>
        <w:numPr>
          <w:ilvl w:val="0"/>
          <w:numId w:val="1"/>
        </w:numPr>
        <w:spacing w:before="50" w:line="360" w:lineRule="auto"/>
        <w:rPr>
          <w:rFonts w:hint="default" w:ascii="仿宋" w:hAnsi="仿宋" w:eastAsia="仿宋"/>
          <w:sz w:val="24"/>
          <w:szCs w:val="24"/>
        </w:rPr>
      </w:pPr>
      <w:r>
        <w:rPr>
          <w:rFonts w:ascii="仿宋" w:hAnsi="仿宋" w:eastAsia="仿宋"/>
          <w:sz w:val="24"/>
          <w:szCs w:val="24"/>
        </w:rPr>
        <w:t>投标人应负责投标货物质量保证期内的免费维修和配件供应，投标人售后服务维修机构应备有所购货物及时维修所需的关键零部件。</w:t>
      </w:r>
    </w:p>
    <w:p w14:paraId="4FB878C2">
      <w:pPr>
        <w:pStyle w:val="3"/>
        <w:numPr>
          <w:ilvl w:val="0"/>
          <w:numId w:val="1"/>
        </w:numPr>
        <w:spacing w:before="50" w:line="360" w:lineRule="auto"/>
        <w:rPr>
          <w:rFonts w:hint="default" w:ascii="仿宋" w:hAnsi="仿宋" w:eastAsia="仿宋"/>
          <w:sz w:val="24"/>
          <w:szCs w:val="24"/>
        </w:rPr>
      </w:pPr>
      <w:r>
        <w:rPr>
          <w:rFonts w:ascii="仿宋" w:hAnsi="仿宋" w:eastAsia="仿宋"/>
          <w:sz w:val="24"/>
          <w:szCs w:val="24"/>
        </w:rPr>
        <w:t>投标人应保证在质量保证期内提供投标货物专用的软件和相应数据库资料的免费升级服务。（如果有）</w:t>
      </w:r>
    </w:p>
    <w:p w14:paraId="013BA177">
      <w:pPr>
        <w:pStyle w:val="3"/>
        <w:numPr>
          <w:ilvl w:val="0"/>
          <w:numId w:val="1"/>
        </w:numPr>
        <w:spacing w:before="50" w:line="360" w:lineRule="auto"/>
        <w:rPr>
          <w:rFonts w:hint="default" w:ascii="仿宋" w:hAnsi="仿宋" w:eastAsia="仿宋"/>
          <w:sz w:val="24"/>
          <w:szCs w:val="24"/>
        </w:rPr>
      </w:pPr>
      <w:r>
        <w:rPr>
          <w:rFonts w:ascii="仿宋" w:hAnsi="仿宋" w:eastAsia="仿宋"/>
          <w:sz w:val="24"/>
          <w:szCs w:val="24"/>
        </w:rPr>
        <w:t>在合同执行期和质量保证期内，投标人应保证在收到要求提供维修服务的通知后2小时内给予反馈，24小时内派合格的技术人员赴现场提供免费服务，解决问题。如不能按采购人要求的时间予以修复，投标人应保证免费提供同类备用设备，供采购人使用。</w:t>
      </w:r>
    </w:p>
    <w:p w14:paraId="4F4CD453">
      <w:pPr>
        <w:pStyle w:val="3"/>
        <w:numPr>
          <w:ilvl w:val="0"/>
          <w:numId w:val="1"/>
        </w:numPr>
        <w:tabs>
          <w:tab w:val="left" w:pos="900"/>
        </w:tabs>
        <w:spacing w:line="360" w:lineRule="auto"/>
        <w:contextualSpacing/>
        <w:rPr>
          <w:rFonts w:hint="default" w:ascii="仿宋" w:hAnsi="仿宋" w:eastAsia="仿宋"/>
          <w:sz w:val="24"/>
          <w:szCs w:val="24"/>
        </w:rPr>
      </w:pPr>
      <w:r>
        <w:rPr>
          <w:rFonts w:ascii="仿宋" w:hAnsi="仿宋" w:eastAsia="仿宋"/>
          <w:sz w:val="24"/>
          <w:szCs w:val="24"/>
        </w:rPr>
        <w:t>投标时须提供有关其投标产品专业的售后服务（</w:t>
      </w:r>
      <w:bookmarkStart w:id="15" w:name="OLE_LINK19"/>
      <w:bookmarkStart w:id="16" w:name="OLE_LINK16"/>
      <w:r>
        <w:rPr>
          <w:rFonts w:ascii="仿宋" w:hAnsi="仿宋" w:eastAsia="仿宋"/>
          <w:sz w:val="24"/>
          <w:szCs w:val="24"/>
        </w:rPr>
        <w:t>维修站</w:t>
      </w:r>
      <w:bookmarkEnd w:id="15"/>
      <w:bookmarkEnd w:id="16"/>
      <w:r>
        <w:rPr>
          <w:rFonts w:ascii="仿宋" w:hAnsi="仿宋" w:eastAsia="仿宋"/>
          <w:sz w:val="24"/>
          <w:szCs w:val="24"/>
        </w:rPr>
        <w:t>）的信息，包括售后服务机构名称、服务人员的数量和水平、联系人和联系方式、零备件的储备等。质量保证期内的免费售后维修及服务包括所有投标产品及配件，并含第三方产品，同时投标人应定期对所有投标产品提供维护保养服务。</w:t>
      </w:r>
    </w:p>
    <w:p w14:paraId="0B21CCA9">
      <w:pPr>
        <w:snapToGrid w:val="0"/>
        <w:spacing w:line="360" w:lineRule="auto"/>
        <w:ind w:firstLine="482" w:firstLineChars="200"/>
        <w:rPr>
          <w:rFonts w:ascii="仿宋" w:hAnsi="仿宋" w:eastAsia="仿宋" w:cs="仿宋"/>
          <w:b/>
          <w:bCs/>
          <w:sz w:val="24"/>
        </w:rPr>
      </w:pPr>
      <w:bookmarkStart w:id="17" w:name="OLE_LINK71"/>
      <w:bookmarkStart w:id="18" w:name="OLE_LINK72"/>
      <w:r>
        <w:rPr>
          <w:rFonts w:hint="eastAsia" w:ascii="仿宋" w:hAnsi="仿宋" w:eastAsia="仿宋" w:cs="仿宋"/>
          <w:b/>
          <w:bCs/>
          <w:sz w:val="24"/>
        </w:rPr>
        <w:t>三、技术要求</w:t>
      </w:r>
    </w:p>
    <w:bookmarkEnd w:id="17"/>
    <w:bookmarkEnd w:id="18"/>
    <w:p w14:paraId="0A08DDE2">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（一）基本要求</w:t>
      </w:r>
    </w:p>
    <w:p w14:paraId="642C5E5A">
      <w:pPr>
        <w:spacing w:line="360" w:lineRule="auto"/>
        <w:ind w:firstLine="480" w:firstLineChars="200"/>
        <w:rPr>
          <w:rFonts w:ascii="仿宋" w:hAnsi="仿宋" w:eastAsia="仿宋" w:cs="仿宋"/>
          <w:bCs/>
          <w:sz w:val="24"/>
        </w:rPr>
      </w:pPr>
      <w:r>
        <w:rPr>
          <w:rFonts w:hint="eastAsia" w:ascii="仿宋" w:hAnsi="仿宋" w:eastAsia="仿宋" w:cs="仿宋"/>
          <w:bCs/>
          <w:sz w:val="24"/>
        </w:rPr>
        <w:t>1、需执行的国家相关标准、行业标准、地方标准或者其他标准、规范</w:t>
      </w:r>
    </w:p>
    <w:p w14:paraId="152C0A34">
      <w:pPr>
        <w:spacing w:line="360" w:lineRule="auto"/>
        <w:ind w:firstLine="424" w:firstLineChars="176"/>
        <w:rPr>
          <w:rFonts w:ascii="仿宋" w:hAnsi="仿宋" w:eastAsia="仿宋"/>
          <w:b/>
          <w:kern w:val="0"/>
          <w:sz w:val="24"/>
        </w:rPr>
      </w:pPr>
      <w:r>
        <w:rPr>
          <w:rFonts w:hint="eastAsia" w:ascii="仿宋" w:hAnsi="仿宋" w:eastAsia="仿宋"/>
          <w:b/>
          <w:kern w:val="0"/>
          <w:sz w:val="24"/>
        </w:rPr>
        <w:t>★1.1.投标产品属于辐射或射线类的设备或材料的，需提供投标人的辐射安全许可证复印件（不适用的情况除外）。</w:t>
      </w:r>
      <w:bookmarkStart w:id="19" w:name="OLE_LINK61"/>
      <w:bookmarkStart w:id="20" w:name="OLE_LINK60"/>
      <w:r>
        <w:rPr>
          <w:rFonts w:hint="eastAsia" w:ascii="仿宋" w:hAnsi="仿宋" w:eastAsia="仿宋"/>
          <w:b/>
          <w:kern w:val="0"/>
          <w:sz w:val="24"/>
        </w:rPr>
        <w:t>投标产品属于压力容器的投标人需要根据国家特种设备制造相关管理规定，提供投标产品制造商的特种设备制造许可证（压力容器）。</w:t>
      </w:r>
    </w:p>
    <w:bookmarkEnd w:id="19"/>
    <w:bookmarkEnd w:id="20"/>
    <w:p w14:paraId="78DEF843">
      <w:pPr>
        <w:spacing w:line="360" w:lineRule="auto"/>
        <w:ind w:firstLine="424" w:firstLineChars="176"/>
        <w:rPr>
          <w:rFonts w:ascii="仿宋" w:hAnsi="仿宋" w:eastAsia="仿宋"/>
          <w:b/>
          <w:kern w:val="0"/>
          <w:sz w:val="24"/>
        </w:rPr>
      </w:pPr>
      <w:r>
        <w:rPr>
          <w:rFonts w:hint="eastAsia" w:ascii="仿宋" w:hAnsi="仿宋" w:eastAsia="仿宋"/>
          <w:b/>
          <w:kern w:val="0"/>
          <w:sz w:val="24"/>
        </w:rPr>
        <w:t>★1.2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0A7E1636">
      <w:pPr>
        <w:spacing w:line="360" w:lineRule="auto"/>
        <w:ind w:firstLine="480" w:firstLineChars="200"/>
        <w:rPr>
          <w:rFonts w:ascii="仿宋" w:hAnsi="仿宋" w:eastAsia="仿宋" w:cs="仿宋"/>
          <w:bCs/>
          <w:sz w:val="24"/>
        </w:rPr>
      </w:pPr>
      <w:r>
        <w:rPr>
          <w:rFonts w:hint="eastAsia" w:ascii="仿宋" w:hAnsi="仿宋" w:eastAsia="仿宋" w:cs="仿宋"/>
          <w:bCs/>
          <w:sz w:val="24"/>
        </w:rPr>
        <w:t>1.3投标产品的包装应符合《财政部等三部门联合印发商品包装和快递包装政府采购需求标准（试行）》（财办库〔2020〕123号）的规定。</w:t>
      </w:r>
    </w:p>
    <w:p w14:paraId="23C1C78A">
      <w:pPr>
        <w:snapToGrid w:val="0"/>
        <w:spacing w:line="360" w:lineRule="auto"/>
        <w:ind w:firstLine="482" w:firstLineChars="200"/>
        <w:rPr>
          <w:rFonts w:ascii="仿宋" w:hAnsi="仿宋" w:eastAsia="仿宋" w:cs="仿宋"/>
          <w:b/>
          <w:bCs/>
          <w:sz w:val="24"/>
        </w:rPr>
      </w:pPr>
      <w:bookmarkStart w:id="37" w:name="_GoBack"/>
      <w:bookmarkEnd w:id="37"/>
      <w:bookmarkStart w:id="21" w:name="OLE_LINK64"/>
      <w:bookmarkStart w:id="22" w:name="OLE_LINK73"/>
      <w:r>
        <w:rPr>
          <w:rFonts w:hint="eastAsia" w:ascii="仿宋" w:hAnsi="仿宋" w:eastAsia="仿宋" w:cs="仿宋"/>
          <w:b/>
          <w:bCs/>
          <w:sz w:val="24"/>
        </w:rPr>
        <w:t>（二）服务内容及要求/货物技术要求</w:t>
      </w:r>
    </w:p>
    <w:bookmarkEnd w:id="21"/>
    <w:bookmarkEnd w:id="22"/>
    <w:p w14:paraId="5B064268">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1、采购标的需满足的性能、材料、结构、外观、质量、安全、技术规格、物理特性等要求：</w:t>
      </w:r>
    </w:p>
    <w:p w14:paraId="404A9518">
      <w:pPr>
        <w:widowControl/>
        <w:spacing w:line="360" w:lineRule="auto"/>
        <w:jc w:val="left"/>
        <w:rPr>
          <w:rFonts w:ascii="仿宋" w:hAnsi="仿宋" w:eastAsia="仿宋"/>
          <w:b/>
          <w:sz w:val="24"/>
        </w:rPr>
      </w:pPr>
      <w:bookmarkStart w:id="23" w:name="OLE_LINK53"/>
      <w:r>
        <w:rPr>
          <w:rFonts w:ascii="仿宋" w:hAnsi="仿宋" w:eastAsia="仿宋"/>
          <w:b/>
          <w:sz w:val="24"/>
        </w:rPr>
        <w:br w:type="page"/>
      </w:r>
      <w:bookmarkStart w:id="24" w:name="OLE_LINK297"/>
      <w:bookmarkStart w:id="25" w:name="OLE_LINK298"/>
    </w:p>
    <w:p w14:paraId="6EAAFAE4">
      <w:pPr>
        <w:jc w:val="left"/>
        <w:rPr>
          <w:rFonts w:ascii="仿宋" w:hAnsi="仿宋" w:eastAsia="仿宋"/>
          <w:b/>
          <w:sz w:val="24"/>
        </w:rPr>
      </w:pPr>
      <w:bookmarkStart w:id="26" w:name="_Hlk227072549"/>
      <w:r>
        <w:rPr>
          <w:rFonts w:ascii="仿宋" w:hAnsi="仿宋" w:eastAsia="仿宋"/>
          <w:b/>
          <w:sz w:val="24"/>
        </w:rPr>
        <w:t>第</w:t>
      </w:r>
      <w:r>
        <w:rPr>
          <w:rFonts w:hint="eastAsia" w:ascii="仿宋" w:hAnsi="仿宋" w:eastAsia="仿宋"/>
          <w:b/>
          <w:sz w:val="24"/>
        </w:rPr>
        <w:t>1包 品目1-1小动物代谢笼</w:t>
      </w:r>
    </w:p>
    <w:p w14:paraId="2E54A855">
      <w:pPr>
        <w:widowControl/>
        <w:spacing w:line="360" w:lineRule="auto"/>
        <w:jc w:val="left"/>
        <w:rPr>
          <w:rFonts w:ascii="仿宋" w:hAnsi="仿宋" w:eastAsia="仿宋"/>
          <w:b/>
          <w:sz w:val="24"/>
        </w:rPr>
      </w:pPr>
      <w:r>
        <w:rPr>
          <w:rFonts w:hint="eastAsia" w:ascii="仿宋" w:hAnsi="仿宋" w:eastAsia="仿宋"/>
          <w:b/>
          <w:sz w:val="24"/>
        </w:rPr>
        <w:t>数量：1套，每套技术参数如下</w:t>
      </w:r>
    </w:p>
    <w:bookmarkEnd w:id="24"/>
    <w:bookmarkEnd w:id="25"/>
    <w:bookmarkEnd w:id="26"/>
    <w:p w14:paraId="572A9E05">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1、系统要求：</w:t>
      </w:r>
    </w:p>
    <w:p w14:paraId="14F11EDB">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1.1、模块化设计，可互换使用；</w:t>
      </w:r>
    </w:p>
    <w:p w14:paraId="3FF04612">
      <w:pPr>
        <w:pStyle w:val="10"/>
        <w:spacing w:line="360" w:lineRule="auto"/>
        <w:ind w:firstLine="0" w:firstLineChars="0"/>
        <w:contextualSpacing/>
        <w:jc w:val="left"/>
        <w:rPr>
          <w:rFonts w:hint="eastAsia" w:ascii="仿宋" w:hAnsi="仿宋" w:eastAsia="仿宋" w:cs="Times New Roman"/>
          <w:sz w:val="24"/>
          <w:szCs w:val="24"/>
        </w:rPr>
      </w:pPr>
      <w:r>
        <w:rPr>
          <w:rFonts w:hint="eastAsia" w:ascii="仿宋" w:hAnsi="仿宋" w:eastAsia="仿宋" w:cs="Times New Roman"/>
          <w:sz w:val="24"/>
          <w:szCs w:val="24"/>
        </w:rPr>
        <w:t>1.2、具备环境控制功能，可同步监测实验动物能量代谢、摄食、饮水、自主活动以及睡眠。</w:t>
      </w:r>
    </w:p>
    <w:p w14:paraId="7DC00BF8">
      <w:pPr>
        <w:pStyle w:val="10"/>
        <w:spacing w:line="360" w:lineRule="auto"/>
        <w:ind w:firstLine="0" w:firstLineChars="0"/>
        <w:contextualSpacing/>
        <w:jc w:val="left"/>
        <w:rPr>
          <w:rFonts w:hint="eastAsia" w:ascii="仿宋" w:hAnsi="仿宋" w:eastAsia="仿宋" w:cs="Times New Roman"/>
          <w:sz w:val="24"/>
          <w:szCs w:val="24"/>
        </w:rPr>
      </w:pPr>
      <w:r>
        <w:rPr>
          <w:rFonts w:hint="eastAsia" w:ascii="仿宋" w:hAnsi="仿宋" w:eastAsia="仿宋" w:cs="Times New Roman"/>
          <w:sz w:val="24"/>
          <w:szCs w:val="24"/>
        </w:rPr>
        <w:t>1.3、可用于监测大鼠和小鼠，可同时监测≥16个通道的所有数据。</w:t>
      </w:r>
    </w:p>
    <w:p w14:paraId="5AAF795E">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2、笼架：</w:t>
      </w:r>
    </w:p>
    <w:p w14:paraId="0FF7C33A">
      <w:pPr>
        <w:pStyle w:val="10"/>
        <w:spacing w:line="360" w:lineRule="auto"/>
        <w:ind w:firstLine="0" w:firstLineChars="0"/>
        <w:contextualSpacing/>
        <w:jc w:val="left"/>
        <w:rPr>
          <w:rFonts w:ascii="仿宋" w:hAnsi="仿宋" w:eastAsia="仿宋"/>
          <w:sz w:val="24"/>
          <w:szCs w:val="24"/>
        </w:rPr>
      </w:pPr>
      <w:r>
        <w:rPr>
          <w:rFonts w:ascii="仿宋" w:hAnsi="仿宋" w:eastAsia="仿宋"/>
          <w:sz w:val="24"/>
          <w:szCs w:val="24"/>
        </w:rPr>
        <w:t>2.1、</w:t>
      </w:r>
      <w:r>
        <w:rPr>
          <w:rFonts w:hint="eastAsia" w:ascii="仿宋" w:hAnsi="仿宋" w:eastAsia="仿宋"/>
          <w:sz w:val="24"/>
          <w:szCs w:val="24"/>
        </w:rPr>
        <w:t xml:space="preserve">采用生活笼系统，笼内可铺设常规垫料，不中断实验情况下可运行≥7天2.2、大、小鼠笼架：≥16通道。 </w:t>
      </w:r>
    </w:p>
    <w:p w14:paraId="048F485C">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3、大鼠生活笼：</w:t>
      </w:r>
    </w:p>
    <w:p w14:paraId="0FCC2668">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3.1、每个生活笼均具备独立的大鼠饮水器、大鼠喂食器。</w:t>
      </w:r>
    </w:p>
    <w:p w14:paraId="3E725999">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3.2、具备气体混匀装置，可主动混匀代谢笼内的气体。</w:t>
      </w:r>
    </w:p>
    <w:p w14:paraId="364A18DA">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3.3、喂食器具有防碎屑装置。</w:t>
      </w:r>
    </w:p>
    <w:p w14:paraId="67A0137B">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4、小鼠生活笼：</w:t>
      </w:r>
    </w:p>
    <w:p w14:paraId="1E5710CC">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4.1、每个生活笼均具备独立的小鼠饮水器、小鼠喂食器。</w:t>
      </w:r>
    </w:p>
    <w:p w14:paraId="11D86268">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4.2、具备气体混匀装置，可主动混匀代谢笼内的气体。</w:t>
      </w:r>
    </w:p>
    <w:p w14:paraId="0B7DF785">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4.3、喂食器具有防碎屑装置。</w:t>
      </w:r>
    </w:p>
    <w:p w14:paraId="119D6AAC">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5、能量代谢监测模块：</w:t>
      </w:r>
    </w:p>
    <w:p w14:paraId="746F4A40">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5.1、监测通道≥16通道。</w:t>
      </w:r>
    </w:p>
    <w:p w14:paraId="1B9BE862">
      <w:pPr>
        <w:pStyle w:val="10"/>
        <w:spacing w:line="360" w:lineRule="auto"/>
        <w:ind w:firstLine="0" w:firstLineChars="0"/>
        <w:contextualSpacing/>
        <w:jc w:val="left"/>
        <w:rPr>
          <w:rFonts w:hint="default" w:ascii="仿宋" w:hAnsi="仿宋" w:eastAsia="仿宋" w:cs="Times New Roman"/>
          <w:color w:val="auto"/>
          <w:sz w:val="24"/>
          <w:szCs w:val="24"/>
        </w:rPr>
      </w:pPr>
      <w:r>
        <w:rPr>
          <w:rFonts w:hint="default" w:ascii="仿宋" w:hAnsi="仿宋" w:eastAsia="仿宋" w:cs="Times New Roman"/>
          <w:b w:val="0"/>
          <w:bCs w:val="0"/>
          <w:i w:val="0"/>
          <w:iCs w:val="0"/>
          <w:color w:val="auto"/>
          <w:kern w:val="2"/>
          <w:sz w:val="24"/>
          <w:szCs w:val="24"/>
          <w:highlight w:val="none"/>
          <w:vertAlign w:val="baseline"/>
          <w:lang w:val="en-US" w:eastAsia="zh-CN" w:bidi="ar-SA"/>
        </w:rPr>
        <w:t>▲</w:t>
      </w:r>
      <w:r>
        <w:rPr>
          <w:rFonts w:hint="eastAsia" w:ascii="仿宋" w:hAnsi="仿宋" w:eastAsia="仿宋" w:cs="Times New Roman"/>
          <w:color w:val="auto"/>
          <w:sz w:val="24"/>
          <w:szCs w:val="24"/>
        </w:rPr>
        <w:t>5.2、氧气浓度监测：</w:t>
      </w:r>
      <w:r>
        <w:rPr>
          <w:rFonts w:hint="eastAsia" w:ascii="仿宋" w:hAnsi="仿宋" w:eastAsia="仿宋" w:cs="Times New Roman"/>
          <w:color w:val="auto"/>
          <w:sz w:val="24"/>
          <w:szCs w:val="24"/>
          <w:lang w:val="en-US" w:eastAsia="zh-CN"/>
        </w:rPr>
        <w:t>配置</w:t>
      </w:r>
      <w:r>
        <w:rPr>
          <w:rFonts w:hint="eastAsia" w:ascii="仿宋" w:hAnsi="仿宋" w:eastAsia="仿宋" w:cs="Times New Roman"/>
          <w:color w:val="auto"/>
          <w:sz w:val="24"/>
          <w:szCs w:val="24"/>
        </w:rPr>
        <w:t>氧化锆氧气检测器</w:t>
      </w:r>
      <w:r>
        <w:rPr>
          <w:rFonts w:hint="eastAsia" w:ascii="仿宋" w:hAnsi="仿宋" w:eastAsia="仿宋" w:cs="Times New Roman"/>
          <w:color w:val="auto"/>
          <w:sz w:val="24"/>
          <w:szCs w:val="24"/>
          <w:lang w:eastAsia="zh-CN"/>
        </w:rPr>
        <w:t>，</w:t>
      </w:r>
      <w:r>
        <w:rPr>
          <w:rFonts w:hint="default" w:ascii="仿宋" w:hAnsi="仿宋" w:eastAsia="仿宋" w:cs="Times New Roman"/>
          <w:color w:val="auto"/>
          <w:sz w:val="24"/>
          <w:szCs w:val="24"/>
        </w:rPr>
        <w:t>氧气测量精度：≤0.001%；工作温度700-750℃</w:t>
      </w:r>
      <w:r>
        <w:rPr>
          <w:rFonts w:hint="default" w:ascii="仿宋" w:hAnsi="仿宋" w:eastAsia="仿宋" w:cs="Times New Roman"/>
          <w:b w:val="0"/>
          <w:bCs w:val="0"/>
          <w:color w:val="auto"/>
          <w:sz w:val="24"/>
          <w:szCs w:val="24"/>
          <w:lang w:val="en-US" w:eastAsia="zh-CN"/>
        </w:rPr>
        <w:t>（</w:t>
      </w:r>
      <w:r>
        <w:rPr>
          <w:rFonts w:hint="eastAsia" w:ascii="仿宋" w:hAnsi="仿宋" w:eastAsia="仿宋" w:cs="Times New Roman"/>
          <w:b w:val="0"/>
          <w:bCs w:val="0"/>
          <w:color w:val="auto"/>
          <w:sz w:val="24"/>
          <w:szCs w:val="24"/>
          <w:lang w:val="en-US" w:eastAsia="zh-CN"/>
        </w:rPr>
        <w:t>须同时提供</w:t>
      </w:r>
      <w:r>
        <w:rPr>
          <w:rFonts w:hint="default" w:ascii="仿宋" w:hAnsi="仿宋" w:eastAsia="仿宋" w:cs="Times New Roman"/>
          <w:b w:val="0"/>
          <w:bCs w:val="0"/>
          <w:color w:val="auto"/>
          <w:sz w:val="24"/>
          <w:szCs w:val="24"/>
          <w:lang w:val="en-US" w:eastAsia="zh-CN"/>
        </w:rPr>
        <w:t>彩页</w:t>
      </w:r>
      <w:r>
        <w:rPr>
          <w:rFonts w:hint="eastAsia" w:ascii="仿宋" w:hAnsi="仿宋" w:eastAsia="仿宋" w:cs="Times New Roman"/>
          <w:b w:val="0"/>
          <w:bCs w:val="0"/>
          <w:color w:val="auto"/>
          <w:sz w:val="24"/>
          <w:szCs w:val="24"/>
          <w:lang w:val="en-US" w:eastAsia="zh-CN"/>
        </w:rPr>
        <w:t>、氧化锆检测器在系统中的实物照片及</w:t>
      </w:r>
      <w:r>
        <w:rPr>
          <w:rFonts w:hint="default" w:ascii="仿宋" w:hAnsi="仿宋" w:eastAsia="仿宋" w:cs="Times New Roman"/>
          <w:b w:val="0"/>
          <w:bCs w:val="0"/>
          <w:color w:val="auto"/>
          <w:sz w:val="24"/>
          <w:szCs w:val="24"/>
          <w:lang w:val="en-US" w:eastAsia="zh-CN"/>
        </w:rPr>
        <w:t>软件界面截图</w:t>
      </w:r>
      <w:r>
        <w:rPr>
          <w:rFonts w:hint="eastAsia" w:ascii="仿宋" w:hAnsi="仿宋" w:eastAsia="仿宋" w:cs="Times New Roman"/>
          <w:b w:val="0"/>
          <w:bCs w:val="0"/>
          <w:color w:val="auto"/>
          <w:sz w:val="24"/>
          <w:szCs w:val="24"/>
          <w:lang w:val="en-US" w:eastAsia="zh-CN"/>
        </w:rPr>
        <w:t>证明</w:t>
      </w:r>
      <w:r>
        <w:rPr>
          <w:rFonts w:hint="default" w:ascii="仿宋" w:hAnsi="仿宋" w:eastAsia="仿宋" w:cs="Times New Roman"/>
          <w:b w:val="0"/>
          <w:bCs w:val="0"/>
          <w:color w:val="auto"/>
          <w:sz w:val="24"/>
          <w:szCs w:val="24"/>
          <w:lang w:val="en-US" w:eastAsia="zh-CN"/>
        </w:rPr>
        <w:t>）</w:t>
      </w:r>
    </w:p>
    <w:p w14:paraId="764EC03C">
      <w:pPr>
        <w:pStyle w:val="10"/>
        <w:spacing w:line="360" w:lineRule="auto"/>
        <w:ind w:firstLine="0" w:firstLineChars="0"/>
        <w:contextualSpacing/>
        <w:jc w:val="left"/>
        <w:rPr>
          <w:rFonts w:hint="default" w:ascii="仿宋" w:hAnsi="仿宋" w:eastAsia="仿宋" w:cs="Times New Roman"/>
          <w:color w:val="auto"/>
          <w:sz w:val="24"/>
          <w:szCs w:val="24"/>
        </w:rPr>
      </w:pPr>
      <w:r>
        <w:rPr>
          <w:rFonts w:hint="eastAsia" w:ascii="仿宋" w:hAnsi="仿宋" w:eastAsia="仿宋" w:cs="Times New Roman"/>
          <w:color w:val="auto"/>
          <w:sz w:val="24"/>
          <w:szCs w:val="24"/>
        </w:rPr>
        <w:t>5.3、二氧化碳浓度监测：</w:t>
      </w:r>
      <w:r>
        <w:rPr>
          <w:rFonts w:hint="default" w:ascii="仿宋" w:hAnsi="仿宋" w:eastAsia="仿宋" w:cs="Times New Roman"/>
          <w:color w:val="auto"/>
          <w:sz w:val="24"/>
          <w:szCs w:val="24"/>
        </w:rPr>
        <w:t>配置无弥散红外二氧化碳检测器，二氧化碳测量精度：≤0.001%</w:t>
      </w:r>
      <w:r>
        <w:rPr>
          <w:rFonts w:hint="default" w:ascii="仿宋" w:hAnsi="仿宋" w:eastAsia="仿宋" w:cs="Times New Roman"/>
          <w:b w:val="0"/>
          <w:bCs w:val="0"/>
          <w:color w:val="auto"/>
          <w:sz w:val="24"/>
          <w:szCs w:val="24"/>
          <w:lang w:val="en-US" w:eastAsia="zh-CN"/>
        </w:rPr>
        <w:t>（</w:t>
      </w:r>
      <w:r>
        <w:rPr>
          <w:rFonts w:hint="eastAsia" w:ascii="仿宋" w:hAnsi="仿宋" w:eastAsia="仿宋" w:cs="Times New Roman"/>
          <w:b w:val="0"/>
          <w:bCs w:val="0"/>
          <w:color w:val="auto"/>
          <w:sz w:val="24"/>
          <w:szCs w:val="24"/>
          <w:lang w:val="en-US" w:eastAsia="zh-CN"/>
        </w:rPr>
        <w:t>须同时提供</w:t>
      </w:r>
      <w:r>
        <w:rPr>
          <w:rFonts w:hint="default" w:ascii="仿宋" w:hAnsi="仿宋" w:eastAsia="仿宋" w:cs="Times New Roman"/>
          <w:b w:val="0"/>
          <w:bCs w:val="0"/>
          <w:color w:val="auto"/>
          <w:sz w:val="24"/>
          <w:szCs w:val="24"/>
          <w:lang w:val="en-US" w:eastAsia="zh-CN"/>
        </w:rPr>
        <w:t>彩页</w:t>
      </w:r>
      <w:r>
        <w:rPr>
          <w:rFonts w:hint="eastAsia" w:ascii="仿宋" w:hAnsi="仿宋" w:eastAsia="仿宋" w:cs="Times New Roman"/>
          <w:b w:val="0"/>
          <w:bCs w:val="0"/>
          <w:color w:val="auto"/>
          <w:sz w:val="24"/>
          <w:szCs w:val="24"/>
          <w:lang w:val="en-US" w:eastAsia="zh-CN"/>
        </w:rPr>
        <w:t>、二氧化碳检测器在系统中的实物照片及</w:t>
      </w:r>
      <w:r>
        <w:rPr>
          <w:rFonts w:hint="default" w:ascii="仿宋" w:hAnsi="仿宋" w:eastAsia="仿宋" w:cs="Times New Roman"/>
          <w:b w:val="0"/>
          <w:bCs w:val="0"/>
          <w:color w:val="auto"/>
          <w:sz w:val="24"/>
          <w:szCs w:val="24"/>
          <w:lang w:val="en-US" w:eastAsia="zh-CN"/>
        </w:rPr>
        <w:t>软件界面截图</w:t>
      </w:r>
      <w:r>
        <w:rPr>
          <w:rFonts w:hint="eastAsia" w:ascii="仿宋" w:hAnsi="仿宋" w:eastAsia="仿宋" w:cs="Times New Roman"/>
          <w:b w:val="0"/>
          <w:bCs w:val="0"/>
          <w:color w:val="auto"/>
          <w:sz w:val="24"/>
          <w:szCs w:val="24"/>
          <w:lang w:val="en-US" w:eastAsia="zh-CN"/>
        </w:rPr>
        <w:t>证明</w:t>
      </w:r>
      <w:r>
        <w:rPr>
          <w:rFonts w:hint="default" w:ascii="仿宋" w:hAnsi="仿宋" w:eastAsia="仿宋" w:cs="Times New Roman"/>
          <w:b w:val="0"/>
          <w:bCs w:val="0"/>
          <w:color w:val="auto"/>
          <w:sz w:val="24"/>
          <w:szCs w:val="24"/>
          <w:lang w:val="en-US" w:eastAsia="zh-CN"/>
        </w:rPr>
        <w:t>）</w:t>
      </w:r>
    </w:p>
    <w:p w14:paraId="6E5AF8BD">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5.4、可测量小鼠（大鼠）的氧气浓度、氧气消耗量、二氧化碳浓度、二氧化碳产生量，并直接得到呼吸熵、热量等代谢参数。</w:t>
      </w:r>
    </w:p>
    <w:p w14:paraId="18877337">
      <w:pPr>
        <w:pStyle w:val="10"/>
        <w:spacing w:line="360" w:lineRule="auto"/>
        <w:ind w:firstLine="0" w:firstLineChars="0"/>
        <w:contextualSpacing/>
        <w:jc w:val="left"/>
        <w:rPr>
          <w:rFonts w:hint="eastAsia" w:ascii="仿宋" w:hAnsi="仿宋" w:eastAsia="仿宋" w:cs="Times New Roman"/>
          <w:sz w:val="24"/>
          <w:szCs w:val="24"/>
        </w:rPr>
      </w:pPr>
      <w:r>
        <w:rPr>
          <w:rFonts w:hint="eastAsia" w:ascii="仿宋" w:hAnsi="仿宋" w:eastAsia="仿宋" w:cs="Times New Roman"/>
          <w:sz w:val="24"/>
          <w:szCs w:val="24"/>
        </w:rPr>
        <w:t>5.5、所有气体交换评估所检测的数据归一化到标准大气压STP条件下，检测不受温度和气压的影响。</w:t>
      </w:r>
    </w:p>
    <w:p w14:paraId="3E8E73EA">
      <w:pPr>
        <w:pStyle w:val="10"/>
        <w:spacing w:line="360" w:lineRule="auto"/>
        <w:ind w:firstLine="0" w:firstLineChars="0"/>
        <w:contextualSpacing/>
        <w:jc w:val="left"/>
        <w:rPr>
          <w:rFonts w:hint="eastAsia" w:ascii="仿宋" w:hAnsi="仿宋" w:eastAsia="仿宋" w:cs="Times New Roman"/>
          <w:b/>
          <w:bCs/>
          <w:sz w:val="24"/>
          <w:szCs w:val="24"/>
          <w:lang w:eastAsia="zh-CN"/>
        </w:rPr>
      </w:pPr>
      <w:r>
        <w:rPr>
          <w:rFonts w:hint="default" w:ascii="仿宋" w:hAnsi="仿宋" w:eastAsia="仿宋" w:cs="Times New Roman"/>
          <w:b w:val="0"/>
          <w:bCs w:val="0"/>
          <w:i w:val="0"/>
          <w:iCs w:val="0"/>
          <w:color w:val="auto"/>
          <w:kern w:val="2"/>
          <w:sz w:val="24"/>
          <w:szCs w:val="24"/>
          <w:highlight w:val="none"/>
          <w:vertAlign w:val="baseline"/>
          <w:lang w:val="en-US" w:eastAsia="zh-CN" w:bidi="ar-SA"/>
        </w:rPr>
        <w:t>★</w:t>
      </w:r>
      <w:r>
        <w:rPr>
          <w:rFonts w:hint="eastAsia" w:ascii="仿宋" w:hAnsi="仿宋" w:eastAsia="仿宋" w:cs="Times New Roman"/>
          <w:sz w:val="24"/>
          <w:szCs w:val="24"/>
        </w:rPr>
        <w:t>5.6、</w:t>
      </w:r>
      <w:r>
        <w:rPr>
          <w:rFonts w:hint="eastAsia" w:ascii="仿宋" w:hAnsi="仿宋" w:eastAsia="仿宋" w:cs="Times New Roman"/>
          <w:sz w:val="24"/>
          <w:szCs w:val="24"/>
          <w:lang w:val="en-US" w:eastAsia="zh-CN"/>
        </w:rPr>
        <w:t>设备须具有自动校准功能，使用三气混合气（20.5%O</w:t>
      </w:r>
      <w:r>
        <w:rPr>
          <w:rFonts w:hint="eastAsia" w:ascii="仿宋" w:hAnsi="仿宋" w:eastAsia="仿宋" w:cs="Times New Roman"/>
          <w:sz w:val="24"/>
          <w:szCs w:val="24"/>
          <w:vertAlign w:val="subscript"/>
          <w:lang w:val="en-US" w:eastAsia="zh-CN"/>
        </w:rPr>
        <w:t>2</w:t>
      </w:r>
      <w:r>
        <w:rPr>
          <w:rFonts w:hint="eastAsia" w:ascii="仿宋" w:hAnsi="仿宋" w:eastAsia="仿宋" w:cs="Times New Roman"/>
          <w:sz w:val="24"/>
          <w:szCs w:val="24"/>
          <w:lang w:val="en-US" w:eastAsia="zh-CN"/>
        </w:rPr>
        <w:t>、0.5%C0</w:t>
      </w:r>
      <w:r>
        <w:rPr>
          <w:rFonts w:hint="eastAsia" w:ascii="仿宋" w:hAnsi="仿宋" w:eastAsia="仿宋" w:cs="Times New Roman"/>
          <w:sz w:val="24"/>
          <w:szCs w:val="24"/>
          <w:vertAlign w:val="subscript"/>
          <w:lang w:val="en-US" w:eastAsia="zh-CN"/>
        </w:rPr>
        <w:t>2</w:t>
      </w:r>
      <w:r>
        <w:rPr>
          <w:rFonts w:hint="eastAsia" w:ascii="仿宋" w:hAnsi="仿宋" w:eastAsia="仿宋" w:cs="Times New Roman"/>
          <w:sz w:val="24"/>
          <w:szCs w:val="24"/>
          <w:lang w:val="en-US" w:eastAsia="zh-CN"/>
        </w:rPr>
        <w:t>、79%N</w:t>
      </w:r>
      <w:r>
        <w:rPr>
          <w:rFonts w:hint="eastAsia" w:ascii="仿宋" w:hAnsi="仿宋" w:eastAsia="仿宋" w:cs="Times New Roman"/>
          <w:sz w:val="24"/>
          <w:szCs w:val="24"/>
          <w:vertAlign w:val="subscript"/>
          <w:lang w:val="en-US" w:eastAsia="zh-CN"/>
        </w:rPr>
        <w:t>2</w:t>
      </w:r>
      <w:r>
        <w:rPr>
          <w:rFonts w:hint="eastAsia" w:ascii="仿宋" w:hAnsi="仿宋" w:eastAsia="仿宋" w:cs="Times New Roman"/>
          <w:sz w:val="24"/>
          <w:szCs w:val="24"/>
          <w:lang w:val="en-US" w:eastAsia="zh-CN"/>
        </w:rPr>
        <w:t>)自动校正O</w:t>
      </w:r>
      <w:r>
        <w:rPr>
          <w:rFonts w:hint="eastAsia" w:ascii="仿宋" w:hAnsi="仿宋" w:eastAsia="仿宋" w:cs="Times New Roman"/>
          <w:sz w:val="24"/>
          <w:szCs w:val="24"/>
          <w:vertAlign w:val="subscript"/>
          <w:lang w:val="en-US" w:eastAsia="zh-CN"/>
        </w:rPr>
        <w:t>2</w:t>
      </w:r>
      <w:r>
        <w:rPr>
          <w:rFonts w:hint="eastAsia" w:ascii="仿宋" w:hAnsi="仿宋" w:eastAsia="仿宋" w:cs="Times New Roman"/>
          <w:sz w:val="24"/>
          <w:szCs w:val="24"/>
          <w:lang w:val="en-US" w:eastAsia="zh-CN"/>
        </w:rPr>
        <w:t>、C0</w:t>
      </w:r>
      <w:r>
        <w:rPr>
          <w:rFonts w:hint="eastAsia" w:ascii="仿宋" w:hAnsi="仿宋" w:eastAsia="仿宋" w:cs="Times New Roman"/>
          <w:sz w:val="24"/>
          <w:szCs w:val="24"/>
          <w:vertAlign w:val="subscript"/>
          <w:lang w:val="en-US" w:eastAsia="zh-CN"/>
        </w:rPr>
        <w:t>2</w:t>
      </w:r>
      <w:r>
        <w:rPr>
          <w:rFonts w:hint="eastAsia" w:ascii="仿宋" w:hAnsi="仿宋" w:eastAsia="仿宋" w:cs="Times New Roman"/>
          <w:sz w:val="24"/>
          <w:szCs w:val="24"/>
          <w:lang w:val="en-US" w:eastAsia="zh-CN"/>
        </w:rPr>
        <w:t>检测器。</w:t>
      </w:r>
      <w:r>
        <w:rPr>
          <w:rFonts w:hint="default" w:ascii="仿宋" w:hAnsi="仿宋" w:eastAsia="仿宋" w:cs="Times New Roman"/>
          <w:b w:val="0"/>
          <w:bCs w:val="0"/>
          <w:sz w:val="24"/>
          <w:szCs w:val="24"/>
          <w:lang w:val="en-US" w:eastAsia="zh-CN"/>
        </w:rPr>
        <w:t>（</w:t>
      </w:r>
      <w:r>
        <w:rPr>
          <w:rFonts w:hint="eastAsia" w:ascii="仿宋" w:hAnsi="仿宋" w:eastAsia="仿宋" w:cs="Times New Roman"/>
          <w:b w:val="0"/>
          <w:bCs w:val="0"/>
          <w:sz w:val="24"/>
          <w:szCs w:val="24"/>
          <w:lang w:val="en-US" w:eastAsia="zh-CN"/>
        </w:rPr>
        <w:t>须同时提供</w:t>
      </w:r>
      <w:r>
        <w:rPr>
          <w:rFonts w:hint="default" w:ascii="仿宋" w:hAnsi="仿宋" w:eastAsia="仿宋" w:cs="Times New Roman"/>
          <w:b w:val="0"/>
          <w:bCs w:val="0"/>
          <w:sz w:val="24"/>
          <w:szCs w:val="24"/>
          <w:lang w:val="en-US" w:eastAsia="zh-CN"/>
        </w:rPr>
        <w:t>彩页</w:t>
      </w:r>
      <w:r>
        <w:rPr>
          <w:rFonts w:hint="eastAsia" w:ascii="仿宋" w:hAnsi="仿宋" w:eastAsia="仿宋" w:cs="Times New Roman"/>
          <w:b w:val="0"/>
          <w:bCs w:val="0"/>
          <w:sz w:val="24"/>
          <w:szCs w:val="24"/>
          <w:lang w:val="en-US" w:eastAsia="zh-CN"/>
        </w:rPr>
        <w:t>及校准功能</w:t>
      </w:r>
      <w:r>
        <w:rPr>
          <w:rFonts w:hint="default" w:ascii="仿宋" w:hAnsi="仿宋" w:eastAsia="仿宋" w:cs="Times New Roman"/>
          <w:b w:val="0"/>
          <w:bCs w:val="0"/>
          <w:sz w:val="24"/>
          <w:szCs w:val="24"/>
          <w:lang w:val="en-US" w:eastAsia="zh-CN"/>
        </w:rPr>
        <w:t>软件实验操作界面截图</w:t>
      </w:r>
      <w:r>
        <w:rPr>
          <w:rFonts w:hint="eastAsia" w:ascii="仿宋" w:hAnsi="仿宋" w:eastAsia="仿宋" w:cs="Times New Roman"/>
          <w:b w:val="0"/>
          <w:bCs w:val="0"/>
          <w:sz w:val="24"/>
          <w:szCs w:val="24"/>
          <w:lang w:val="en-US" w:eastAsia="zh-CN"/>
        </w:rPr>
        <w:t>证明</w:t>
      </w:r>
      <w:r>
        <w:rPr>
          <w:rFonts w:hint="default" w:ascii="仿宋" w:hAnsi="仿宋" w:eastAsia="仿宋" w:cs="Times New Roman"/>
          <w:b w:val="0"/>
          <w:bCs w:val="0"/>
          <w:sz w:val="24"/>
          <w:szCs w:val="24"/>
          <w:lang w:val="en-US" w:eastAsia="zh-CN"/>
        </w:rPr>
        <w:t>）</w:t>
      </w:r>
    </w:p>
    <w:p w14:paraId="07424DEF">
      <w:pPr>
        <w:pStyle w:val="10"/>
        <w:spacing w:line="360" w:lineRule="auto"/>
        <w:ind w:firstLine="0" w:firstLineChars="0"/>
        <w:contextualSpacing/>
        <w:jc w:val="left"/>
        <w:rPr>
          <w:rFonts w:hint="eastAsia" w:ascii="仿宋" w:hAnsi="仿宋" w:eastAsia="仿宋" w:cs="Times New Roman"/>
          <w:sz w:val="24"/>
          <w:szCs w:val="24"/>
        </w:rPr>
      </w:pPr>
      <w:r>
        <w:rPr>
          <w:rFonts w:hint="eastAsia" w:ascii="仿宋" w:hAnsi="仿宋" w:eastAsia="仿宋" w:cs="Times New Roman"/>
          <w:sz w:val="24"/>
          <w:szCs w:val="24"/>
        </w:rPr>
        <w:t>5.7、配备气体质量流量控制计。</w:t>
      </w:r>
    </w:p>
    <w:p w14:paraId="63BCA7A0">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5.8、在氧气及二氧化碳监测过程中，可直接去除待测气体中的水汽及氨气等杂质气体。</w:t>
      </w:r>
    </w:p>
    <w:p w14:paraId="0BC1EBBE">
      <w:pPr>
        <w:pStyle w:val="10"/>
        <w:spacing w:line="360" w:lineRule="auto"/>
        <w:ind w:firstLine="0" w:firstLineChars="0"/>
        <w:contextualSpacing/>
        <w:jc w:val="left"/>
        <w:rPr>
          <w:rFonts w:hint="eastAsia" w:ascii="仿宋" w:hAnsi="仿宋" w:eastAsia="仿宋" w:cs="Times New Roman"/>
          <w:sz w:val="24"/>
          <w:szCs w:val="24"/>
        </w:rPr>
      </w:pPr>
      <w:r>
        <w:rPr>
          <w:rFonts w:hint="eastAsia" w:ascii="仿宋" w:hAnsi="仿宋" w:eastAsia="仿宋" w:cs="Times New Roman"/>
          <w:sz w:val="24"/>
          <w:szCs w:val="24"/>
        </w:rPr>
        <w:t>▲</w:t>
      </w:r>
      <w:r>
        <w:rPr>
          <w:rFonts w:hint="eastAsia" w:ascii="仿宋" w:hAnsi="仿宋" w:eastAsia="仿宋"/>
          <w:sz w:val="24"/>
          <w:szCs w:val="24"/>
        </w:rPr>
        <w:t>5.9、配备双级气体干燥模块：一级冷凝干燥器采用帕尔贴冷凝干燥技术；二级采用高分子材料非接触式干燥器，利用高分子材料单向透水的性能，在样品气体与干燥空气不接触的情况下去除水汽，样品气体成分不受湿度和其他吸附</w:t>
      </w:r>
      <w:r>
        <w:rPr>
          <w:rFonts w:hint="eastAsia" w:ascii="仿宋" w:hAnsi="仿宋" w:eastAsia="仿宋" w:cs="Times New Roman"/>
          <w:sz w:val="24"/>
          <w:szCs w:val="24"/>
        </w:rPr>
        <w:t>材质的影响。</w:t>
      </w:r>
      <w:r>
        <w:rPr>
          <w:rFonts w:hint="default" w:ascii="仿宋" w:hAnsi="仿宋" w:eastAsia="仿宋" w:cs="Times New Roman"/>
          <w:b w:val="0"/>
          <w:bCs w:val="0"/>
          <w:sz w:val="24"/>
          <w:szCs w:val="24"/>
          <w:lang w:val="en-US" w:eastAsia="zh-CN"/>
        </w:rPr>
        <w:t>（</w:t>
      </w:r>
      <w:r>
        <w:rPr>
          <w:rFonts w:hint="eastAsia" w:ascii="仿宋" w:hAnsi="仿宋" w:eastAsia="仿宋" w:cs="Times New Roman"/>
          <w:b w:val="0"/>
          <w:bCs w:val="0"/>
          <w:sz w:val="24"/>
          <w:szCs w:val="24"/>
          <w:lang w:val="en-US" w:eastAsia="zh-CN"/>
        </w:rPr>
        <w:t>须同时提供</w:t>
      </w:r>
      <w:r>
        <w:rPr>
          <w:rFonts w:hint="default" w:ascii="仿宋" w:hAnsi="仿宋" w:eastAsia="仿宋" w:cs="Times New Roman"/>
          <w:b w:val="0"/>
          <w:bCs w:val="0"/>
          <w:sz w:val="24"/>
          <w:szCs w:val="24"/>
          <w:lang w:val="en-US" w:eastAsia="zh-CN"/>
        </w:rPr>
        <w:t>彩页</w:t>
      </w:r>
      <w:r>
        <w:rPr>
          <w:rFonts w:hint="eastAsia" w:ascii="仿宋" w:hAnsi="仿宋" w:eastAsia="仿宋" w:cs="Times New Roman"/>
          <w:b w:val="0"/>
          <w:bCs w:val="0"/>
          <w:sz w:val="24"/>
          <w:szCs w:val="24"/>
          <w:lang w:val="en-US" w:eastAsia="zh-CN"/>
        </w:rPr>
        <w:t>、双级气体干燥模块</w:t>
      </w:r>
      <w:r>
        <w:rPr>
          <w:rFonts w:hint="default" w:ascii="仿宋" w:hAnsi="仿宋" w:eastAsia="仿宋" w:cs="Times New Roman"/>
          <w:b w:val="0"/>
          <w:bCs w:val="0"/>
          <w:sz w:val="24"/>
          <w:szCs w:val="24"/>
          <w:lang w:val="en-US" w:eastAsia="zh-CN"/>
        </w:rPr>
        <w:t>实物照片</w:t>
      </w:r>
      <w:r>
        <w:rPr>
          <w:rFonts w:hint="eastAsia" w:ascii="仿宋" w:hAnsi="仿宋" w:eastAsia="仿宋" w:cs="Times New Roman"/>
          <w:b w:val="0"/>
          <w:bCs w:val="0"/>
          <w:sz w:val="24"/>
          <w:szCs w:val="24"/>
          <w:lang w:val="en-US" w:eastAsia="zh-CN"/>
        </w:rPr>
        <w:t>及</w:t>
      </w:r>
      <w:r>
        <w:rPr>
          <w:rFonts w:hint="default" w:ascii="仿宋" w:hAnsi="仿宋" w:eastAsia="仿宋" w:cs="Times New Roman"/>
          <w:b w:val="0"/>
          <w:bCs w:val="0"/>
          <w:sz w:val="24"/>
          <w:szCs w:val="24"/>
          <w:lang w:val="en-US" w:eastAsia="zh-CN"/>
        </w:rPr>
        <w:t>控制软件界面截图</w:t>
      </w:r>
      <w:r>
        <w:rPr>
          <w:rFonts w:hint="eastAsia" w:ascii="仿宋" w:hAnsi="仿宋" w:eastAsia="仿宋" w:cs="Times New Roman"/>
          <w:b w:val="0"/>
          <w:bCs w:val="0"/>
          <w:sz w:val="24"/>
          <w:szCs w:val="24"/>
          <w:lang w:val="en-US" w:eastAsia="zh-CN"/>
        </w:rPr>
        <w:t>证明</w:t>
      </w:r>
      <w:r>
        <w:rPr>
          <w:rFonts w:hint="default" w:ascii="仿宋" w:hAnsi="仿宋" w:eastAsia="仿宋" w:cs="Times New Roman"/>
          <w:b w:val="0"/>
          <w:bCs w:val="0"/>
          <w:sz w:val="24"/>
          <w:szCs w:val="24"/>
          <w:lang w:val="en-US" w:eastAsia="zh-CN"/>
        </w:rPr>
        <w:t>）</w:t>
      </w:r>
    </w:p>
    <w:p w14:paraId="3F071DFD">
      <w:pPr>
        <w:pStyle w:val="10"/>
        <w:spacing w:line="360" w:lineRule="auto"/>
        <w:ind w:firstLine="0" w:firstLineChars="0"/>
        <w:contextualSpacing/>
        <w:jc w:val="left"/>
        <w:rPr>
          <w:rFonts w:hint="default" w:ascii="仿宋" w:hAnsi="仿宋" w:eastAsia="仿宋" w:cs="Times New Roman"/>
          <w:b/>
          <w:bCs/>
          <w:sz w:val="24"/>
          <w:szCs w:val="24"/>
          <w:lang w:val="en-US" w:eastAsia="zh-CN"/>
        </w:rPr>
      </w:pPr>
      <w:r>
        <w:rPr>
          <w:rFonts w:hint="eastAsia" w:ascii="仿宋" w:hAnsi="仿宋" w:eastAsia="仿宋" w:cs="Times New Roman"/>
          <w:kern w:val="2"/>
          <w:sz w:val="24"/>
          <w:szCs w:val="24"/>
          <w:lang w:val="en-US" w:eastAsia="zh-CN" w:bidi="ar-SA"/>
        </w:rPr>
        <w:t>★</w:t>
      </w:r>
      <w:r>
        <w:rPr>
          <w:rFonts w:hint="eastAsia" w:ascii="仿宋" w:hAnsi="仿宋" w:eastAsia="仿宋" w:cs="Times New Roman"/>
          <w:sz w:val="24"/>
          <w:szCs w:val="24"/>
        </w:rPr>
        <w:t>5.10、</w:t>
      </w:r>
      <w:r>
        <w:rPr>
          <w:rFonts w:hint="default" w:ascii="仿宋" w:hAnsi="仿宋" w:eastAsia="仿宋" w:cs="Times New Roman"/>
          <w:sz w:val="24"/>
          <w:szCs w:val="24"/>
        </w:rPr>
        <w:t>系统配有水汽检测器，在干燥模块末端，实时监测待测样品气体的干燥程度，确保待测气体湿度＜5%。</w:t>
      </w:r>
      <w:r>
        <w:rPr>
          <w:rFonts w:hint="default" w:ascii="仿宋" w:hAnsi="仿宋" w:eastAsia="仿宋" w:cs="Times New Roman"/>
          <w:b w:val="0"/>
          <w:bCs w:val="0"/>
          <w:sz w:val="24"/>
          <w:szCs w:val="24"/>
          <w:lang w:val="en-US" w:eastAsia="zh-CN"/>
        </w:rPr>
        <w:t>（</w:t>
      </w:r>
      <w:r>
        <w:rPr>
          <w:rFonts w:hint="eastAsia" w:ascii="仿宋" w:hAnsi="仿宋" w:eastAsia="仿宋" w:cs="Times New Roman"/>
          <w:b w:val="0"/>
          <w:bCs w:val="0"/>
          <w:sz w:val="24"/>
          <w:szCs w:val="24"/>
          <w:lang w:val="en-US" w:eastAsia="zh-CN"/>
        </w:rPr>
        <w:t>须同时提供</w:t>
      </w:r>
      <w:r>
        <w:rPr>
          <w:rFonts w:hint="default" w:ascii="仿宋" w:hAnsi="仿宋" w:eastAsia="仿宋" w:cs="Times New Roman"/>
          <w:b w:val="0"/>
          <w:bCs w:val="0"/>
          <w:sz w:val="24"/>
          <w:szCs w:val="24"/>
          <w:lang w:val="en-US" w:eastAsia="zh-CN"/>
        </w:rPr>
        <w:t>彩页</w:t>
      </w:r>
      <w:r>
        <w:rPr>
          <w:rFonts w:hint="eastAsia" w:ascii="仿宋" w:hAnsi="仿宋" w:eastAsia="仿宋" w:cs="Times New Roman"/>
          <w:b w:val="0"/>
          <w:bCs w:val="0"/>
          <w:sz w:val="24"/>
          <w:szCs w:val="24"/>
          <w:lang w:val="en-US" w:eastAsia="zh-CN"/>
        </w:rPr>
        <w:t>及</w:t>
      </w:r>
      <w:r>
        <w:rPr>
          <w:rFonts w:hint="default" w:ascii="仿宋" w:hAnsi="仿宋" w:eastAsia="仿宋" w:cs="Times New Roman"/>
          <w:b w:val="0"/>
          <w:bCs w:val="0"/>
          <w:sz w:val="24"/>
          <w:szCs w:val="24"/>
          <w:lang w:val="en-US" w:eastAsia="zh-CN"/>
        </w:rPr>
        <w:t>软件操作界面截图</w:t>
      </w:r>
      <w:r>
        <w:rPr>
          <w:rFonts w:hint="eastAsia" w:ascii="仿宋" w:hAnsi="仿宋" w:eastAsia="仿宋" w:cs="Times New Roman"/>
          <w:b w:val="0"/>
          <w:bCs w:val="0"/>
          <w:sz w:val="24"/>
          <w:szCs w:val="24"/>
          <w:lang w:val="en-US" w:eastAsia="zh-CN"/>
        </w:rPr>
        <w:t>证明</w:t>
      </w:r>
      <w:r>
        <w:rPr>
          <w:rFonts w:hint="default" w:ascii="仿宋" w:hAnsi="仿宋" w:eastAsia="仿宋" w:cs="Times New Roman"/>
          <w:b w:val="0"/>
          <w:bCs w:val="0"/>
          <w:sz w:val="24"/>
          <w:szCs w:val="24"/>
          <w:lang w:val="en-US" w:eastAsia="zh-CN"/>
        </w:rPr>
        <w:t>）</w:t>
      </w:r>
    </w:p>
    <w:p w14:paraId="20E79613">
      <w:pPr>
        <w:pStyle w:val="10"/>
        <w:spacing w:line="360" w:lineRule="auto"/>
        <w:ind w:firstLine="0" w:firstLineChars="0"/>
        <w:contextualSpacing/>
        <w:jc w:val="left"/>
        <w:rPr>
          <w:rFonts w:hint="eastAsia" w:ascii="仿宋" w:hAnsi="仿宋" w:eastAsia="仿宋" w:cs="Times New Roman"/>
          <w:sz w:val="24"/>
          <w:szCs w:val="24"/>
        </w:rPr>
      </w:pPr>
      <w:r>
        <w:rPr>
          <w:rFonts w:hint="eastAsia" w:ascii="仿宋" w:hAnsi="仿宋" w:eastAsia="仿宋" w:cs="Times New Roman"/>
          <w:sz w:val="24"/>
          <w:szCs w:val="24"/>
        </w:rPr>
        <w:t>5.11、配置氨气去除模块，气体进入检测器之前，通过氨气去除装置除去样品气体的氨气。</w:t>
      </w:r>
      <w:r>
        <w:rPr>
          <w:rFonts w:hint="eastAsia" w:ascii="仿宋" w:hAnsi="仿宋" w:eastAsia="仿宋" w:cs="Times New Roman"/>
          <w:b w:val="0"/>
          <w:bCs w:val="0"/>
          <w:sz w:val="24"/>
          <w:szCs w:val="24"/>
          <w:lang w:val="en-US" w:eastAsia="zh-CN"/>
        </w:rPr>
        <w:t>（须同时提供彩页及氨气去除模块在系统中的实物照片证明）</w:t>
      </w:r>
    </w:p>
    <w:p w14:paraId="5D0B3EAF">
      <w:pPr>
        <w:spacing w:line="360" w:lineRule="auto"/>
        <w:contextualSpacing/>
        <w:jc w:val="left"/>
        <w:rPr>
          <w:rFonts w:hint="default" w:ascii="仿宋" w:hAnsi="仿宋" w:eastAsia="仿宋" w:cs="Times New Roman"/>
          <w:kern w:val="2"/>
          <w:sz w:val="24"/>
          <w:szCs w:val="24"/>
          <w:lang w:val="en-US" w:eastAsia="zh-CN" w:bidi="ar-SA"/>
        </w:rPr>
      </w:pPr>
      <w:r>
        <w:rPr>
          <w:rFonts w:hint="default" w:ascii="仿宋" w:hAnsi="仿宋" w:eastAsia="仿宋" w:cs="Times New Roman"/>
          <w:kern w:val="2"/>
          <w:sz w:val="24"/>
          <w:szCs w:val="24"/>
          <w:lang w:val="en-US" w:eastAsia="zh-CN" w:bidi="ar-SA"/>
        </w:rPr>
        <w:t>▲</w:t>
      </w:r>
      <w:r>
        <w:rPr>
          <w:rFonts w:hint="eastAsia" w:ascii="仿宋" w:hAnsi="仿宋" w:eastAsia="仿宋" w:cs="Times New Roman"/>
          <w:kern w:val="2"/>
          <w:sz w:val="24"/>
          <w:szCs w:val="24"/>
          <w:lang w:val="en-US" w:eastAsia="zh-CN" w:bidi="ar-SA"/>
        </w:rPr>
        <w:t>5.12、</w:t>
      </w:r>
      <w:r>
        <w:rPr>
          <w:rFonts w:hint="default" w:ascii="仿宋" w:hAnsi="仿宋" w:eastAsia="仿宋" w:cs="Times New Roman"/>
          <w:kern w:val="2"/>
          <w:sz w:val="24"/>
          <w:szCs w:val="24"/>
          <w:lang w:val="en-US" w:eastAsia="zh-CN" w:bidi="ar-SA"/>
        </w:rPr>
        <w:t>系统配置气路控制及切换模块，通过中央控制系统为每个通道分配气流，共用同一套检测器</w:t>
      </w:r>
      <w:r>
        <w:rPr>
          <w:rFonts w:hint="eastAsia" w:ascii="仿宋" w:hAnsi="仿宋" w:eastAsia="仿宋" w:cs="Times New Roman"/>
          <w:kern w:val="2"/>
          <w:sz w:val="24"/>
          <w:szCs w:val="24"/>
          <w:lang w:val="en-US" w:eastAsia="zh-CN" w:bidi="ar-SA"/>
        </w:rPr>
        <w:t>，避免不同检测器之间的数据漂移产生的系统误差，保证数据检测的一致性和准确性。</w:t>
      </w:r>
      <w:r>
        <w:rPr>
          <w:rFonts w:hint="default" w:ascii="仿宋" w:hAnsi="仿宋" w:eastAsia="仿宋" w:cs="Times New Roman"/>
          <w:b w:val="0"/>
          <w:bCs w:val="0"/>
          <w:kern w:val="2"/>
          <w:sz w:val="24"/>
          <w:szCs w:val="24"/>
          <w:lang w:val="en-US" w:eastAsia="zh-CN" w:bidi="ar-SA"/>
        </w:rPr>
        <w:t>（</w:t>
      </w:r>
      <w:r>
        <w:rPr>
          <w:rFonts w:hint="eastAsia" w:ascii="仿宋" w:hAnsi="仿宋" w:eastAsia="仿宋"/>
          <w:b w:val="0"/>
          <w:bCs w:val="0"/>
          <w:sz w:val="24"/>
          <w:szCs w:val="24"/>
          <w:lang w:val="en-US" w:eastAsia="zh-CN"/>
        </w:rPr>
        <w:t>须同时提供</w:t>
      </w:r>
      <w:r>
        <w:rPr>
          <w:rFonts w:hint="default" w:ascii="仿宋" w:hAnsi="仿宋" w:eastAsia="仿宋" w:cs="Times New Roman"/>
          <w:b w:val="0"/>
          <w:bCs w:val="0"/>
          <w:kern w:val="2"/>
          <w:sz w:val="24"/>
          <w:szCs w:val="24"/>
          <w:lang w:val="en-US" w:eastAsia="zh-CN" w:bidi="ar-SA"/>
        </w:rPr>
        <w:t>彩页</w:t>
      </w:r>
      <w:r>
        <w:rPr>
          <w:rFonts w:hint="eastAsia" w:ascii="仿宋" w:hAnsi="仿宋" w:eastAsia="仿宋" w:cs="Times New Roman"/>
          <w:b w:val="0"/>
          <w:bCs w:val="0"/>
          <w:kern w:val="2"/>
          <w:sz w:val="24"/>
          <w:szCs w:val="24"/>
          <w:lang w:val="en-US" w:eastAsia="zh-CN" w:bidi="ar-SA"/>
        </w:rPr>
        <w:t>、气路控制及切换模块</w:t>
      </w:r>
      <w:r>
        <w:rPr>
          <w:rFonts w:hint="default" w:ascii="仿宋" w:hAnsi="仿宋" w:eastAsia="仿宋" w:cs="Times New Roman"/>
          <w:b w:val="0"/>
          <w:bCs w:val="0"/>
          <w:kern w:val="2"/>
          <w:sz w:val="24"/>
          <w:szCs w:val="24"/>
          <w:lang w:val="en-US" w:eastAsia="zh-CN" w:bidi="ar-SA"/>
        </w:rPr>
        <w:t>实物照片及气路切换控制工作原理控制图</w:t>
      </w:r>
      <w:r>
        <w:rPr>
          <w:rFonts w:hint="eastAsia" w:ascii="仿宋" w:hAnsi="仿宋" w:eastAsia="仿宋" w:cs="Times New Roman"/>
          <w:b w:val="0"/>
          <w:bCs w:val="0"/>
          <w:kern w:val="2"/>
          <w:sz w:val="24"/>
          <w:szCs w:val="24"/>
          <w:lang w:val="en-US" w:eastAsia="zh-CN" w:bidi="ar-SA"/>
        </w:rPr>
        <w:t>证明</w:t>
      </w:r>
      <w:r>
        <w:rPr>
          <w:rFonts w:hint="default" w:ascii="仿宋" w:hAnsi="仿宋" w:eastAsia="仿宋" w:cs="Times New Roman"/>
          <w:b w:val="0"/>
          <w:bCs w:val="0"/>
          <w:kern w:val="2"/>
          <w:sz w:val="24"/>
          <w:szCs w:val="24"/>
          <w:lang w:val="en-US" w:eastAsia="zh-CN" w:bidi="ar-SA"/>
        </w:rPr>
        <w:t>）</w:t>
      </w:r>
    </w:p>
    <w:p w14:paraId="6A8F239B">
      <w:pPr>
        <w:spacing w:line="360" w:lineRule="auto"/>
        <w:contextualSpacing/>
        <w:jc w:val="left"/>
        <w:rPr>
          <w:rFonts w:hint="eastAsia"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★5.13、笼具须采用微型风扇，主动混匀代谢笼内的气体。</w:t>
      </w:r>
      <w:r>
        <w:rPr>
          <w:rFonts w:hint="default" w:ascii="仿宋" w:hAnsi="仿宋" w:eastAsia="仿宋" w:cs="Times New Roman"/>
          <w:b w:val="0"/>
          <w:bCs w:val="0"/>
          <w:kern w:val="2"/>
          <w:sz w:val="24"/>
          <w:szCs w:val="24"/>
          <w:lang w:val="en-US" w:eastAsia="zh-CN" w:bidi="ar-SA"/>
        </w:rPr>
        <w:t>（</w:t>
      </w:r>
      <w:r>
        <w:rPr>
          <w:rFonts w:hint="eastAsia" w:ascii="仿宋" w:hAnsi="仿宋" w:eastAsia="仿宋"/>
          <w:b w:val="0"/>
          <w:bCs w:val="0"/>
          <w:sz w:val="24"/>
          <w:szCs w:val="24"/>
          <w:lang w:val="en-US" w:eastAsia="zh-CN"/>
        </w:rPr>
        <w:t>须同时提供</w:t>
      </w:r>
      <w:r>
        <w:rPr>
          <w:rFonts w:hint="default" w:ascii="仿宋" w:hAnsi="仿宋" w:eastAsia="仿宋" w:cs="Times New Roman"/>
          <w:b w:val="0"/>
          <w:bCs w:val="0"/>
          <w:kern w:val="2"/>
          <w:sz w:val="24"/>
          <w:szCs w:val="24"/>
          <w:lang w:val="en-US" w:eastAsia="zh-CN" w:bidi="ar-SA"/>
        </w:rPr>
        <w:t>彩页</w:t>
      </w:r>
      <w:r>
        <w:rPr>
          <w:rFonts w:hint="eastAsia" w:ascii="仿宋" w:hAnsi="仿宋" w:eastAsia="仿宋" w:cs="Times New Roman"/>
          <w:b w:val="0"/>
          <w:bCs w:val="0"/>
          <w:kern w:val="2"/>
          <w:sz w:val="24"/>
          <w:szCs w:val="24"/>
          <w:lang w:val="en-US" w:eastAsia="zh-CN" w:bidi="ar-SA"/>
        </w:rPr>
        <w:t>及微型风扇在系统中工作时的</w:t>
      </w:r>
      <w:r>
        <w:rPr>
          <w:rFonts w:hint="default" w:ascii="仿宋" w:hAnsi="仿宋" w:eastAsia="仿宋" w:cs="Times New Roman"/>
          <w:b w:val="0"/>
          <w:bCs w:val="0"/>
          <w:kern w:val="2"/>
          <w:sz w:val="24"/>
          <w:szCs w:val="24"/>
          <w:lang w:val="en-US" w:eastAsia="zh-CN" w:bidi="ar-SA"/>
        </w:rPr>
        <w:t>实物照片</w:t>
      </w:r>
      <w:r>
        <w:rPr>
          <w:rFonts w:hint="eastAsia" w:ascii="仿宋" w:hAnsi="仿宋" w:eastAsia="仿宋" w:cs="Times New Roman"/>
          <w:b w:val="0"/>
          <w:bCs w:val="0"/>
          <w:sz w:val="24"/>
          <w:szCs w:val="24"/>
          <w:lang w:val="en-US" w:eastAsia="zh-CN"/>
        </w:rPr>
        <w:t>证明</w:t>
      </w:r>
      <w:r>
        <w:rPr>
          <w:rFonts w:hint="default" w:ascii="仿宋" w:hAnsi="仿宋" w:eastAsia="仿宋" w:cs="Times New Roman"/>
          <w:b w:val="0"/>
          <w:bCs w:val="0"/>
          <w:kern w:val="2"/>
          <w:sz w:val="24"/>
          <w:szCs w:val="24"/>
          <w:lang w:val="en-US" w:eastAsia="zh-CN" w:bidi="ar-SA"/>
        </w:rPr>
        <w:t>）</w:t>
      </w:r>
    </w:p>
    <w:p w14:paraId="1331AA59">
      <w:pPr>
        <w:pStyle w:val="10"/>
        <w:spacing w:line="360" w:lineRule="auto"/>
        <w:ind w:firstLine="0" w:firstLineChars="0"/>
        <w:contextualSpacing/>
        <w:jc w:val="left"/>
        <w:rPr>
          <w:rFonts w:hint="eastAsia"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6、摄食监测模块</w:t>
      </w:r>
    </w:p>
    <w:p w14:paraId="62431951">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6.1、监测通道≥</w:t>
      </w:r>
      <w:r>
        <w:rPr>
          <w:rFonts w:ascii="仿宋" w:hAnsi="仿宋" w:eastAsia="仿宋"/>
          <w:sz w:val="24"/>
          <w:szCs w:val="24"/>
        </w:rPr>
        <w:t>1</w:t>
      </w:r>
      <w:r>
        <w:rPr>
          <w:rFonts w:hint="eastAsia" w:ascii="仿宋" w:hAnsi="仿宋" w:eastAsia="仿宋"/>
          <w:sz w:val="24"/>
          <w:szCs w:val="24"/>
        </w:rPr>
        <w:t>6通道。</w:t>
      </w:r>
    </w:p>
    <w:p w14:paraId="70D98506">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6.2、可实时监测食物消耗量和摄食行为，测量分辨率≤0.001g。</w:t>
      </w:r>
    </w:p>
    <w:p w14:paraId="337A9864">
      <w:pPr>
        <w:pStyle w:val="10"/>
        <w:spacing w:line="360" w:lineRule="auto"/>
        <w:ind w:firstLine="0" w:firstLineChars="0"/>
        <w:contextualSpacing/>
        <w:jc w:val="left"/>
        <w:rPr>
          <w:rFonts w:hint="eastAsia" w:ascii="仿宋" w:hAnsi="仿宋" w:eastAsia="仿宋"/>
          <w:sz w:val="24"/>
          <w:szCs w:val="24"/>
        </w:rPr>
      </w:pPr>
      <w:r>
        <w:rPr>
          <w:rFonts w:hint="eastAsia" w:ascii="仿宋" w:hAnsi="仿宋" w:eastAsia="仿宋"/>
          <w:sz w:val="24"/>
          <w:szCs w:val="24"/>
        </w:rPr>
        <w:t>6.3、运行过程中可添加食物，不会对持续检测造成影响。</w:t>
      </w:r>
    </w:p>
    <w:p w14:paraId="666D8815">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7、饮水监测模块:</w:t>
      </w:r>
    </w:p>
    <w:p w14:paraId="480B9953">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7.1、监测通道≥12通道。</w:t>
      </w:r>
    </w:p>
    <w:p w14:paraId="3614760A">
      <w:pPr>
        <w:pStyle w:val="10"/>
        <w:spacing w:line="360" w:lineRule="auto"/>
        <w:ind w:firstLine="0" w:firstLineChars="0"/>
        <w:contextualSpacing/>
        <w:jc w:val="left"/>
        <w:rPr>
          <w:rFonts w:hint="eastAsia" w:ascii="仿宋" w:hAnsi="仿宋" w:eastAsia="仿宋"/>
          <w:sz w:val="24"/>
          <w:szCs w:val="24"/>
        </w:rPr>
      </w:pPr>
      <w:r>
        <w:rPr>
          <w:rFonts w:hint="eastAsia" w:ascii="仿宋" w:hAnsi="仿宋" w:eastAsia="仿宋"/>
          <w:sz w:val="24"/>
          <w:szCs w:val="24"/>
        </w:rPr>
        <w:t>7.2、可实时监测记录饮水消耗量和饮水行为，测量分辨率≤0.001g。</w:t>
      </w:r>
    </w:p>
    <w:p w14:paraId="59D9D489">
      <w:pPr>
        <w:pStyle w:val="10"/>
        <w:spacing w:line="360" w:lineRule="auto"/>
        <w:ind w:firstLine="0" w:firstLineChars="0"/>
        <w:contextualSpacing/>
        <w:jc w:val="left"/>
        <w:rPr>
          <w:rFonts w:hint="eastAsia" w:ascii="仿宋" w:hAnsi="仿宋" w:eastAsia="仿宋"/>
          <w:sz w:val="24"/>
          <w:szCs w:val="24"/>
        </w:rPr>
      </w:pPr>
      <w:r>
        <w:rPr>
          <w:rFonts w:hint="eastAsia" w:ascii="仿宋" w:hAnsi="仿宋" w:eastAsia="仿宋"/>
          <w:sz w:val="24"/>
          <w:szCs w:val="24"/>
        </w:rPr>
        <w:t>7.3、运行过程中添加水不会对持续检测造成影响。</w:t>
      </w:r>
    </w:p>
    <w:p w14:paraId="553E4754">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7.4、饮水瓶嘴采用防漏水设计。</w:t>
      </w:r>
    </w:p>
    <w:p w14:paraId="17889069">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8、自主活动监测模块</w:t>
      </w:r>
    </w:p>
    <w:p w14:paraId="1620B3B1">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8.1、可对动物在XY轴面上的活动度进行评价。</w:t>
      </w:r>
    </w:p>
    <w:p w14:paraId="1E4401DA">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8.2、具有睡眠探测模块，可探测分析睡眠回合数、平均睡眠长度、最小睡眠长度、最大睡眠长度、总睡眠时间。</w:t>
      </w:r>
      <w:r>
        <w:rPr>
          <w:rFonts w:hint="default" w:ascii="仿宋" w:hAnsi="仿宋" w:eastAsia="仿宋" w:cs="Times New Roman"/>
          <w:b w:val="0"/>
          <w:bCs w:val="0"/>
          <w:kern w:val="2"/>
          <w:sz w:val="24"/>
          <w:szCs w:val="24"/>
          <w:lang w:val="en-US" w:eastAsia="zh-CN" w:bidi="ar-SA"/>
        </w:rPr>
        <w:t>（</w:t>
      </w:r>
      <w:r>
        <w:rPr>
          <w:rFonts w:hint="eastAsia" w:ascii="仿宋" w:hAnsi="仿宋" w:eastAsia="仿宋" w:cs="Times New Roman"/>
          <w:b w:val="0"/>
          <w:bCs w:val="0"/>
          <w:kern w:val="2"/>
          <w:sz w:val="24"/>
          <w:szCs w:val="24"/>
          <w:lang w:val="en-US" w:eastAsia="zh-CN" w:bidi="ar-SA"/>
        </w:rPr>
        <w:t>须同时提供</w:t>
      </w:r>
      <w:r>
        <w:rPr>
          <w:rFonts w:hint="default" w:ascii="仿宋" w:hAnsi="仿宋" w:eastAsia="仿宋" w:cs="Times New Roman"/>
          <w:b w:val="0"/>
          <w:bCs w:val="0"/>
          <w:kern w:val="2"/>
          <w:sz w:val="24"/>
          <w:szCs w:val="24"/>
          <w:lang w:val="en-US" w:eastAsia="zh-CN" w:bidi="ar-SA"/>
        </w:rPr>
        <w:t>彩页及</w:t>
      </w:r>
      <w:r>
        <w:rPr>
          <w:rFonts w:hint="eastAsia" w:ascii="仿宋" w:hAnsi="仿宋" w:eastAsia="仿宋" w:cs="Times New Roman"/>
          <w:b w:val="0"/>
          <w:bCs w:val="0"/>
          <w:kern w:val="2"/>
          <w:sz w:val="24"/>
          <w:szCs w:val="24"/>
          <w:lang w:val="en-US" w:eastAsia="zh-CN" w:bidi="ar-SA"/>
        </w:rPr>
        <w:t>睡眠分析模块</w:t>
      </w:r>
      <w:r>
        <w:rPr>
          <w:rFonts w:hint="default" w:ascii="仿宋" w:hAnsi="仿宋" w:eastAsia="仿宋" w:cs="Times New Roman"/>
          <w:b w:val="0"/>
          <w:bCs w:val="0"/>
          <w:kern w:val="2"/>
          <w:sz w:val="24"/>
          <w:szCs w:val="24"/>
          <w:lang w:val="en-US" w:eastAsia="zh-CN" w:bidi="ar-SA"/>
        </w:rPr>
        <w:t>软件界面截图</w:t>
      </w:r>
      <w:r>
        <w:rPr>
          <w:rFonts w:hint="eastAsia" w:ascii="仿宋" w:hAnsi="仿宋" w:eastAsia="仿宋" w:cs="Times New Roman"/>
          <w:b w:val="0"/>
          <w:bCs w:val="0"/>
          <w:kern w:val="2"/>
          <w:sz w:val="24"/>
          <w:szCs w:val="24"/>
          <w:lang w:val="en-US" w:eastAsia="zh-CN" w:bidi="ar-SA"/>
        </w:rPr>
        <w:t>证明</w:t>
      </w:r>
      <w:r>
        <w:rPr>
          <w:rFonts w:hint="default" w:ascii="仿宋" w:hAnsi="仿宋" w:eastAsia="仿宋" w:cs="Times New Roman"/>
          <w:b w:val="0"/>
          <w:bCs w:val="0"/>
          <w:kern w:val="2"/>
          <w:sz w:val="24"/>
          <w:szCs w:val="24"/>
          <w:lang w:val="en-US" w:eastAsia="zh-CN" w:bidi="ar-SA"/>
        </w:rPr>
        <w:t>）</w:t>
      </w:r>
    </w:p>
    <w:p w14:paraId="55CC067B">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8.3、可以获取笼内活动距离、分析偏爱位置等。</w:t>
      </w:r>
    </w:p>
    <w:p w14:paraId="2579796E">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9、环境控制模块：</w:t>
      </w:r>
    </w:p>
    <w:p w14:paraId="56C3F682">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9.1、可以实现实验动物的饲养温度、光照及湿度的控制等；</w:t>
      </w:r>
    </w:p>
    <w:p w14:paraId="7A6F6232">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9.2、控温范围：4～45℃；温度波动：±1℃</w:t>
      </w:r>
    </w:p>
    <w:p w14:paraId="035FED68">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9.3、控湿范围：50%～80%RH</w:t>
      </w:r>
    </w:p>
    <w:p w14:paraId="4E2E9589">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9.4、气流控制：20L/min±10%。</w:t>
      </w:r>
    </w:p>
    <w:p w14:paraId="1EFEBC97">
      <w:pPr>
        <w:spacing w:line="360" w:lineRule="auto"/>
        <w:rPr>
          <w:rFonts w:ascii="仿宋" w:hAnsi="仿宋" w:eastAsia="仿宋" w:cs="宋体"/>
          <w:sz w:val="24"/>
        </w:rPr>
      </w:pPr>
      <w:r>
        <w:rPr>
          <w:rFonts w:hint="eastAsia" w:ascii="仿宋" w:hAnsi="仿宋" w:eastAsia="仿宋"/>
          <w:sz w:val="24"/>
        </w:rPr>
        <w:t>▲9.5、独立照明通道≥16个，可编程光照时间，光照颜色可调节，</w:t>
      </w:r>
      <w:r>
        <w:rPr>
          <w:rFonts w:hint="eastAsia" w:ascii="仿宋" w:hAnsi="仿宋" w:eastAsia="仿宋" w:cs="宋体"/>
          <w:sz w:val="24"/>
        </w:rPr>
        <w:t>调节种类≥128种。</w:t>
      </w:r>
      <w:r>
        <w:rPr>
          <w:rFonts w:hint="eastAsia" w:ascii="仿宋" w:hAnsi="仿宋" w:eastAsia="仿宋" w:cs="Times New Roman"/>
          <w:b w:val="0"/>
          <w:bCs w:val="0"/>
          <w:kern w:val="2"/>
          <w:sz w:val="24"/>
          <w:szCs w:val="24"/>
          <w:lang w:val="en-US" w:eastAsia="zh-CN" w:bidi="ar-SA"/>
        </w:rPr>
        <w:t>（须同时提供彩页、独立通道照明实物图及软件操作界面截图证明）</w:t>
      </w:r>
    </w:p>
    <w:p w14:paraId="6BDA37FC">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10、数据分析模块：</w:t>
      </w:r>
    </w:p>
    <w:p w14:paraId="2BA609ED">
      <w:pPr>
        <w:pStyle w:val="10"/>
        <w:spacing w:line="360" w:lineRule="auto"/>
        <w:ind w:firstLine="0" w:firstLineChars="0"/>
        <w:contextualSpacing/>
        <w:jc w:val="left"/>
        <w:rPr>
          <w:rFonts w:ascii="仿宋" w:hAnsi="仿宋" w:eastAsia="仿宋"/>
          <w:sz w:val="24"/>
          <w:szCs w:val="24"/>
        </w:rPr>
      </w:pPr>
      <w:r>
        <w:rPr>
          <w:rFonts w:ascii="仿宋" w:hAnsi="仿宋" w:eastAsia="仿宋"/>
          <w:sz w:val="24"/>
          <w:szCs w:val="24"/>
        </w:rPr>
        <w:t>10.1、CPU：≥</w:t>
      </w:r>
      <w:r>
        <w:rPr>
          <w:rFonts w:hint="eastAsia" w:ascii="仿宋" w:hAnsi="仿宋" w:eastAsia="仿宋"/>
          <w:sz w:val="24"/>
          <w:szCs w:val="24"/>
        </w:rPr>
        <w:t>8核，主频≥3,7</w:t>
      </w:r>
      <w:r>
        <w:rPr>
          <w:rFonts w:ascii="仿宋" w:hAnsi="仿宋" w:eastAsia="仿宋"/>
          <w:sz w:val="24"/>
          <w:szCs w:val="24"/>
        </w:rPr>
        <w:t>GHz；内存≥</w:t>
      </w:r>
      <w:r>
        <w:rPr>
          <w:rFonts w:hint="eastAsia" w:ascii="仿宋" w:hAnsi="仿宋" w:eastAsia="仿宋"/>
          <w:sz w:val="24"/>
          <w:szCs w:val="24"/>
        </w:rPr>
        <w:t>8</w:t>
      </w:r>
      <w:r>
        <w:rPr>
          <w:rFonts w:ascii="仿宋" w:hAnsi="仿宋" w:eastAsia="仿宋"/>
          <w:sz w:val="24"/>
          <w:szCs w:val="24"/>
        </w:rPr>
        <w:t>G；硬盘</w:t>
      </w:r>
      <w:r>
        <w:rPr>
          <w:rFonts w:hint="eastAsia" w:ascii="仿宋" w:hAnsi="仿宋" w:eastAsia="仿宋"/>
          <w:sz w:val="24"/>
          <w:szCs w:val="24"/>
        </w:rPr>
        <w:t>≥1T；彩色液晶显示器≥27英寸。</w:t>
      </w:r>
    </w:p>
    <w:p w14:paraId="65BE1809">
      <w:pPr>
        <w:bidi w:val="0"/>
        <w:spacing w:line="360" w:lineRule="auto"/>
        <w:rPr>
          <w:rFonts w:ascii="仿宋" w:hAnsi="仿宋" w:eastAsia="仿宋"/>
          <w:sz w:val="24"/>
          <w:szCs w:val="24"/>
        </w:rPr>
      </w:pPr>
      <w:r>
        <w:rPr>
          <w:rFonts w:hint="eastAsia" w:ascii="仿宋" w:hAnsi="仿宋" w:eastAsia="仿宋" w:cs="Times New Roman"/>
          <w:kern w:val="2"/>
          <w:sz w:val="24"/>
          <w:szCs w:val="24"/>
          <w:lang w:val="en-US" w:eastAsia="zh-CN" w:bidi="ar-SA"/>
        </w:rPr>
        <w:t>10.2、</w:t>
      </w:r>
      <w:r>
        <w:rPr>
          <w:rFonts w:hint="default" w:ascii="仿宋" w:hAnsi="仿宋" w:eastAsia="仿宋" w:cs="Times New Roman"/>
          <w:kern w:val="2"/>
          <w:sz w:val="24"/>
          <w:szCs w:val="24"/>
          <w:lang w:val="en-US" w:eastAsia="zh-CN" w:bidi="ar-SA"/>
        </w:rPr>
        <w:t>分析软件支持数据记录及导出数据，支持在线作图和数据差异性分析。</w:t>
      </w:r>
    </w:p>
    <w:p w14:paraId="66D2D310">
      <w:pPr>
        <w:pStyle w:val="10"/>
        <w:spacing w:line="360" w:lineRule="auto"/>
        <w:ind w:firstLine="0" w:firstLineChars="0"/>
        <w:contextualSpacing/>
        <w:jc w:val="left"/>
        <w:rPr>
          <w:rFonts w:hint="eastAsia" w:ascii="仿宋" w:hAnsi="仿宋" w:eastAsia="仿宋"/>
          <w:sz w:val="24"/>
          <w:szCs w:val="24"/>
          <w:lang w:eastAsia="zh-CN"/>
        </w:rPr>
      </w:pPr>
      <w:r>
        <w:rPr>
          <w:rFonts w:hint="eastAsia" w:ascii="仿宋" w:hAnsi="仿宋" w:eastAsia="仿宋"/>
          <w:sz w:val="24"/>
          <w:szCs w:val="24"/>
        </w:rPr>
        <w:t>10.3、实验数据自动保存并可回看</w:t>
      </w:r>
      <w:r>
        <w:rPr>
          <w:rFonts w:hint="eastAsia" w:ascii="仿宋" w:hAnsi="仿宋" w:eastAsia="仿宋"/>
          <w:sz w:val="24"/>
          <w:szCs w:val="24"/>
          <w:lang w:eastAsia="zh-CN"/>
        </w:rPr>
        <w:t>；</w:t>
      </w:r>
    </w:p>
    <w:p w14:paraId="58723F9D">
      <w:pPr>
        <w:pStyle w:val="10"/>
        <w:spacing w:line="360" w:lineRule="auto"/>
        <w:ind w:firstLine="0" w:firstLineChars="0"/>
        <w:contextualSpacing/>
        <w:jc w:val="left"/>
        <w:rPr>
          <w:rFonts w:hint="eastAsia" w:ascii="仿宋" w:hAnsi="仿宋" w:eastAsia="仿宋"/>
          <w:sz w:val="24"/>
          <w:szCs w:val="24"/>
          <w:lang w:eastAsia="zh-CN"/>
        </w:rPr>
      </w:pPr>
      <w:r>
        <w:rPr>
          <w:rFonts w:hint="eastAsia" w:ascii="仿宋" w:hAnsi="仿宋" w:eastAsia="仿宋"/>
          <w:sz w:val="24"/>
          <w:szCs w:val="24"/>
        </w:rPr>
        <w:t>10.4、具备分析软件，可以对原始数据进行分析和作图</w:t>
      </w:r>
      <w:r>
        <w:rPr>
          <w:rFonts w:hint="eastAsia" w:ascii="仿宋" w:hAnsi="仿宋" w:eastAsia="仿宋"/>
          <w:sz w:val="24"/>
          <w:szCs w:val="24"/>
          <w:lang w:eastAsia="zh-CN"/>
        </w:rPr>
        <w:t>；</w:t>
      </w:r>
    </w:p>
    <w:p w14:paraId="4955A972">
      <w:pPr>
        <w:pStyle w:val="10"/>
        <w:spacing w:line="360" w:lineRule="auto"/>
        <w:ind w:firstLine="0" w:firstLineChars="0"/>
        <w:contextualSpacing/>
        <w:jc w:val="left"/>
        <w:rPr>
          <w:rFonts w:hint="eastAsia" w:ascii="仿宋" w:hAnsi="仿宋" w:eastAsia="仿宋"/>
          <w:sz w:val="24"/>
          <w:szCs w:val="24"/>
          <w:lang w:eastAsia="zh-CN"/>
        </w:rPr>
      </w:pPr>
      <w:r>
        <w:rPr>
          <w:rFonts w:hint="eastAsia" w:ascii="仿宋" w:hAnsi="仿宋" w:eastAsia="仿宋"/>
          <w:sz w:val="24"/>
          <w:szCs w:val="24"/>
        </w:rPr>
        <w:t>10.5、数据完全可追朔的，支持同行评审</w:t>
      </w:r>
      <w:r>
        <w:rPr>
          <w:rFonts w:hint="eastAsia" w:ascii="仿宋" w:hAnsi="仿宋" w:eastAsia="仿宋"/>
          <w:sz w:val="24"/>
          <w:szCs w:val="24"/>
          <w:lang w:eastAsia="zh-CN"/>
        </w:rPr>
        <w:t>；</w:t>
      </w:r>
    </w:p>
    <w:p w14:paraId="66B9F34A">
      <w:pPr>
        <w:pStyle w:val="10"/>
        <w:spacing w:line="360" w:lineRule="auto"/>
        <w:ind w:firstLine="0" w:firstLineChars="0"/>
        <w:contextualSpacing/>
        <w:jc w:val="left"/>
        <w:rPr>
          <w:rFonts w:hint="eastAsia" w:ascii="仿宋" w:hAnsi="仿宋" w:eastAsia="仿宋"/>
          <w:sz w:val="24"/>
          <w:szCs w:val="24"/>
        </w:rPr>
      </w:pPr>
      <w:r>
        <w:rPr>
          <w:rFonts w:hint="eastAsia" w:ascii="仿宋" w:hAnsi="仿宋" w:eastAsia="仿宋"/>
          <w:sz w:val="24"/>
          <w:szCs w:val="24"/>
        </w:rPr>
        <w:t>10.6、软件终身免费升级，可安装于不同电脑。</w:t>
      </w:r>
    </w:p>
    <w:p w14:paraId="62D69A45">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二、主要配置：</w:t>
      </w:r>
    </w:p>
    <w:p w14:paraId="3D1C1FD3">
      <w:pPr>
        <w:pStyle w:val="10"/>
        <w:spacing w:line="360" w:lineRule="auto"/>
        <w:ind w:firstLine="0" w:firstLineChars="0"/>
        <w:contextualSpacing/>
        <w:jc w:val="left"/>
        <w:rPr>
          <w:rFonts w:ascii="仿宋" w:hAnsi="仿宋" w:eastAsia="仿宋"/>
          <w:sz w:val="24"/>
          <w:szCs w:val="24"/>
        </w:rPr>
      </w:pPr>
      <w:r>
        <w:rPr>
          <w:rFonts w:ascii="仿宋" w:hAnsi="仿宋" w:eastAsia="仿宋"/>
          <w:sz w:val="24"/>
          <w:szCs w:val="24"/>
        </w:rPr>
        <w:t>1</w:t>
      </w:r>
      <w:r>
        <w:rPr>
          <w:rFonts w:hint="eastAsia" w:ascii="仿宋" w:hAnsi="仿宋" w:eastAsia="仿宋"/>
          <w:sz w:val="24"/>
          <w:szCs w:val="24"/>
        </w:rPr>
        <w:t>、</w:t>
      </w:r>
      <w:r>
        <w:rPr>
          <w:rFonts w:hint="eastAsia" w:ascii="仿宋" w:hAnsi="仿宋" w:eastAsia="仿宋" w:cs="宋体"/>
          <w:sz w:val="24"/>
          <w:szCs w:val="24"/>
        </w:rPr>
        <w:t>16通道</w:t>
      </w:r>
      <w:r>
        <w:rPr>
          <w:rFonts w:hint="eastAsia" w:ascii="仿宋" w:hAnsi="仿宋" w:eastAsia="仿宋"/>
          <w:sz w:val="24"/>
          <w:szCs w:val="24"/>
        </w:rPr>
        <w:t>大、小鼠笼架：1套。</w:t>
      </w:r>
    </w:p>
    <w:p w14:paraId="6BB93B36">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2、小鼠生活笼：16个。</w:t>
      </w:r>
    </w:p>
    <w:p w14:paraId="243C0C34">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3、大鼠生活笼：16个。</w:t>
      </w:r>
    </w:p>
    <w:p w14:paraId="060E952B">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4、</w:t>
      </w:r>
      <w:r>
        <w:rPr>
          <w:rFonts w:hint="eastAsia" w:ascii="仿宋" w:hAnsi="仿宋" w:eastAsia="仿宋" w:cs="宋体"/>
          <w:sz w:val="24"/>
          <w:szCs w:val="24"/>
        </w:rPr>
        <w:t>16通道</w:t>
      </w:r>
      <w:r>
        <w:rPr>
          <w:rFonts w:hint="eastAsia" w:ascii="仿宋" w:hAnsi="仿宋" w:eastAsia="仿宋"/>
          <w:sz w:val="24"/>
          <w:szCs w:val="24"/>
        </w:rPr>
        <w:t>大、小鼠气路控制和软件系统，1套。</w:t>
      </w:r>
    </w:p>
    <w:p w14:paraId="1CCE510D">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5、</w:t>
      </w:r>
      <w:r>
        <w:rPr>
          <w:rFonts w:hint="eastAsia" w:ascii="仿宋" w:hAnsi="仿宋" w:eastAsia="仿宋" w:cs="宋体"/>
          <w:sz w:val="24"/>
          <w:szCs w:val="24"/>
        </w:rPr>
        <w:t>16通道</w:t>
      </w:r>
      <w:r>
        <w:rPr>
          <w:rFonts w:hint="eastAsia" w:ascii="仿宋" w:hAnsi="仿宋" w:eastAsia="仿宋"/>
          <w:sz w:val="24"/>
          <w:szCs w:val="24"/>
        </w:rPr>
        <w:t>大、小鼠能量代谢监测模块：1套。</w:t>
      </w:r>
    </w:p>
    <w:p w14:paraId="73F7F50E">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6、</w:t>
      </w:r>
      <w:r>
        <w:rPr>
          <w:rFonts w:hint="eastAsia" w:ascii="仿宋" w:hAnsi="仿宋" w:eastAsia="仿宋" w:cs="宋体"/>
          <w:sz w:val="24"/>
          <w:szCs w:val="24"/>
        </w:rPr>
        <w:t>16通道</w:t>
      </w:r>
      <w:r>
        <w:rPr>
          <w:rFonts w:hint="eastAsia" w:ascii="仿宋" w:hAnsi="仿宋" w:eastAsia="仿宋"/>
          <w:sz w:val="24"/>
          <w:szCs w:val="24"/>
        </w:rPr>
        <w:t>喂食质量监测模块：1套。</w:t>
      </w:r>
    </w:p>
    <w:p w14:paraId="4EB20AEB">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7、</w:t>
      </w:r>
      <w:r>
        <w:rPr>
          <w:rFonts w:hint="eastAsia" w:ascii="仿宋" w:hAnsi="仿宋" w:eastAsia="仿宋" w:cs="宋体"/>
          <w:sz w:val="24"/>
          <w:szCs w:val="24"/>
        </w:rPr>
        <w:t>12通道</w:t>
      </w:r>
      <w:r>
        <w:rPr>
          <w:rFonts w:hint="eastAsia" w:ascii="仿宋" w:hAnsi="仿宋" w:eastAsia="仿宋"/>
          <w:sz w:val="24"/>
          <w:szCs w:val="24"/>
        </w:rPr>
        <w:t>饮水质量监测模块：1套。</w:t>
      </w:r>
    </w:p>
    <w:p w14:paraId="364186F9">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8、</w:t>
      </w:r>
      <w:r>
        <w:rPr>
          <w:rFonts w:hint="eastAsia" w:ascii="仿宋" w:hAnsi="仿宋" w:eastAsia="仿宋" w:cs="宋体"/>
          <w:sz w:val="24"/>
          <w:szCs w:val="24"/>
        </w:rPr>
        <w:t>16通道</w:t>
      </w:r>
      <w:r>
        <w:rPr>
          <w:rFonts w:hint="eastAsia" w:ascii="仿宋" w:hAnsi="仿宋" w:eastAsia="仿宋"/>
          <w:sz w:val="24"/>
          <w:szCs w:val="24"/>
        </w:rPr>
        <w:t>XY轴活动监测模块：1套。</w:t>
      </w:r>
    </w:p>
    <w:p w14:paraId="0AC91F6E">
      <w:pPr>
        <w:pStyle w:val="10"/>
        <w:spacing w:line="360" w:lineRule="auto"/>
        <w:ind w:firstLine="0" w:firstLineChars="0"/>
        <w:contextualSpacing/>
        <w:jc w:val="left"/>
        <w:rPr>
          <w:rFonts w:ascii="仿宋" w:hAnsi="仿宋" w:eastAsia="仿宋"/>
          <w:sz w:val="24"/>
          <w:szCs w:val="24"/>
        </w:rPr>
      </w:pPr>
      <w:r>
        <w:rPr>
          <w:rFonts w:hint="eastAsia" w:ascii="仿宋" w:hAnsi="仿宋" w:eastAsia="仿宋"/>
          <w:sz w:val="24"/>
          <w:szCs w:val="24"/>
        </w:rPr>
        <w:t>9、</w:t>
      </w:r>
      <w:r>
        <w:rPr>
          <w:rFonts w:hint="eastAsia" w:ascii="仿宋" w:hAnsi="仿宋" w:eastAsia="仿宋" w:cs="宋体"/>
          <w:sz w:val="24"/>
          <w:szCs w:val="24"/>
        </w:rPr>
        <w:t>16通道</w:t>
      </w:r>
      <w:r>
        <w:rPr>
          <w:rFonts w:hint="eastAsia" w:ascii="仿宋" w:hAnsi="仿宋" w:eastAsia="仿宋"/>
          <w:sz w:val="24"/>
          <w:szCs w:val="24"/>
        </w:rPr>
        <w:t>环境控制模块：1套。</w:t>
      </w:r>
    </w:p>
    <w:p w14:paraId="314A1019">
      <w:pPr>
        <w:spacing w:line="360" w:lineRule="auto"/>
        <w:rPr>
          <w:rFonts w:ascii="仿宋" w:hAnsi="仿宋" w:eastAsia="仿宋" w:cs="宋体"/>
          <w:sz w:val="24"/>
        </w:rPr>
      </w:pPr>
      <w:r>
        <w:rPr>
          <w:rFonts w:hint="eastAsia" w:ascii="仿宋" w:hAnsi="仿宋" w:eastAsia="仿宋" w:cs="宋体"/>
          <w:sz w:val="24"/>
        </w:rPr>
        <w:t>10、16通道除氨系统，1套。</w:t>
      </w:r>
    </w:p>
    <w:p w14:paraId="6EFE20FA">
      <w:pPr>
        <w:spacing w:line="360" w:lineRule="auto"/>
        <w:rPr>
          <w:rFonts w:ascii="仿宋" w:hAnsi="仿宋" w:eastAsia="仿宋" w:cs="宋体"/>
          <w:sz w:val="24"/>
        </w:rPr>
      </w:pPr>
      <w:r>
        <w:rPr>
          <w:rFonts w:hint="eastAsia" w:ascii="仿宋" w:hAnsi="仿宋" w:eastAsia="仿宋" w:cs="宋体"/>
          <w:sz w:val="24"/>
        </w:rPr>
        <w:t>11、16通道除水系统，1套。</w:t>
      </w:r>
    </w:p>
    <w:p w14:paraId="312CE59E">
      <w:pPr>
        <w:rPr>
          <w:rFonts w:ascii="仿宋" w:hAnsi="仿宋" w:eastAsia="仿宋"/>
          <w:b/>
          <w:sz w:val="24"/>
        </w:rPr>
      </w:pPr>
      <w:r>
        <w:rPr>
          <w:rFonts w:ascii="仿宋" w:hAnsi="仿宋" w:eastAsia="仿宋"/>
          <w:b/>
          <w:sz w:val="24"/>
        </w:rPr>
        <w:br w:type="page"/>
      </w:r>
    </w:p>
    <w:p w14:paraId="7CC5D467">
      <w:pPr>
        <w:widowControl/>
        <w:jc w:val="left"/>
        <w:rPr>
          <w:rFonts w:ascii="仿宋" w:hAnsi="仿宋" w:eastAsia="仿宋"/>
          <w:b/>
          <w:sz w:val="24"/>
        </w:rPr>
      </w:pPr>
    </w:p>
    <w:bookmarkEnd w:id="23"/>
    <w:p w14:paraId="05DDB2F0">
      <w:pPr>
        <w:snapToGrid w:val="0"/>
        <w:spacing w:line="360" w:lineRule="auto"/>
        <w:ind w:firstLine="480" w:firstLineChars="200"/>
        <w:rPr>
          <w:rFonts w:ascii="仿宋" w:hAnsi="仿宋" w:eastAsia="仿宋" w:cs="仿宋"/>
          <w:bCs/>
          <w:sz w:val="24"/>
        </w:rPr>
      </w:pPr>
      <w:bookmarkStart w:id="27" w:name="OLE_LINK371"/>
      <w:bookmarkStart w:id="28" w:name="OLE_LINK372"/>
      <w:r>
        <w:rPr>
          <w:rFonts w:hint="eastAsia" w:ascii="仿宋" w:hAnsi="仿宋" w:eastAsia="仿宋" w:cs="仿宋"/>
          <w:bCs/>
          <w:sz w:val="24"/>
        </w:rPr>
        <w:t>2、采购标的需满足的服务标准、期限、效率等要求；</w:t>
      </w:r>
    </w:p>
    <w:bookmarkEnd w:id="27"/>
    <w:bookmarkEnd w:id="28"/>
    <w:p w14:paraId="0527F56B">
      <w:pPr>
        <w:pStyle w:val="3"/>
        <w:tabs>
          <w:tab w:val="left" w:pos="420"/>
          <w:tab w:val="left" w:pos="900"/>
        </w:tabs>
        <w:spacing w:line="360" w:lineRule="auto"/>
        <w:ind w:left="420" w:leftChars="200"/>
        <w:contextualSpacing/>
        <w:rPr>
          <w:rFonts w:hint="default" w:ascii="仿宋" w:hAnsi="仿宋" w:eastAsia="仿宋" w:cs="仿宋"/>
          <w:bCs/>
          <w:sz w:val="24"/>
          <w:szCs w:val="24"/>
        </w:rPr>
      </w:pPr>
      <w:r>
        <w:rPr>
          <w:rFonts w:ascii="仿宋" w:hAnsi="仿宋" w:eastAsia="仿宋" w:cs="仿宋"/>
          <w:bCs/>
          <w:sz w:val="24"/>
          <w:szCs w:val="24"/>
        </w:rPr>
        <w:t>2.1、投标人应有能力做好售后服务工作和提供技术保障。投标人或投标产品制造商应设有专业的售后服务维修机构，有充足的零件储备和能力相当的技术服务人员，并保证投标产品停产后8年的备件供应。</w:t>
      </w:r>
    </w:p>
    <w:p w14:paraId="47125B15">
      <w:pPr>
        <w:pStyle w:val="2"/>
      </w:pPr>
    </w:p>
    <w:p w14:paraId="0C3F75F1">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3、为落实政府采购政策需满足的要求；</w:t>
      </w:r>
    </w:p>
    <w:p w14:paraId="68606321">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3A945E7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2EBADDD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49E2F255">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622C4EDC">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0401F666">
      <w:pPr>
        <w:snapToGrid w:val="0"/>
        <w:spacing w:line="360" w:lineRule="auto"/>
        <w:ind w:firstLine="480" w:firstLineChars="200"/>
        <w:rPr>
          <w:rFonts w:ascii="仿宋" w:hAnsi="仿宋" w:eastAsia="仿宋" w:cs="仿宋"/>
          <w:bCs/>
          <w:sz w:val="24"/>
        </w:rPr>
      </w:pPr>
      <w:bookmarkStart w:id="29" w:name="OLE_LINK113"/>
      <w:r>
        <w:rPr>
          <w:rFonts w:hint="eastAsia" w:ascii="仿宋" w:hAnsi="仿宋" w:eastAsia="仿宋" w:cs="仿宋"/>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30" w:name="OLE_LINK55"/>
      <w:bookmarkStart w:id="31" w:name="OLE_LINK56"/>
      <w:r>
        <w:rPr>
          <w:rFonts w:hint="eastAsia" w:ascii="仿宋" w:hAnsi="仿宋" w:eastAsia="仿宋" w:cs="仿宋"/>
          <w:b/>
          <w:bCs/>
          <w:sz w:val="24"/>
        </w:rPr>
        <w:t>投标人</w:t>
      </w:r>
      <w:bookmarkEnd w:id="30"/>
      <w:bookmarkEnd w:id="31"/>
      <w:r>
        <w:rPr>
          <w:rFonts w:hint="eastAsia" w:ascii="仿宋" w:hAnsi="仿宋" w:eastAsia="仿宋" w:cs="仿宋"/>
          <w:b/>
          <w:bCs/>
          <w:sz w:val="24"/>
        </w:rPr>
        <w:t>应出具招标文件要求的证明材料给予证明，否则评标时不予认可。投标人应对提交的证明材料真实性负责，</w:t>
      </w:r>
      <w:r>
        <w:rPr>
          <w:rFonts w:hint="eastAsia" w:ascii="仿宋" w:hAnsi="仿宋" w:eastAsia="仿宋" w:cs="仿宋"/>
          <w:bCs/>
          <w:sz w:val="24"/>
        </w:rPr>
        <w:t>提交证明材料不真实的，应承担相应的法律责任。</w:t>
      </w:r>
      <w:bookmarkEnd w:id="29"/>
    </w:p>
    <w:p w14:paraId="5F4CA0EE">
      <w:pPr>
        <w:pStyle w:val="2"/>
      </w:pPr>
    </w:p>
    <w:p w14:paraId="203BEEAB">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4、采购标的的其他技术、服务等要求；</w:t>
      </w:r>
    </w:p>
    <w:p w14:paraId="3E6319E0">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4.1、技术证明支持材料</w:t>
      </w:r>
    </w:p>
    <w:p w14:paraId="631DF0AE">
      <w:pPr>
        <w:snapToGrid w:val="0"/>
        <w:spacing w:line="360" w:lineRule="auto"/>
        <w:ind w:firstLine="480" w:firstLineChars="200"/>
        <w:rPr>
          <w:rFonts w:ascii="仿宋" w:hAnsi="仿宋" w:eastAsia="仿宋" w:cs="仿宋"/>
          <w:bCs/>
          <w:sz w:val="24"/>
        </w:rPr>
      </w:pPr>
      <w:bookmarkStart w:id="32" w:name="OLE_LINK201"/>
      <w:bookmarkStart w:id="33" w:name="OLE_LINK200"/>
      <w:r>
        <w:rPr>
          <w:rFonts w:hint="eastAsia" w:ascii="仿宋" w:hAnsi="仿宋" w:eastAsia="仿宋" w:cs="仿宋"/>
          <w:bCs/>
          <w:sz w:val="24"/>
        </w:rPr>
        <w:t>4.1.</w:t>
      </w:r>
      <w:bookmarkEnd w:id="32"/>
      <w:bookmarkEnd w:id="33"/>
      <w:r>
        <w:rPr>
          <w:rFonts w:hint="eastAsia" w:ascii="仿宋" w:hAnsi="仿宋" w:eastAsia="仿宋" w:cs="仿宋"/>
          <w:bCs/>
          <w:sz w:val="24"/>
        </w:rPr>
        <w:t>1、对于技术规格中标注“★”号的技术参数代表实质性指标，不满足该指标项将直接导致投标被拒绝。</w:t>
      </w:r>
    </w:p>
    <w:p w14:paraId="4BAD29BB">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4.1.2、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和“★”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14:paraId="471197ED">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4.2、供货及安装要求</w:t>
      </w:r>
      <w:r>
        <w:rPr>
          <w:rFonts w:hint="eastAsia" w:ascii="仿宋" w:hAnsi="仿宋" w:eastAsia="仿宋" w:cs="仿宋"/>
          <w:b/>
          <w:bCs/>
          <w:sz w:val="24"/>
        </w:rPr>
        <w:tab/>
      </w:r>
    </w:p>
    <w:p w14:paraId="53874CCA">
      <w:pPr>
        <w:snapToGrid w:val="0"/>
        <w:spacing w:line="360" w:lineRule="auto"/>
        <w:ind w:firstLine="480" w:firstLineChars="200"/>
        <w:rPr>
          <w:rFonts w:ascii="仿宋" w:hAnsi="仿宋" w:eastAsia="仿宋" w:cs="仿宋"/>
          <w:bCs/>
          <w:sz w:val="24"/>
        </w:rPr>
      </w:pPr>
      <w:bookmarkStart w:id="34" w:name="OLE_LINK203"/>
      <w:bookmarkStart w:id="35" w:name="OLE_LINK202"/>
      <w:r>
        <w:rPr>
          <w:rFonts w:hint="eastAsia" w:ascii="仿宋" w:hAnsi="仿宋" w:eastAsia="仿宋" w:cs="仿宋"/>
          <w:bCs/>
          <w:sz w:val="24"/>
        </w:rPr>
        <w:t>4.2.1、</w:t>
      </w:r>
      <w:bookmarkEnd w:id="34"/>
      <w:bookmarkEnd w:id="35"/>
      <w:r>
        <w:rPr>
          <w:rFonts w:hint="eastAsia" w:ascii="仿宋" w:hAnsi="仿宋" w:eastAsia="仿宋" w:cs="仿宋"/>
          <w:bCs/>
          <w:sz w:val="24"/>
        </w:rPr>
        <w:t>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14:paraId="556B855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4.2.2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14:paraId="566FF8C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4.2.3、投标人所提供的部件之间及设备之间的连线或接插件均视为设备内部部件，应包含在相应的配置中。</w:t>
      </w:r>
    </w:p>
    <w:p w14:paraId="78FE23A5">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4.2.4、工作条件：除了在技术规格中另有规定外，投标人提供的一切仪器、设备和系统，应符合下列条件：</w:t>
      </w:r>
    </w:p>
    <w:p w14:paraId="0390008C">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1）仪器设备的插头要符合中国电工标准。如不符合，则应提供适合仪器插头的插座，必须要有接地。</w:t>
      </w:r>
    </w:p>
    <w:p w14:paraId="3A29B71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2）如果仪器设备需特殊的工作条件（如：水、电源、磁场强度、特殊温度、湿度、震动强度等），投标人应在有关投标文件中加以说明。</w:t>
      </w:r>
    </w:p>
    <w:p w14:paraId="11B3DA17">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4.3、</w:t>
      </w:r>
      <w:bookmarkStart w:id="36" w:name="OLE_LINK65"/>
      <w:r>
        <w:rPr>
          <w:rFonts w:hint="eastAsia" w:ascii="仿宋" w:hAnsi="仿宋" w:eastAsia="仿宋" w:cs="仿宋"/>
          <w:b/>
          <w:bCs/>
          <w:sz w:val="24"/>
        </w:rPr>
        <w:t>培训要求</w:t>
      </w:r>
      <w:bookmarkEnd w:id="36"/>
      <w:r>
        <w:rPr>
          <w:rFonts w:hint="eastAsia" w:ascii="仿宋" w:hAnsi="仿宋" w:eastAsia="仿宋" w:cs="仿宋"/>
          <w:b/>
          <w:bCs/>
          <w:sz w:val="24"/>
        </w:rPr>
        <w:t>：</w:t>
      </w:r>
    </w:p>
    <w:p w14:paraId="12770C5F">
      <w:pPr>
        <w:tabs>
          <w:tab w:val="left" w:pos="900"/>
        </w:tabs>
        <w:spacing w:line="360" w:lineRule="auto"/>
        <w:ind w:firstLine="480" w:firstLineChars="200"/>
        <w:rPr>
          <w:rFonts w:ascii="仿宋" w:hAnsi="仿宋" w:eastAsia="仿宋"/>
          <w:sz w:val="24"/>
        </w:rPr>
      </w:pPr>
      <w:r>
        <w:rPr>
          <w:rFonts w:hint="eastAsia" w:ascii="仿宋" w:hAnsi="仿宋" w:eastAsia="仿宋"/>
          <w:sz w:val="24"/>
        </w:rPr>
        <w:t>培训是指涉及产品基本原理、安装、调试、操作使用和保养维修等有关内容的学习</w:t>
      </w:r>
      <w:r>
        <w:rPr>
          <w:rFonts w:hint="eastAsia" w:ascii="仿宋" w:hAnsi="仿宋" w:eastAsia="仿宋"/>
          <w:b/>
          <w:sz w:val="24"/>
        </w:rPr>
        <w:t>。</w:t>
      </w:r>
      <w:r>
        <w:rPr>
          <w:rFonts w:hint="eastAsia" w:ascii="仿宋" w:hAnsi="仿宋" w:eastAsia="仿宋"/>
          <w:sz w:val="24"/>
        </w:rPr>
        <w:t>投标人应保证在采购人指定交货地点对每包（品目）最终用户设备操作人员提供不少于1天的免费培训。投标人投标时应提供详细的培训方案（</w:t>
      </w:r>
      <w:r>
        <w:rPr>
          <w:rFonts w:hint="eastAsia" w:ascii="仿宋" w:hAnsi="仿宋" w:eastAsia="仿宋"/>
          <w:b/>
          <w:sz w:val="24"/>
        </w:rPr>
        <w:t>应包括对培训内容、培训对象、培训时间做出计划，包括培训时间、地点、人次、方式、预计培训结果等</w:t>
      </w:r>
      <w:r>
        <w:rPr>
          <w:rFonts w:hint="eastAsia" w:ascii="仿宋" w:hAnsi="仿宋" w:eastAsia="仿宋"/>
          <w:sz w:val="24"/>
        </w:rPr>
        <w:t>）。培训教员的差旅费、食宿费、培训教材等费用，应计入投标报价。</w:t>
      </w:r>
    </w:p>
    <w:p w14:paraId="6073FC35">
      <w:pPr>
        <w:pStyle w:val="2"/>
      </w:pPr>
    </w:p>
    <w:p w14:paraId="26A213E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5、需由投标人提供设计方案、解决方案或者组织方案的采购项目，应当说明采购标的的功能、应用场景、目标等基本要求</w:t>
      </w:r>
    </w:p>
    <w:p w14:paraId="7282BFF6">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无</w:t>
      </w:r>
    </w:p>
    <w:p w14:paraId="791FC83B">
      <w:pPr>
        <w:pStyle w:val="2"/>
        <w:rPr>
          <w:rFonts w:ascii="仿宋" w:hAnsi="仿宋" w:eastAsia="仿宋"/>
        </w:rPr>
      </w:pPr>
    </w:p>
    <w:p w14:paraId="46F76348">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（三）验收标准</w:t>
      </w:r>
    </w:p>
    <w:p w14:paraId="65387454">
      <w:pPr>
        <w:numPr>
          <w:ilvl w:val="255"/>
          <w:numId w:val="0"/>
        </w:num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14:paraId="2E9285B3">
      <w:pPr>
        <w:pStyle w:val="2"/>
        <w:spacing w:line="360" w:lineRule="auto"/>
        <w:rPr>
          <w:rFonts w:hint="eastAsia" w:ascii="仿宋" w:hAnsi="仿宋" w:eastAsia="仿宋" w:cs="仿宋"/>
          <w:bCs/>
          <w:sz w:val="24"/>
          <w:szCs w:val="24"/>
          <w:lang w:val="en-US" w:eastAsia="zh-CN"/>
        </w:rPr>
      </w:pPr>
      <w:r>
        <w:rPr>
          <w:rFonts w:hint="eastAsia" w:ascii="仿宋" w:hAnsi="仿宋" w:eastAsia="仿宋" w:cs="仿宋"/>
          <w:bCs/>
          <w:sz w:val="24"/>
        </w:rPr>
        <w:t>2、货物运抵采购项目（标的）交付的地点后，采购人将在</w:t>
      </w:r>
      <w:r>
        <w:rPr>
          <w:rFonts w:hint="eastAsia" w:ascii="仿宋" w:hAnsi="仿宋" w:eastAsia="仿宋" w:cs="仿宋"/>
          <w:bCs/>
          <w:sz w:val="24"/>
          <w:u w:val="single"/>
        </w:rPr>
        <w:t>30个工作日</w:t>
      </w:r>
      <w:r>
        <w:rPr>
          <w:rFonts w:hint="eastAsia" w:ascii="仿宋" w:hAnsi="仿宋" w:eastAsia="仿宋" w:cs="仿宋"/>
          <w:bCs/>
          <w:sz w:val="24"/>
        </w:rPr>
        <w:t>内组织验收，由采购人组织验收小组，对货物的数量、外观、包装、质量、安全、功能及性能等进行验收，项目验收依据为采购合同、招标文件和投标文件。验收小组将根据验收情况制作验收备忘录并签署验收意见</w:t>
      </w:r>
      <w:r>
        <w:rPr>
          <w:rFonts w:hint="eastAsia" w:ascii="仿宋" w:hAnsi="仿宋" w:eastAsia="仿宋" w:cs="仿宋"/>
          <w:b/>
          <w:bCs w:val="0"/>
          <w:sz w:val="24"/>
        </w:rPr>
        <w:t>。</w:t>
      </w:r>
      <w:r>
        <w:rPr>
          <w:rFonts w:hint="eastAsia" w:ascii="仿宋" w:hAnsi="仿宋" w:eastAsia="仿宋" w:cs="仿宋"/>
          <w:b/>
          <w:bCs w:val="0"/>
          <w:sz w:val="24"/>
          <w:szCs w:val="24"/>
          <w:lang w:val="en-US" w:eastAsia="zh-CN"/>
        </w:rPr>
        <w:t>标的物逾期未核验或核验不合格的，投标判定无效。核验标准以本章技术参数条款为准；核验发现货品与投标响应技术参数不符的，视作虚假应标。依法上报财政主管部门。</w:t>
      </w:r>
    </w:p>
    <w:p w14:paraId="12E6DB36">
      <w:pPr>
        <w:numPr>
          <w:ilvl w:val="255"/>
          <w:numId w:val="0"/>
        </w:num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3、投标人应负责使所供计量仪器通过计量部门的验收，并承担相关费用（包括运费）。若需要，应在检测期间提供备用仪器，以便不影响采购人的使用。</w:t>
      </w:r>
    </w:p>
    <w:p w14:paraId="3C7E146A">
      <w:pPr>
        <w:pStyle w:val="2"/>
        <w:rPr>
          <w:rFonts w:ascii="仿宋" w:hAnsi="仿宋" w:eastAsia="仿宋" w:cs="仿宋"/>
          <w:bCs/>
        </w:rPr>
      </w:pPr>
      <w:r>
        <w:rPr>
          <w:rFonts w:hint="eastAsia" w:ascii="仿宋" w:hAnsi="仿宋" w:eastAsia="仿宋" w:cs="仿宋"/>
          <w:bCs/>
        </w:rPr>
        <w:t>4. 货物验收时，如投标产品为进口产品，投标人须提供相应的进口产品报关单。</w:t>
      </w:r>
    </w:p>
    <w:p w14:paraId="61723841">
      <w:pPr>
        <w:pStyle w:val="2"/>
        <w:rPr>
          <w:rFonts w:hint="default" w:ascii="仿宋" w:hAnsi="仿宋" w:eastAsia="仿宋" w:cs="仿宋"/>
          <w:bCs/>
          <w:lang w:val="en-US" w:eastAsia="zh-CN"/>
        </w:rPr>
      </w:pPr>
    </w:p>
    <w:p w14:paraId="5F0C701A">
      <w:pPr>
        <w:numPr>
          <w:ilvl w:val="255"/>
          <w:numId w:val="0"/>
        </w:num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（四）其他要求</w:t>
      </w:r>
    </w:p>
    <w:p w14:paraId="4CDA3752">
      <w:pPr>
        <w:numPr>
          <w:ilvl w:val="255"/>
          <w:numId w:val="0"/>
        </w:numPr>
        <w:snapToGrid w:val="0"/>
        <w:spacing w:line="360" w:lineRule="auto"/>
        <w:ind w:firstLine="480" w:firstLineChars="200"/>
        <w:sectPr>
          <w:pgSz w:w="11906" w:h="16838"/>
          <w:pgMar w:top="1440" w:right="1800" w:bottom="1440" w:left="1800" w:header="851" w:footer="992" w:gutter="0"/>
          <w:cols w:space="425" w:num="1"/>
          <w:docGrid w:type="lines" w:linePitch="312" w:charSpace="0"/>
        </w:sectPr>
      </w:pPr>
      <w:r>
        <w:rPr>
          <w:rFonts w:hint="eastAsia" w:ascii="仿宋" w:hAnsi="仿宋" w:eastAsia="仿宋" w:cs="仿宋"/>
          <w:bCs/>
          <w:sz w:val="24"/>
        </w:rPr>
        <w:t>无</w:t>
      </w:r>
      <w:bookmarkEnd w:id="0"/>
      <w:bookmarkEnd w:id="1"/>
      <w:bookmarkEnd w:id="2"/>
    </w:p>
    <w:p w14:paraId="0988618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60129E"/>
    <w:multiLevelType w:val="multilevel"/>
    <w:tmpl w:val="1260129E"/>
    <w:lvl w:ilvl="0" w:tentative="0">
      <w:start w:val="2"/>
      <w:numFmt w:val="decimal"/>
      <w:lvlText w:val="%1."/>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hint="eastAsia" w:cs="Times New Roman"/>
      </w:rPr>
    </w:lvl>
    <w:lvl w:ilvl="2" w:tentative="0">
      <w:start w:val="1"/>
      <w:numFmt w:val="lowerRoman"/>
      <w:lvlText w:val="%3."/>
      <w:lvlJc w:val="right"/>
      <w:pPr>
        <w:tabs>
          <w:tab w:val="left" w:pos="1260"/>
        </w:tabs>
        <w:ind w:left="1260" w:hanging="420"/>
      </w:pPr>
      <w:rPr>
        <w:rFonts w:hint="eastAsia" w:cs="Times New Roman"/>
      </w:rPr>
    </w:lvl>
    <w:lvl w:ilvl="3" w:tentative="0">
      <w:start w:val="1"/>
      <w:numFmt w:val="decimal"/>
      <w:lvlText w:val="%4."/>
      <w:lvlJc w:val="left"/>
      <w:pPr>
        <w:tabs>
          <w:tab w:val="left" w:pos="1680"/>
        </w:tabs>
        <w:ind w:left="1680" w:hanging="420"/>
      </w:pPr>
      <w:rPr>
        <w:rFonts w:hint="eastAsia" w:cs="Times New Roman"/>
      </w:rPr>
    </w:lvl>
    <w:lvl w:ilvl="4" w:tentative="0">
      <w:start w:val="1"/>
      <w:numFmt w:val="lowerLetter"/>
      <w:lvlText w:val="%5)"/>
      <w:lvlJc w:val="left"/>
      <w:pPr>
        <w:tabs>
          <w:tab w:val="left" w:pos="2100"/>
        </w:tabs>
        <w:ind w:left="2100" w:hanging="420"/>
      </w:pPr>
      <w:rPr>
        <w:rFonts w:hint="eastAsia" w:cs="Times New Roman"/>
      </w:rPr>
    </w:lvl>
    <w:lvl w:ilvl="5" w:tentative="0">
      <w:start w:val="1"/>
      <w:numFmt w:val="lowerRoman"/>
      <w:lvlText w:val="%6."/>
      <w:lvlJc w:val="right"/>
      <w:pPr>
        <w:tabs>
          <w:tab w:val="left" w:pos="2520"/>
        </w:tabs>
        <w:ind w:left="2520" w:hanging="420"/>
      </w:pPr>
      <w:rPr>
        <w:rFonts w:hint="eastAsia" w:cs="Times New Roman"/>
      </w:rPr>
    </w:lvl>
    <w:lvl w:ilvl="6" w:tentative="0">
      <w:start w:val="1"/>
      <w:numFmt w:val="decimal"/>
      <w:lvlText w:val="%7."/>
      <w:lvlJc w:val="left"/>
      <w:pPr>
        <w:tabs>
          <w:tab w:val="left" w:pos="2940"/>
        </w:tabs>
        <w:ind w:left="2940" w:hanging="420"/>
      </w:pPr>
      <w:rPr>
        <w:rFonts w:hint="eastAsia" w:cs="Times New Roman"/>
      </w:rPr>
    </w:lvl>
    <w:lvl w:ilvl="7" w:tentative="0">
      <w:start w:val="1"/>
      <w:numFmt w:val="lowerLetter"/>
      <w:lvlText w:val="%8)"/>
      <w:lvlJc w:val="left"/>
      <w:pPr>
        <w:tabs>
          <w:tab w:val="left" w:pos="3360"/>
        </w:tabs>
        <w:ind w:left="3360" w:hanging="420"/>
      </w:pPr>
      <w:rPr>
        <w:rFonts w:hint="eastAsia" w:cs="Times New Roman"/>
      </w:rPr>
    </w:lvl>
    <w:lvl w:ilvl="8" w:tentative="0">
      <w:start w:val="1"/>
      <w:numFmt w:val="lowerRoman"/>
      <w:lvlText w:val="%9."/>
      <w:lvlJc w:val="right"/>
      <w:pPr>
        <w:tabs>
          <w:tab w:val="left" w:pos="3780"/>
        </w:tabs>
        <w:ind w:left="3780" w:hanging="42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78"/>
    <w:rsid w:val="00194426"/>
    <w:rsid w:val="00620078"/>
    <w:rsid w:val="00C33840"/>
    <w:rsid w:val="10AC760C"/>
    <w:rsid w:val="2E5D564A"/>
    <w:rsid w:val="396A4AC0"/>
    <w:rsid w:val="3C8B7826"/>
    <w:rsid w:val="62E07B80"/>
    <w:rsid w:val="64E81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Normal Indent"/>
    <w:basedOn w:val="1"/>
    <w:link w:val="13"/>
    <w:qFormat/>
    <w:uiPriority w:val="0"/>
    <w:pPr>
      <w:autoSpaceDE w:val="0"/>
      <w:autoSpaceDN w:val="0"/>
      <w:adjustRightInd w:val="0"/>
      <w:ind w:firstLine="420"/>
      <w:jc w:val="left"/>
    </w:pPr>
    <w:rPr>
      <w:rFonts w:ascii="宋体"/>
      <w:sz w:val="24"/>
    </w:rPr>
  </w:style>
  <w:style w:type="paragraph" w:styleId="3">
    <w:name w:val="Plain Text"/>
    <w:basedOn w:val="1"/>
    <w:link w:val="14"/>
    <w:qFormat/>
    <w:uiPriority w:val="0"/>
    <w:rPr>
      <w:rFonts w:hint="eastAsia" w:ascii="宋体" w:hAnsi="Courier New"/>
      <w:szCs w:val="20"/>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8">
    <w:name w:val="annotation reference"/>
    <w:unhideWhenUsed/>
    <w:qFormat/>
    <w:uiPriority w:val="0"/>
    <w:rPr>
      <w:sz w:val="21"/>
      <w:szCs w:val="21"/>
    </w:rPr>
  </w:style>
  <w:style w:type="paragraph" w:customStyle="1" w:styleId="9">
    <w:name w:val="pf0"/>
    <w:basedOn w:val="1"/>
    <w:qFormat/>
    <w:uiPriority w:val="0"/>
    <w:pPr>
      <w:widowControl/>
      <w:spacing w:before="100" w:beforeAutospacing="1" w:after="100" w:afterAutospacing="1"/>
      <w:jc w:val="left"/>
    </w:pPr>
    <w:rPr>
      <w:rFonts w:ascii="宋体" w:hAnsi="宋体" w:cs="宋体"/>
      <w:kern w:val="0"/>
      <w:sz w:val="24"/>
    </w:rPr>
  </w:style>
  <w:style w:type="paragraph" w:styleId="10">
    <w:name w:val="List Paragraph"/>
    <w:basedOn w:val="1"/>
    <w:link w:val="15"/>
    <w:qFormat/>
    <w:uiPriority w:val="34"/>
    <w:pPr>
      <w:ind w:firstLine="420" w:firstLineChars="200"/>
    </w:pPr>
    <w:rPr>
      <w:rFonts w:ascii="Calibri" w:hAnsi="Calibri"/>
      <w:szCs w:val="22"/>
    </w:rPr>
  </w:style>
  <w:style w:type="character" w:customStyle="1" w:styleId="11">
    <w:name w:val="页眉 Char"/>
    <w:basedOn w:val="7"/>
    <w:link w:val="5"/>
    <w:qFormat/>
    <w:uiPriority w:val="0"/>
    <w:rPr>
      <w:rFonts w:ascii="Times New Roman" w:hAnsi="Times New Roman" w:eastAsia="宋体" w:cs="Times New Roman"/>
      <w:kern w:val="2"/>
      <w:sz w:val="18"/>
      <w:szCs w:val="18"/>
    </w:rPr>
  </w:style>
  <w:style w:type="character" w:customStyle="1" w:styleId="12">
    <w:name w:val="页脚 Char"/>
    <w:basedOn w:val="7"/>
    <w:link w:val="4"/>
    <w:qFormat/>
    <w:uiPriority w:val="0"/>
    <w:rPr>
      <w:rFonts w:ascii="Times New Roman" w:hAnsi="Times New Roman" w:eastAsia="宋体" w:cs="Times New Roman"/>
      <w:kern w:val="2"/>
      <w:sz w:val="18"/>
      <w:szCs w:val="18"/>
    </w:rPr>
  </w:style>
  <w:style w:type="character" w:customStyle="1" w:styleId="13">
    <w:name w:val="正文缩进 Char"/>
    <w:link w:val="2"/>
    <w:qFormat/>
    <w:locked/>
    <w:uiPriority w:val="0"/>
    <w:rPr>
      <w:rFonts w:ascii="宋体" w:hAnsi="Times New Roman" w:eastAsia="宋体" w:cs="Times New Roman"/>
      <w:kern w:val="2"/>
      <w:sz w:val="24"/>
      <w:szCs w:val="24"/>
    </w:rPr>
  </w:style>
  <w:style w:type="character" w:customStyle="1" w:styleId="14">
    <w:name w:val="纯文本 Char"/>
    <w:basedOn w:val="7"/>
    <w:link w:val="3"/>
    <w:qFormat/>
    <w:uiPriority w:val="0"/>
    <w:rPr>
      <w:rFonts w:ascii="宋体" w:hAnsi="Courier New" w:eastAsia="宋体" w:cs="Times New Roman"/>
      <w:kern w:val="2"/>
      <w:sz w:val="21"/>
    </w:rPr>
  </w:style>
  <w:style w:type="character" w:customStyle="1" w:styleId="15">
    <w:name w:val="列出段落 Char"/>
    <w:link w:val="10"/>
    <w:qFormat/>
    <w:locked/>
    <w:uiPriority w:val="34"/>
    <w:rPr>
      <w:rFonts w:ascii="Calibri" w:hAnsi="Calibri" w:eastAsia="宋体" w:cs="Times New Roman"/>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6248</Words>
  <Characters>6623</Characters>
  <Lines>48</Lines>
  <Paragraphs>13</Paragraphs>
  <TotalTime>0</TotalTime>
  <ScaleCrop>false</ScaleCrop>
  <LinksUpToDate>false</LinksUpToDate>
  <CharactersWithSpaces>6631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2026-06-11T03:28:00Z</dcterms:created>
  <dc:creator>Lenovo</dc:creator>
  <cp:lastModifiedBy>赵雨辰</cp:lastModifiedBy>
  <dcterms:modified xsi:type="dcterms:W3CDTF">2026-08-19T03:28:20Z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eyJoZGlkIjoiMTJlMmE1ZmVlMGMzNDY5NTEwMjNlZTBmYzc4M2ZiN2YiLCJ1c2VySWQiOiIxMTc2MjU1NDAwIn0=</vt:lpwstr>
  </property>
  <property fmtid="{D5CDD505-2E9C-101B-9397-08002B2CF9AE}" pid="4" name="ICV">
    <vt:lpwstr>8573F0B8F81C48B2B1F2B2B4C0370886_12</vt:lpwstr>
  </property>
</Properties>
</file>