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8E94B">
      <w:pPr>
        <w:snapToGrid w:val="0"/>
        <w:spacing w:line="360" w:lineRule="auto"/>
        <w:jc w:val="center"/>
        <w:outlineLvl w:val="0"/>
        <w:rPr>
          <w:rFonts w:ascii="仿宋" w:hAnsi="仿宋" w:eastAsia="仿宋" w:cs="仿宋"/>
          <w:b/>
          <w:sz w:val="40"/>
          <w:szCs w:val="40"/>
        </w:rPr>
      </w:pPr>
      <w:bookmarkStart w:id="0" w:name="OLE_LINK94"/>
      <w:bookmarkStart w:id="1" w:name="OLE_LINK95"/>
      <w:r>
        <w:rPr>
          <w:rFonts w:hint="eastAsia" w:ascii="仿宋" w:hAnsi="仿宋" w:eastAsia="仿宋" w:cs="仿宋"/>
          <w:b/>
          <w:sz w:val="40"/>
          <w:szCs w:val="40"/>
        </w:rPr>
        <w:t>采购需求</w:t>
      </w:r>
    </w:p>
    <w:p w14:paraId="156FDBE4">
      <w:pPr>
        <w:numPr>
          <w:ilvl w:val="0"/>
          <w:numId w:val="1"/>
        </w:numPr>
        <w:spacing w:line="360" w:lineRule="auto"/>
        <w:ind w:left="-1" w:leftChars="-35" w:hanging="72" w:hangingChars="30"/>
        <w:contextualSpacing/>
        <w:jc w:val="left"/>
        <w:rPr>
          <w:rFonts w:ascii="仿宋" w:hAnsi="仿宋" w:eastAsia="仿宋" w:cs="宋体"/>
          <w:b/>
          <w:sz w:val="24"/>
        </w:rPr>
      </w:pPr>
      <w:r>
        <w:rPr>
          <w:rFonts w:hint="eastAsia" w:ascii="仿宋" w:hAnsi="仿宋" w:eastAsia="仿宋" w:cs="宋体"/>
          <w:b/>
          <w:sz w:val="24"/>
        </w:rPr>
        <w:t>采购标的</w:t>
      </w:r>
    </w:p>
    <w:p w14:paraId="32F5E96A">
      <w:pPr>
        <w:spacing w:line="360" w:lineRule="auto"/>
        <w:contextualSpacing/>
        <w:rPr>
          <w:rFonts w:ascii="仿宋" w:hAnsi="仿宋" w:eastAsia="仿宋" w:cs="宋体"/>
          <w:b/>
          <w:bCs/>
          <w:sz w:val="24"/>
        </w:rPr>
      </w:pPr>
      <w:r>
        <w:rPr>
          <w:rFonts w:hint="eastAsia" w:ascii="仿宋" w:hAnsi="仿宋" w:eastAsia="仿宋" w:cs="宋体"/>
          <w:b/>
          <w:bCs/>
          <w:sz w:val="24"/>
        </w:rPr>
        <w:t>1.采购标的</w:t>
      </w:r>
    </w:p>
    <w:tbl>
      <w:tblPr>
        <w:tblStyle w:val="8"/>
        <w:tblW w:w="7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3034"/>
        <w:gridCol w:w="1417"/>
        <w:gridCol w:w="2281"/>
      </w:tblGrid>
      <w:tr w14:paraId="08BB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62" w:type="dxa"/>
            <w:vAlign w:val="center"/>
          </w:tcPr>
          <w:p w14:paraId="62DF5135">
            <w:pPr>
              <w:spacing w:line="360" w:lineRule="auto"/>
              <w:jc w:val="center"/>
              <w:rPr>
                <w:rFonts w:ascii="仿宋" w:hAnsi="仿宋" w:eastAsia="仿宋"/>
                <w:sz w:val="24"/>
              </w:rPr>
            </w:pPr>
            <w:r>
              <w:rPr>
                <w:rFonts w:hint="eastAsia" w:ascii="仿宋" w:hAnsi="仿宋" w:eastAsia="仿宋"/>
                <w:sz w:val="24"/>
              </w:rPr>
              <w:t>包号</w:t>
            </w:r>
          </w:p>
        </w:tc>
        <w:tc>
          <w:tcPr>
            <w:tcW w:w="3034" w:type="dxa"/>
            <w:vAlign w:val="center"/>
          </w:tcPr>
          <w:p w14:paraId="239920BF">
            <w:pPr>
              <w:spacing w:line="360" w:lineRule="auto"/>
              <w:jc w:val="center"/>
              <w:rPr>
                <w:rFonts w:ascii="仿宋" w:hAnsi="仿宋" w:eastAsia="仿宋"/>
                <w:sz w:val="24"/>
              </w:rPr>
            </w:pPr>
            <w:r>
              <w:rPr>
                <w:rFonts w:hint="eastAsia" w:ascii="仿宋" w:hAnsi="仿宋" w:eastAsia="仿宋"/>
                <w:sz w:val="24"/>
              </w:rPr>
              <w:t>标的名称</w:t>
            </w:r>
          </w:p>
        </w:tc>
        <w:tc>
          <w:tcPr>
            <w:tcW w:w="1417" w:type="dxa"/>
            <w:vAlign w:val="center"/>
          </w:tcPr>
          <w:p w14:paraId="3B1162C4">
            <w:pPr>
              <w:spacing w:line="360" w:lineRule="auto"/>
              <w:jc w:val="center"/>
              <w:rPr>
                <w:rFonts w:ascii="仿宋" w:hAnsi="仿宋" w:eastAsia="仿宋"/>
                <w:sz w:val="24"/>
              </w:rPr>
            </w:pPr>
            <w:r>
              <w:rPr>
                <w:rFonts w:hint="eastAsia" w:ascii="仿宋" w:hAnsi="仿宋" w:eastAsia="仿宋"/>
                <w:sz w:val="24"/>
              </w:rPr>
              <w:t>数量</w:t>
            </w:r>
          </w:p>
        </w:tc>
        <w:tc>
          <w:tcPr>
            <w:tcW w:w="2281" w:type="dxa"/>
            <w:vAlign w:val="center"/>
          </w:tcPr>
          <w:p w14:paraId="6FA9865F">
            <w:pPr>
              <w:spacing w:line="360" w:lineRule="auto"/>
              <w:rPr>
                <w:rFonts w:ascii="仿宋" w:hAnsi="仿宋" w:eastAsia="仿宋"/>
                <w:sz w:val="24"/>
              </w:rPr>
            </w:pPr>
            <w:r>
              <w:rPr>
                <w:rFonts w:hint="eastAsia" w:ascii="仿宋" w:hAnsi="仿宋" w:eastAsia="仿宋"/>
                <w:sz w:val="24"/>
              </w:rPr>
              <w:t>是否接受进口产品</w:t>
            </w:r>
          </w:p>
        </w:tc>
      </w:tr>
      <w:tr w14:paraId="0245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062" w:type="dxa"/>
            <w:vAlign w:val="center"/>
          </w:tcPr>
          <w:p w14:paraId="1FD37645">
            <w:pPr>
              <w:spacing w:line="360" w:lineRule="auto"/>
              <w:jc w:val="center"/>
              <w:rPr>
                <w:rFonts w:ascii="仿宋" w:hAnsi="仿宋" w:eastAsia="仿宋"/>
                <w:sz w:val="24"/>
              </w:rPr>
            </w:pPr>
            <w:r>
              <w:rPr>
                <w:rFonts w:hint="eastAsia" w:ascii="仿宋" w:hAnsi="仿宋" w:eastAsia="仿宋"/>
                <w:sz w:val="24"/>
              </w:rPr>
              <w:t>1</w:t>
            </w:r>
          </w:p>
        </w:tc>
        <w:tc>
          <w:tcPr>
            <w:tcW w:w="3034" w:type="dxa"/>
            <w:vAlign w:val="center"/>
          </w:tcPr>
          <w:p w14:paraId="1F8CA1AA">
            <w:pPr>
              <w:widowControl/>
              <w:spacing w:line="360" w:lineRule="auto"/>
              <w:jc w:val="center"/>
              <w:rPr>
                <w:rFonts w:ascii="仿宋" w:hAnsi="仿宋" w:eastAsia="仿宋"/>
                <w:sz w:val="24"/>
              </w:rPr>
            </w:pPr>
            <w:r>
              <w:rPr>
                <w:rFonts w:hint="eastAsia" w:ascii="仿宋" w:hAnsi="仿宋" w:eastAsia="仿宋"/>
                <w:sz w:val="24"/>
              </w:rPr>
              <w:t>北京天坛医院停车场租赁项目</w:t>
            </w:r>
          </w:p>
        </w:tc>
        <w:tc>
          <w:tcPr>
            <w:tcW w:w="1417" w:type="dxa"/>
            <w:vAlign w:val="center"/>
          </w:tcPr>
          <w:p w14:paraId="1F81B129">
            <w:pPr>
              <w:spacing w:line="360" w:lineRule="auto"/>
              <w:jc w:val="center"/>
              <w:rPr>
                <w:rFonts w:ascii="仿宋" w:hAnsi="仿宋" w:eastAsia="仿宋"/>
                <w:sz w:val="24"/>
              </w:rPr>
            </w:pPr>
            <w:r>
              <w:rPr>
                <w:rFonts w:hint="eastAsia" w:ascii="仿宋" w:hAnsi="仿宋" w:eastAsia="仿宋"/>
                <w:sz w:val="24"/>
              </w:rPr>
              <w:t>1项</w:t>
            </w:r>
          </w:p>
        </w:tc>
        <w:tc>
          <w:tcPr>
            <w:tcW w:w="2281" w:type="dxa"/>
            <w:vAlign w:val="center"/>
          </w:tcPr>
          <w:p w14:paraId="7A359F65">
            <w:pPr>
              <w:spacing w:line="360" w:lineRule="auto"/>
              <w:jc w:val="center"/>
              <w:rPr>
                <w:rFonts w:ascii="仿宋" w:hAnsi="仿宋" w:eastAsia="仿宋"/>
                <w:sz w:val="24"/>
              </w:rPr>
            </w:pPr>
            <w:r>
              <w:rPr>
                <w:rFonts w:hint="eastAsia" w:ascii="仿宋" w:hAnsi="仿宋" w:eastAsia="仿宋"/>
                <w:sz w:val="24"/>
              </w:rPr>
              <w:t>否</w:t>
            </w:r>
          </w:p>
        </w:tc>
      </w:tr>
    </w:tbl>
    <w:p w14:paraId="61AD055B">
      <w:pPr>
        <w:spacing w:line="360" w:lineRule="auto"/>
        <w:contextualSpacing/>
        <w:rPr>
          <w:rFonts w:ascii="仿宋" w:hAnsi="仿宋" w:eastAsia="仿宋" w:cs="宋体"/>
          <w:b/>
          <w:bCs/>
          <w:sz w:val="24"/>
        </w:rPr>
      </w:pPr>
      <w:r>
        <w:rPr>
          <w:rFonts w:hint="eastAsia" w:ascii="仿宋" w:hAnsi="仿宋" w:eastAsia="仿宋" w:cs="宋体"/>
          <w:b/>
          <w:bCs/>
          <w:sz w:val="24"/>
        </w:rPr>
        <w:t>2.项目背景/项目概述</w:t>
      </w:r>
    </w:p>
    <w:p w14:paraId="554C7962">
      <w:pPr>
        <w:spacing w:line="360" w:lineRule="auto"/>
        <w:ind w:firstLine="480"/>
        <w:rPr>
          <w:rFonts w:ascii="仿宋" w:hAnsi="仿宋" w:eastAsia="仿宋"/>
          <w:sz w:val="24"/>
        </w:rPr>
      </w:pPr>
      <w:r>
        <w:rPr>
          <w:rFonts w:hint="eastAsia" w:ascii="仿宋" w:hAnsi="仿宋" w:eastAsia="仿宋"/>
          <w:sz w:val="24"/>
        </w:rPr>
        <w:t>投标人应根据招标文件所提出的服务要求，以优良的服务和优惠的价格，充分显示自己的竞争实力。</w:t>
      </w:r>
    </w:p>
    <w:p w14:paraId="2D535C9E">
      <w:pPr>
        <w:numPr>
          <w:ilvl w:val="0"/>
          <w:numId w:val="1"/>
        </w:numPr>
        <w:spacing w:line="360" w:lineRule="auto"/>
        <w:ind w:left="-1" w:leftChars="-35" w:hanging="72" w:hangingChars="30"/>
        <w:contextualSpacing/>
        <w:jc w:val="left"/>
        <w:rPr>
          <w:rFonts w:ascii="仿宋" w:hAnsi="仿宋" w:eastAsia="仿宋" w:cs="宋体"/>
          <w:b/>
          <w:sz w:val="24"/>
        </w:rPr>
      </w:pPr>
      <w:r>
        <w:rPr>
          <w:rFonts w:hint="eastAsia" w:ascii="仿宋" w:hAnsi="仿宋" w:eastAsia="仿宋" w:cs="宋体"/>
          <w:b/>
          <w:sz w:val="24"/>
        </w:rPr>
        <w:t>商务要求</w:t>
      </w:r>
    </w:p>
    <w:p w14:paraId="13A3D199">
      <w:pPr>
        <w:spacing w:line="360" w:lineRule="auto"/>
        <w:contextualSpacing/>
        <w:rPr>
          <w:rFonts w:ascii="仿宋" w:hAnsi="仿宋" w:eastAsia="仿宋" w:cs="宋体"/>
          <w:b/>
          <w:sz w:val="24"/>
        </w:rPr>
      </w:pPr>
      <w:r>
        <w:rPr>
          <w:rFonts w:hint="eastAsia" w:ascii="仿宋" w:hAnsi="仿宋" w:eastAsia="仿宋" w:cs="宋体"/>
          <w:b/>
          <w:sz w:val="24"/>
        </w:rPr>
        <w:t>1. 交付（实施）的时间（期限）和地点（范围）</w:t>
      </w:r>
    </w:p>
    <w:p w14:paraId="7615AFEB">
      <w:pPr>
        <w:spacing w:line="360" w:lineRule="auto"/>
        <w:ind w:firstLine="480"/>
        <w:rPr>
          <w:rFonts w:ascii="仿宋" w:hAnsi="仿宋" w:eastAsia="仿宋" w:cs="宋体"/>
          <w:sz w:val="24"/>
        </w:rPr>
      </w:pPr>
      <w:r>
        <w:rPr>
          <w:rFonts w:hint="eastAsia" w:ascii="仿宋" w:hAnsi="仿宋" w:eastAsia="仿宋" w:cs="宋体"/>
          <w:sz w:val="24"/>
        </w:rPr>
        <w:t>服务期限：</w:t>
      </w:r>
      <w:r>
        <w:rPr>
          <w:rFonts w:hint="eastAsia" w:ascii="仿宋" w:hAnsi="仿宋" w:eastAsia="仿宋" w:cs="仿宋"/>
          <w:sz w:val="24"/>
        </w:rPr>
        <w:t>自合同签订之日起1年。</w:t>
      </w:r>
    </w:p>
    <w:p w14:paraId="66B8E7C9">
      <w:pPr>
        <w:spacing w:line="360" w:lineRule="auto"/>
        <w:ind w:firstLine="480"/>
        <w:rPr>
          <w:rFonts w:ascii="仿宋" w:hAnsi="仿宋" w:eastAsia="仿宋" w:cs="宋体"/>
          <w:sz w:val="24"/>
        </w:rPr>
      </w:pPr>
      <w:r>
        <w:rPr>
          <w:rFonts w:hint="eastAsia" w:ascii="仿宋" w:hAnsi="仿宋" w:eastAsia="仿宋" w:cs="宋体"/>
          <w:sz w:val="24"/>
        </w:rPr>
        <w:t>服务地点：</w:t>
      </w:r>
      <w:r>
        <w:rPr>
          <w:rFonts w:hint="eastAsia" w:ascii="仿宋" w:hAnsi="仿宋" w:eastAsia="仿宋"/>
          <w:sz w:val="24"/>
        </w:rPr>
        <w:t>首都医科大学附属北京天坛医院指定点。</w:t>
      </w:r>
    </w:p>
    <w:p w14:paraId="23E52D12">
      <w:pPr>
        <w:spacing w:line="360" w:lineRule="auto"/>
        <w:contextualSpacing/>
        <w:rPr>
          <w:rFonts w:ascii="仿宋" w:hAnsi="仿宋" w:eastAsia="仿宋" w:cs="宋体"/>
          <w:b/>
          <w:sz w:val="24"/>
        </w:rPr>
      </w:pPr>
      <w:r>
        <w:rPr>
          <w:rFonts w:hint="eastAsia" w:ascii="仿宋" w:hAnsi="仿宋" w:eastAsia="仿宋" w:cs="宋体"/>
          <w:b/>
          <w:sz w:val="24"/>
        </w:rPr>
        <w:t>2. 付款条件（进度和方式）</w:t>
      </w:r>
    </w:p>
    <w:p w14:paraId="0E11143C">
      <w:pPr>
        <w:spacing w:line="360" w:lineRule="auto"/>
        <w:ind w:firstLine="480"/>
        <w:rPr>
          <w:rFonts w:ascii="仿宋" w:hAnsi="仿宋" w:eastAsia="仿宋"/>
          <w:sz w:val="24"/>
        </w:rPr>
      </w:pPr>
      <w:r>
        <w:rPr>
          <w:rFonts w:hint="eastAsia" w:ascii="仿宋" w:hAnsi="仿宋" w:eastAsia="仿宋"/>
          <w:sz w:val="24"/>
        </w:rPr>
        <w:t>参照合同文本中的付款方式及进度执行。</w:t>
      </w:r>
    </w:p>
    <w:p w14:paraId="30FD8B55">
      <w:pPr>
        <w:spacing w:line="360" w:lineRule="auto"/>
        <w:rPr>
          <w:rFonts w:ascii="仿宋" w:hAnsi="仿宋" w:eastAsia="仿宋" w:cs="宋体"/>
          <w:b/>
          <w:sz w:val="24"/>
        </w:rPr>
      </w:pPr>
      <w:r>
        <w:rPr>
          <w:rFonts w:hint="eastAsia" w:ascii="仿宋" w:hAnsi="仿宋" w:eastAsia="仿宋" w:cs="宋体"/>
          <w:b/>
          <w:sz w:val="24"/>
        </w:rPr>
        <w:t>3.</w:t>
      </w:r>
      <w:r>
        <w:rPr>
          <w:rFonts w:ascii="仿宋" w:hAnsi="仿宋" w:eastAsia="仿宋" w:cs="宋体"/>
          <w:b/>
          <w:sz w:val="24"/>
        </w:rPr>
        <w:t>包装和运输</w:t>
      </w:r>
    </w:p>
    <w:p w14:paraId="4E574890">
      <w:pPr>
        <w:spacing w:line="360" w:lineRule="auto"/>
        <w:ind w:firstLine="480"/>
        <w:rPr>
          <w:rFonts w:ascii="仿宋" w:hAnsi="仿宋" w:eastAsia="仿宋"/>
          <w:sz w:val="24"/>
        </w:rPr>
      </w:pPr>
      <w:r>
        <w:rPr>
          <w:rFonts w:hint="eastAsia" w:ascii="仿宋" w:hAnsi="仿宋" w:eastAsia="仿宋"/>
          <w:sz w:val="24"/>
        </w:rPr>
        <w:t>无。</w:t>
      </w:r>
    </w:p>
    <w:p w14:paraId="5D6E7A89">
      <w:pPr>
        <w:spacing w:line="360" w:lineRule="auto"/>
        <w:rPr>
          <w:rFonts w:ascii="仿宋" w:hAnsi="仿宋" w:eastAsia="仿宋"/>
          <w:sz w:val="24"/>
        </w:rPr>
      </w:pPr>
      <w:r>
        <w:rPr>
          <w:rFonts w:hint="eastAsia" w:ascii="仿宋" w:hAnsi="仿宋" w:eastAsia="仿宋" w:cs="宋体"/>
          <w:b/>
          <w:sz w:val="24"/>
        </w:rPr>
        <w:t>4.</w:t>
      </w:r>
      <w:r>
        <w:rPr>
          <w:rFonts w:ascii="仿宋" w:hAnsi="仿宋" w:eastAsia="仿宋" w:cs="宋体"/>
          <w:b/>
          <w:sz w:val="24"/>
        </w:rPr>
        <w:t>售后服务（质保期）（</w:t>
      </w:r>
      <w:r>
        <w:rPr>
          <w:rFonts w:hint="eastAsia" w:ascii="仿宋" w:hAnsi="仿宋" w:eastAsia="仿宋" w:cs="宋体"/>
          <w:b/>
          <w:sz w:val="24"/>
        </w:rPr>
        <w:t>不适用</w:t>
      </w:r>
      <w:r>
        <w:rPr>
          <w:rFonts w:ascii="仿宋" w:hAnsi="仿宋" w:eastAsia="仿宋" w:cs="宋体"/>
          <w:b/>
          <w:sz w:val="24"/>
        </w:rPr>
        <w:t>）</w:t>
      </w:r>
    </w:p>
    <w:p w14:paraId="51C87F43">
      <w:pPr>
        <w:spacing w:line="360" w:lineRule="auto"/>
        <w:ind w:firstLine="480"/>
        <w:rPr>
          <w:rFonts w:ascii="仿宋" w:hAnsi="仿宋" w:eastAsia="仿宋"/>
          <w:sz w:val="24"/>
        </w:rPr>
      </w:pPr>
      <w:r>
        <w:rPr>
          <w:rFonts w:hint="eastAsia" w:ascii="仿宋" w:hAnsi="仿宋" w:eastAsia="仿宋"/>
          <w:sz w:val="24"/>
        </w:rPr>
        <w:t>无。</w:t>
      </w:r>
    </w:p>
    <w:p w14:paraId="1507B7EE">
      <w:pPr>
        <w:numPr>
          <w:ilvl w:val="0"/>
          <w:numId w:val="1"/>
        </w:numPr>
        <w:spacing w:line="360" w:lineRule="auto"/>
        <w:ind w:left="-1" w:leftChars="-35" w:hanging="72" w:hangingChars="30"/>
        <w:contextualSpacing/>
        <w:jc w:val="left"/>
        <w:rPr>
          <w:rFonts w:ascii="仿宋" w:hAnsi="仿宋" w:eastAsia="仿宋" w:cs="宋体"/>
          <w:b/>
          <w:sz w:val="24"/>
        </w:rPr>
      </w:pPr>
      <w:r>
        <w:rPr>
          <w:rFonts w:hint="eastAsia" w:ascii="仿宋" w:hAnsi="仿宋" w:eastAsia="仿宋" w:cs="宋体"/>
          <w:b/>
          <w:sz w:val="24"/>
        </w:rPr>
        <w:t>技术要求</w:t>
      </w:r>
    </w:p>
    <w:p w14:paraId="75F6D523">
      <w:pPr>
        <w:spacing w:line="360" w:lineRule="auto"/>
        <w:rPr>
          <w:rFonts w:ascii="仿宋" w:hAnsi="仿宋" w:eastAsia="仿宋"/>
          <w:b/>
          <w:sz w:val="24"/>
        </w:rPr>
      </w:pPr>
      <w:r>
        <w:rPr>
          <w:rFonts w:ascii="仿宋" w:hAnsi="仿宋" w:eastAsia="仿宋" w:cs="Arial"/>
          <w:b/>
          <w:w w:val="105"/>
          <w:sz w:val="24"/>
        </w:rPr>
        <w:t>1.</w:t>
      </w:r>
      <w:r>
        <w:rPr>
          <w:rFonts w:ascii="仿宋" w:hAnsi="仿宋" w:eastAsia="仿宋"/>
          <w:b/>
          <w:w w:val="105"/>
          <w:sz w:val="24"/>
        </w:rPr>
        <w:t>基本要求</w:t>
      </w:r>
    </w:p>
    <w:p w14:paraId="491C6425">
      <w:pPr>
        <w:spacing w:line="360" w:lineRule="auto"/>
        <w:rPr>
          <w:rFonts w:ascii="仿宋" w:hAnsi="仿宋" w:eastAsia="仿宋"/>
          <w:b/>
          <w:sz w:val="24"/>
        </w:rPr>
      </w:pPr>
      <w:r>
        <w:rPr>
          <w:rFonts w:ascii="仿宋" w:hAnsi="仿宋" w:eastAsia="仿宋" w:cs="Arial"/>
          <w:b/>
          <w:sz w:val="24"/>
        </w:rPr>
        <w:t>1.1</w:t>
      </w:r>
      <w:r>
        <w:rPr>
          <w:rFonts w:ascii="仿宋" w:hAnsi="仿宋" w:eastAsia="仿宋"/>
          <w:b/>
          <w:sz w:val="24"/>
        </w:rPr>
        <w:t>采购标的需实现的功能或者目标</w:t>
      </w:r>
      <w:r>
        <w:rPr>
          <w:rFonts w:hint="eastAsia" w:ascii="仿宋" w:hAnsi="仿宋" w:eastAsia="仿宋"/>
          <w:b/>
          <w:sz w:val="24"/>
        </w:rPr>
        <w:t>。</w:t>
      </w:r>
    </w:p>
    <w:p w14:paraId="6B3464FE">
      <w:pPr>
        <w:spacing w:line="360" w:lineRule="auto"/>
        <w:ind w:firstLine="480" w:firstLineChars="200"/>
        <w:rPr>
          <w:rFonts w:ascii="仿宋" w:hAnsi="仿宋" w:eastAsia="仿宋"/>
          <w:sz w:val="24"/>
        </w:rPr>
      </w:pPr>
      <w:r>
        <w:rPr>
          <w:rFonts w:hint="eastAsia" w:ascii="仿宋" w:hAnsi="仿宋" w:eastAsia="仿宋"/>
          <w:sz w:val="24"/>
        </w:rPr>
        <w:t>本次招标为北京天坛医院停车场租赁项目选择供应商，投标人应根据招标文件所提出的采购需求，制定具体服务方案，确保服务质量符合要求，以优良的服务和优惠的价格，充分显示自己的竞争实力。</w:t>
      </w:r>
    </w:p>
    <w:p w14:paraId="2AA996C7">
      <w:pPr>
        <w:spacing w:line="360" w:lineRule="auto"/>
        <w:rPr>
          <w:rFonts w:ascii="仿宋" w:hAnsi="仿宋" w:eastAsia="仿宋"/>
          <w:b/>
          <w:sz w:val="24"/>
        </w:rPr>
      </w:pPr>
      <w:r>
        <w:rPr>
          <w:rFonts w:ascii="仿宋" w:hAnsi="仿宋" w:eastAsia="仿宋" w:cs="Arial"/>
          <w:b/>
          <w:sz w:val="24"/>
        </w:rPr>
        <w:t>1.2</w:t>
      </w:r>
      <w:r>
        <w:rPr>
          <w:rFonts w:ascii="仿宋" w:hAnsi="仿宋" w:eastAsia="仿宋"/>
          <w:b/>
          <w:sz w:val="24"/>
        </w:rPr>
        <w:t>需执行的国家相关标准、行业标准、地方标准或者其他标准、规范</w:t>
      </w:r>
    </w:p>
    <w:p w14:paraId="1A06569C">
      <w:pPr>
        <w:spacing w:line="360" w:lineRule="auto"/>
        <w:ind w:firstLine="480" w:firstLineChars="200"/>
        <w:rPr>
          <w:rFonts w:ascii="仿宋" w:hAnsi="仿宋" w:eastAsia="仿宋"/>
          <w:sz w:val="24"/>
        </w:rPr>
      </w:pPr>
      <w:r>
        <w:rPr>
          <w:rFonts w:hint="eastAsia" w:ascii="仿宋" w:hAnsi="仿宋" w:eastAsia="仿宋"/>
          <w:sz w:val="24"/>
        </w:rPr>
        <w:t>符合已颁布的现行中华人民共和国认可的国家标准、地方标准和行业标准。如果这些标准内容有矛盾时，应按最高标准的条款执行。</w:t>
      </w:r>
    </w:p>
    <w:p w14:paraId="67138BF8">
      <w:pPr>
        <w:spacing w:line="360" w:lineRule="auto"/>
        <w:rPr>
          <w:rFonts w:ascii="仿宋" w:hAnsi="仿宋" w:eastAsia="仿宋"/>
          <w:b/>
          <w:sz w:val="24"/>
        </w:rPr>
      </w:pPr>
      <w:bookmarkStart w:id="2" w:name="OLE_LINK53"/>
      <w:bookmarkStart w:id="3" w:name="OLE_LINK52"/>
      <w:r>
        <w:rPr>
          <w:rFonts w:ascii="仿宋" w:hAnsi="仿宋" w:eastAsia="仿宋" w:cs="Arial"/>
          <w:b/>
          <w:sz w:val="24"/>
        </w:rPr>
        <w:t>2.</w:t>
      </w:r>
      <w:r>
        <w:rPr>
          <w:rFonts w:ascii="仿宋" w:hAnsi="仿宋" w:eastAsia="仿宋"/>
          <w:b/>
          <w:sz w:val="24"/>
        </w:rPr>
        <w:t>服务内容及要求</w:t>
      </w:r>
      <w:r>
        <w:rPr>
          <w:rFonts w:ascii="仿宋" w:hAnsi="仿宋" w:eastAsia="仿宋" w:cs="Arial"/>
          <w:b/>
          <w:sz w:val="24"/>
        </w:rPr>
        <w:t>/</w:t>
      </w:r>
      <w:r>
        <w:rPr>
          <w:rFonts w:ascii="仿宋" w:hAnsi="仿宋" w:eastAsia="仿宋"/>
          <w:b/>
          <w:sz w:val="24"/>
        </w:rPr>
        <w:t>货物技术要求</w:t>
      </w:r>
    </w:p>
    <w:bookmarkEnd w:id="2"/>
    <w:bookmarkEnd w:id="3"/>
    <w:p w14:paraId="4DB10F2A">
      <w:pPr>
        <w:spacing w:line="360" w:lineRule="auto"/>
        <w:rPr>
          <w:rFonts w:ascii="仿宋" w:hAnsi="仿宋" w:eastAsia="仿宋"/>
          <w:b/>
          <w:sz w:val="24"/>
        </w:rPr>
      </w:pPr>
      <w:r>
        <w:rPr>
          <w:rFonts w:ascii="仿宋" w:hAnsi="仿宋" w:eastAsia="仿宋" w:cs="Arial"/>
          <w:b/>
          <w:sz w:val="24"/>
        </w:rPr>
        <w:t>2.1</w:t>
      </w:r>
      <w:r>
        <w:rPr>
          <w:rFonts w:ascii="仿宋" w:hAnsi="仿宋" w:eastAsia="仿宋"/>
          <w:b/>
          <w:sz w:val="24"/>
        </w:rPr>
        <w:t>采购标的需满足的性能、材料、结构、外观、质量、安全、技术规格、物理特性等要求</w:t>
      </w:r>
      <w:r>
        <w:rPr>
          <w:rFonts w:hint="eastAsia" w:ascii="仿宋" w:hAnsi="仿宋" w:eastAsia="仿宋"/>
          <w:b/>
          <w:sz w:val="24"/>
        </w:rPr>
        <w:t>。</w:t>
      </w:r>
    </w:p>
    <w:p w14:paraId="7A4CBB90">
      <w:pPr>
        <w:spacing w:line="360" w:lineRule="auto"/>
        <w:ind w:firstLine="480"/>
        <w:rPr>
          <w:rFonts w:ascii="仿宋" w:hAnsi="仿宋" w:eastAsia="仿宋"/>
          <w:sz w:val="24"/>
        </w:rPr>
      </w:pPr>
      <w:r>
        <w:rPr>
          <w:rFonts w:ascii="仿宋" w:hAnsi="仿宋" w:eastAsia="仿宋"/>
          <w:sz w:val="24"/>
        </w:rPr>
        <w:t>无。</w:t>
      </w:r>
    </w:p>
    <w:p w14:paraId="76806EAD">
      <w:pPr>
        <w:spacing w:line="360" w:lineRule="auto"/>
        <w:rPr>
          <w:rFonts w:ascii="仿宋" w:hAnsi="仿宋" w:eastAsia="仿宋"/>
          <w:b/>
          <w:sz w:val="24"/>
        </w:rPr>
      </w:pPr>
      <w:r>
        <w:rPr>
          <w:rFonts w:ascii="仿宋" w:hAnsi="仿宋" w:eastAsia="仿宋" w:cs="Arial"/>
          <w:b/>
          <w:sz w:val="24"/>
        </w:rPr>
        <w:t>2.2</w:t>
      </w:r>
      <w:r>
        <w:rPr>
          <w:rFonts w:ascii="仿宋" w:hAnsi="仿宋" w:eastAsia="仿宋"/>
          <w:b/>
          <w:sz w:val="24"/>
        </w:rPr>
        <w:t>采购标的需满足的服务标准、期限、效率等要求</w:t>
      </w:r>
    </w:p>
    <w:p w14:paraId="3B5130E1">
      <w:pPr>
        <w:spacing w:line="360" w:lineRule="auto"/>
        <w:ind w:firstLine="480"/>
        <w:rPr>
          <w:rFonts w:ascii="仿宋" w:hAnsi="仿宋" w:eastAsia="仿宋" w:cs="宋体"/>
          <w:sz w:val="24"/>
        </w:rPr>
      </w:pPr>
      <w:bookmarkStart w:id="4" w:name="OLE_LINK45"/>
      <w:r>
        <w:rPr>
          <w:rFonts w:hint="eastAsia" w:ascii="仿宋" w:hAnsi="仿宋" w:eastAsia="仿宋" w:cs="仿宋"/>
          <w:sz w:val="24"/>
        </w:rPr>
        <w:t>服务期限：自合同签订之日起1年。</w:t>
      </w:r>
    </w:p>
    <w:bookmarkEnd w:id="4"/>
    <w:p w14:paraId="439AC978">
      <w:pPr>
        <w:spacing w:line="360" w:lineRule="auto"/>
        <w:rPr>
          <w:rFonts w:ascii="仿宋" w:hAnsi="仿宋" w:eastAsia="仿宋"/>
          <w:b/>
          <w:sz w:val="24"/>
        </w:rPr>
      </w:pPr>
      <w:r>
        <w:rPr>
          <w:rFonts w:ascii="仿宋" w:hAnsi="仿宋" w:eastAsia="仿宋" w:cs="Arial"/>
          <w:b/>
          <w:sz w:val="24"/>
        </w:rPr>
        <w:t>2.3</w:t>
      </w:r>
      <w:r>
        <w:rPr>
          <w:rFonts w:ascii="仿宋" w:hAnsi="仿宋" w:eastAsia="仿宋"/>
          <w:b/>
          <w:sz w:val="24"/>
        </w:rPr>
        <w:t>为落实政府采购政策需满足的要求</w:t>
      </w:r>
    </w:p>
    <w:p w14:paraId="78BC4D57">
      <w:pPr>
        <w:spacing w:line="360" w:lineRule="auto"/>
        <w:ind w:firstLine="480"/>
        <w:rPr>
          <w:rFonts w:ascii="仿宋" w:hAnsi="仿宋" w:eastAsia="仿宋" w:cs="宋体"/>
          <w:sz w:val="24"/>
        </w:rPr>
      </w:pPr>
      <w:r>
        <w:rPr>
          <w:rFonts w:hint="eastAsia" w:ascii="仿宋" w:hAnsi="仿宋" w:eastAsia="仿宋" w:cs="宋体"/>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65743E88">
      <w:pPr>
        <w:spacing w:line="360" w:lineRule="auto"/>
        <w:ind w:firstLine="480"/>
        <w:rPr>
          <w:rFonts w:ascii="仿宋" w:hAnsi="仿宋" w:eastAsia="仿宋" w:cs="宋体"/>
          <w:sz w:val="24"/>
        </w:rPr>
      </w:pPr>
      <w:r>
        <w:rPr>
          <w:rFonts w:hint="eastAsia" w:ascii="仿宋" w:hAnsi="仿宋" w:eastAsia="仿宋" w:cs="宋体"/>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62F7C159">
      <w:pPr>
        <w:spacing w:line="360" w:lineRule="auto"/>
        <w:ind w:firstLine="480"/>
        <w:rPr>
          <w:rFonts w:ascii="仿宋" w:hAnsi="仿宋" w:eastAsia="仿宋" w:cs="宋体"/>
          <w:sz w:val="24"/>
        </w:rPr>
      </w:pPr>
      <w:r>
        <w:rPr>
          <w:rFonts w:hint="eastAsia" w:ascii="仿宋" w:hAnsi="仿宋" w:eastAsia="仿宋" w:cs="宋体"/>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2ABF187A">
      <w:pPr>
        <w:spacing w:line="360" w:lineRule="auto"/>
        <w:ind w:firstLine="480"/>
        <w:rPr>
          <w:rFonts w:ascii="仿宋" w:hAnsi="仿宋" w:eastAsia="仿宋" w:cs="宋体"/>
          <w:sz w:val="24"/>
        </w:rPr>
      </w:pPr>
      <w:r>
        <w:rPr>
          <w:rFonts w:hint="eastAsia" w:ascii="仿宋" w:hAnsi="仿宋" w:eastAsia="仿宋" w:cs="宋体"/>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6B861DC5">
      <w:pPr>
        <w:pStyle w:val="2"/>
        <w:spacing w:line="360" w:lineRule="auto"/>
        <w:ind w:firstLine="480"/>
        <w:rPr>
          <w:rFonts w:ascii="仿宋" w:hAnsi="仿宋" w:eastAsia="仿宋"/>
        </w:rPr>
      </w:pPr>
      <w:r>
        <w:rPr>
          <w:rFonts w:hint="eastAsia" w:ascii="仿宋" w:hAnsi="仿宋" w:eastAsia="仿宋" w:cs="宋体"/>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00CC18DB">
      <w:pPr>
        <w:pStyle w:val="2"/>
        <w:spacing w:line="360" w:lineRule="auto"/>
        <w:ind w:firstLine="480"/>
        <w:rPr>
          <w:rFonts w:ascii="仿宋" w:hAnsi="仿宋" w:eastAsia="仿宋"/>
        </w:rPr>
      </w:pPr>
      <w:r>
        <w:rPr>
          <w:rFonts w:hint="eastAsia" w:ascii="仿宋" w:hAnsi="仿宋" w:eastAsia="仿宋"/>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17CC3F46">
      <w:pPr>
        <w:spacing w:line="360" w:lineRule="auto"/>
        <w:ind w:firstLine="482" w:firstLineChars="200"/>
        <w:rPr>
          <w:rFonts w:ascii="仿宋" w:hAnsi="仿宋" w:eastAsia="仿宋"/>
          <w:b/>
          <w:sz w:val="24"/>
        </w:rPr>
      </w:pPr>
      <w:bookmarkStart w:id="5" w:name="OLE_LINK50"/>
      <w:bookmarkStart w:id="6" w:name="OLE_LINK8"/>
      <w:bookmarkStart w:id="7" w:name="OLE_LINK51"/>
      <w:r>
        <w:rPr>
          <w:rFonts w:ascii="仿宋" w:hAnsi="仿宋" w:eastAsia="仿宋" w:cs="Arial"/>
          <w:b/>
          <w:sz w:val="24"/>
        </w:rPr>
        <w:t>2.4</w:t>
      </w:r>
      <w:r>
        <w:rPr>
          <w:rFonts w:ascii="仿宋" w:hAnsi="仿宋" w:eastAsia="仿宋"/>
          <w:b/>
          <w:sz w:val="24"/>
        </w:rPr>
        <w:t>采购标的其他技术、服务等要求</w:t>
      </w:r>
    </w:p>
    <w:bookmarkEnd w:id="5"/>
    <w:bookmarkEnd w:id="6"/>
    <w:bookmarkEnd w:id="7"/>
    <w:p w14:paraId="74277E9B">
      <w:pPr>
        <w:pStyle w:val="2"/>
        <w:rPr>
          <w:rFonts w:ascii="仿宋" w:hAnsi="仿宋" w:eastAsia="仿宋"/>
        </w:rPr>
      </w:pPr>
      <w:r>
        <w:rPr>
          <w:rFonts w:hint="eastAsia" w:ascii="仿宋" w:hAnsi="仿宋" w:eastAsia="仿宋"/>
        </w:rPr>
        <w:t>详见下文。</w:t>
      </w:r>
    </w:p>
    <w:p w14:paraId="660A18C4">
      <w:pPr>
        <w:pStyle w:val="2"/>
      </w:pPr>
      <w:r>
        <w:br w:type="page"/>
      </w:r>
      <w:bookmarkStart w:id="8" w:name="OLE_LINK11"/>
    </w:p>
    <w:bookmarkEnd w:id="8"/>
    <w:p w14:paraId="55A05E71">
      <w:pPr>
        <w:numPr>
          <w:ilvl w:val="0"/>
          <w:numId w:val="2"/>
        </w:numPr>
        <w:spacing w:line="360" w:lineRule="auto"/>
        <w:rPr>
          <w:rFonts w:ascii="仿宋" w:hAnsi="仿宋" w:eastAsia="仿宋" w:cs="仿宋"/>
          <w:sz w:val="24"/>
        </w:rPr>
      </w:pPr>
      <w:r>
        <w:rPr>
          <w:rStyle w:val="10"/>
          <w:rFonts w:hint="eastAsia" w:ascii="仿宋" w:hAnsi="仿宋" w:eastAsia="仿宋" w:cs="仿宋"/>
          <w:sz w:val="24"/>
        </w:rPr>
        <w:t>项目基本情况</w:t>
      </w:r>
    </w:p>
    <w:p w14:paraId="23C3B997">
      <w:pPr>
        <w:pStyle w:val="7"/>
        <w:shd w:val="clear" w:color="auto" w:fill="FFFFFF"/>
        <w:spacing w:before="120" w:beforeLines="50" w:beforeAutospacing="0" w:after="120" w:afterLines="50" w:afterAutospacing="0" w:line="360" w:lineRule="auto"/>
        <w:ind w:firstLine="480" w:firstLineChars="200"/>
        <w:jc w:val="both"/>
        <w:rPr>
          <w:rFonts w:ascii="仿宋" w:hAnsi="仿宋" w:eastAsia="仿宋" w:cs="仿宋"/>
        </w:rPr>
      </w:pPr>
      <w:r>
        <w:rPr>
          <w:rFonts w:hint="eastAsia" w:ascii="仿宋" w:hAnsi="仿宋" w:eastAsia="仿宋" w:cs="仿宋"/>
        </w:rPr>
        <w:t>1、项目基本情况：投标人提供450个停车位，供北京天坛医院职工停车使用且停车位需在</w:t>
      </w:r>
      <w:r>
        <w:rPr>
          <w:rFonts w:hint="eastAsia" w:ascii="仿宋" w:hAnsi="仿宋" w:eastAsia="仿宋" w:cs="仿宋"/>
          <w:lang w:val="en-US" w:eastAsia="zh-CN"/>
        </w:rPr>
        <w:t>首都医科大学附属北京天坛医院北门</w:t>
      </w:r>
      <w:r>
        <w:rPr>
          <w:rFonts w:hint="eastAsia" w:ascii="仿宋" w:hAnsi="仿宋" w:eastAsia="仿宋" w:cs="仿宋"/>
        </w:rPr>
        <w:t>红线范围3公里以内（以电子</w:t>
      </w:r>
      <w:r>
        <w:rPr>
          <w:rFonts w:hint="eastAsia" w:ascii="仿宋" w:hAnsi="仿宋" w:eastAsia="仿宋" w:cs="仿宋"/>
          <w:lang w:val="en-US" w:eastAsia="zh-CN"/>
        </w:rPr>
        <w:t>地图</w:t>
      </w:r>
      <w:r>
        <w:rPr>
          <w:rFonts w:hint="eastAsia" w:ascii="仿宋" w:hAnsi="仿宋" w:eastAsia="仿宋" w:cs="仿宋"/>
        </w:rPr>
        <w:t>驾车公里数为准）</w:t>
      </w:r>
      <w:r>
        <w:rPr>
          <w:rFonts w:hint="eastAsia" w:ascii="仿宋" w:hAnsi="仿宋" w:eastAsia="仿宋"/>
        </w:rPr>
        <w:t>（以百度驾车公里数为准）</w:t>
      </w:r>
      <w:r>
        <w:rPr>
          <w:rFonts w:hint="eastAsia" w:ascii="仿宋" w:hAnsi="仿宋" w:eastAsia="仿宋" w:cs="仿宋"/>
        </w:rPr>
        <w:t>）；投标人须提供百度地图查询截图。</w:t>
      </w:r>
    </w:p>
    <w:p w14:paraId="706C23AA">
      <w:pPr>
        <w:pStyle w:val="7"/>
        <w:shd w:val="clear" w:color="auto" w:fill="FFFFFF"/>
        <w:spacing w:before="120" w:beforeLines="50" w:beforeAutospacing="0" w:after="120" w:afterLines="50" w:afterAutospacing="0" w:line="360" w:lineRule="auto"/>
        <w:ind w:firstLine="482" w:firstLineChars="200"/>
        <w:rPr>
          <w:rStyle w:val="10"/>
          <w:rFonts w:ascii="仿宋" w:hAnsi="仿宋" w:eastAsia="仿宋"/>
        </w:rPr>
      </w:pPr>
      <w:r>
        <w:rPr>
          <w:rStyle w:val="10"/>
          <w:rFonts w:hint="eastAsia" w:ascii="仿宋" w:hAnsi="仿宋" w:eastAsia="仿宋" w:cs="仿宋"/>
        </w:rPr>
        <w:t>二、项目内容</w:t>
      </w:r>
    </w:p>
    <w:p w14:paraId="64CD59EC">
      <w:pPr>
        <w:adjustRightInd w:val="0"/>
        <w:snapToGrid w:val="0"/>
        <w:spacing w:before="120" w:beforeLines="50" w:after="120" w:afterLines="50" w:line="360" w:lineRule="auto"/>
        <w:ind w:firstLine="480" w:firstLineChars="200"/>
        <w:rPr>
          <w:rFonts w:ascii="仿宋" w:hAnsi="仿宋" w:eastAsia="仿宋"/>
          <w:kern w:val="0"/>
          <w:sz w:val="24"/>
        </w:rPr>
      </w:pPr>
      <w:r>
        <w:rPr>
          <w:rFonts w:hint="eastAsia" w:ascii="仿宋" w:hAnsi="仿宋" w:eastAsia="仿宋" w:cs="仿宋"/>
          <w:kern w:val="0"/>
          <w:sz w:val="24"/>
        </w:rPr>
        <w:t>1、投标人提供合法且有备案资质的停车场（需提供相关文件扫描件并加盖公章，包括但不限于停车场备案资质、停车场场地权属证明或使用权证明）内450个停车位，用于北京天坛医院内部职工停车；</w:t>
      </w:r>
    </w:p>
    <w:p w14:paraId="5D8349EB">
      <w:pPr>
        <w:pStyle w:val="3"/>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2、投标人负责采购人租用的停车位的停车管理、车场设备设施的日常维护及车场范围内的通行秩序、安全管理及卫生清洁等；</w:t>
      </w:r>
    </w:p>
    <w:p w14:paraId="157BB23B">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3、本项目服务期限为</w:t>
      </w:r>
      <w:r>
        <w:rPr>
          <w:rFonts w:hint="eastAsia" w:ascii="仿宋" w:hAnsi="仿宋" w:eastAsia="仿宋" w:cs="仿宋"/>
          <w:kern w:val="0"/>
          <w:sz w:val="24"/>
          <w:u w:val="single"/>
        </w:rPr>
        <w:t xml:space="preserve"> 1年</w:t>
      </w:r>
      <w:r>
        <w:rPr>
          <w:rFonts w:hint="eastAsia" w:ascii="仿宋" w:hAnsi="仿宋" w:eastAsia="仿宋" w:cs="仿宋"/>
          <w:kern w:val="0"/>
          <w:sz w:val="24"/>
        </w:rPr>
        <w:t xml:space="preserve"> ；</w:t>
      </w:r>
    </w:p>
    <w:p w14:paraId="42279291">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5、租金：</w:t>
      </w:r>
      <w:bookmarkStart w:id="10" w:name="_GoBack"/>
      <w:bookmarkEnd w:id="10"/>
    </w:p>
    <w:p w14:paraId="3C8F0F7A">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5.1按照中标约定租金（</w:t>
      </w:r>
      <w:bookmarkStart w:id="9" w:name="OLE_LINK6"/>
      <w:r>
        <w:rPr>
          <w:rFonts w:hint="eastAsia" w:ascii="仿宋" w:hAnsi="仿宋" w:eastAsia="仿宋" w:cs="仿宋"/>
          <w:kern w:val="0"/>
          <w:sz w:val="24"/>
        </w:rPr>
        <w:t>元/月/车位</w:t>
      </w:r>
      <w:bookmarkEnd w:id="9"/>
      <w:r>
        <w:rPr>
          <w:rFonts w:hint="eastAsia" w:ascii="仿宋" w:hAnsi="仿宋" w:eastAsia="仿宋" w:cs="仿宋"/>
          <w:kern w:val="0"/>
          <w:sz w:val="24"/>
        </w:rPr>
        <w:t>）及约定车位数量进行支付。</w:t>
      </w:r>
    </w:p>
    <w:p w14:paraId="71E42D6A">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5.2租金按月缴纳，在支付当月费用开始前，投标中标人开具等额有效发票后15日内，采购人支付租金。</w:t>
      </w:r>
    </w:p>
    <w:p w14:paraId="4E07E9D1">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5.3采购人除向投标中标人支付租金外不再支付任何其他费用。</w:t>
      </w:r>
    </w:p>
    <w:p w14:paraId="407F65E3">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6、停放要求</w:t>
      </w:r>
    </w:p>
    <w:p w14:paraId="3B2B0BDF">
      <w:pPr>
        <w:adjustRightInd w:val="0"/>
        <w:snapToGrid w:val="0"/>
        <w:spacing w:before="120" w:beforeLines="50" w:after="120" w:afterLines="50" w:line="360" w:lineRule="auto"/>
        <w:ind w:left="19" w:leftChars="9" w:firstLine="460" w:firstLineChars="192"/>
        <w:rPr>
          <w:rFonts w:ascii="仿宋" w:hAnsi="仿宋" w:eastAsia="仿宋" w:cs="仿宋"/>
          <w:kern w:val="0"/>
          <w:sz w:val="24"/>
        </w:rPr>
      </w:pPr>
      <w:r>
        <w:rPr>
          <w:rFonts w:hint="eastAsia" w:ascii="仿宋" w:hAnsi="仿宋" w:eastAsia="仿宋" w:cs="仿宋"/>
          <w:kern w:val="0"/>
          <w:sz w:val="24"/>
        </w:rPr>
        <w:t>6.1投标人提供的停车位应确保在独立、连续及固定的区域，禁止非采购人职工车辆以采购人名义进入该区域；</w:t>
      </w:r>
    </w:p>
    <w:p w14:paraId="70A03ABB">
      <w:pPr>
        <w:adjustRightInd w:val="0"/>
        <w:snapToGrid w:val="0"/>
        <w:spacing w:before="120" w:beforeLines="50" w:after="120" w:afterLines="50" w:line="360" w:lineRule="auto"/>
        <w:ind w:left="19" w:leftChars="9" w:firstLine="460" w:firstLineChars="192"/>
        <w:rPr>
          <w:rFonts w:ascii="仿宋" w:hAnsi="仿宋" w:eastAsia="仿宋" w:cs="仿宋"/>
          <w:kern w:val="0"/>
          <w:sz w:val="24"/>
        </w:rPr>
      </w:pPr>
      <w:r>
        <w:rPr>
          <w:rFonts w:hint="eastAsia" w:ascii="仿宋" w:hAnsi="仿宋" w:eastAsia="仿宋" w:cs="仿宋"/>
          <w:kern w:val="0"/>
          <w:sz w:val="24"/>
        </w:rPr>
        <w:t>6.2采购人提供内部职工车牌号，投标人负责录入系统，录入系统的车辆进出场不受时限、次数及节假日限制，在租赁期内投标中标人不得向入场车辆收取任何费用。租赁内采购人车牌号有调整的，投标中标人应予配合调整。凡录入车牌号的车辆产生费用投标中标人应先予免费放行后，再自行处理费用问题。</w:t>
      </w:r>
    </w:p>
    <w:p w14:paraId="5056FCB1">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6.3采购人每名职工可提供两个车牌号（主次号），原则只允许一辆车在车位停放，因主次车同时在场产生费用的，由采购人内部职工自行缴纳，采购人不负责支付。</w:t>
      </w:r>
    </w:p>
    <w:p w14:paraId="78A51654">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7、服务内容</w:t>
      </w:r>
    </w:p>
    <w:p w14:paraId="26B9F25F">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7.1 停车位需24小时开放；</w:t>
      </w:r>
    </w:p>
    <w:p w14:paraId="71507653">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7.2 投标中标人负责停车场及进出道路的照明以及（包括但不限于）消防、疏散电梯、监控等设备的正常运行，保证采购人内部职工停车时的人身、财产及车辆安全。做好雨、雪等极端天气车辆道路及行驶安全工作；</w:t>
      </w:r>
    </w:p>
    <w:p w14:paraId="49947B93">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7.3投标中标人处理因停车、刮蹭、被盗、被砸等引起的纠纷，如遇监控死角或不能找到责任人，采购人在明确车辆刮蹭、划伤、被盗及砸坏等情况在停车场范围内发生的，由投标中标人先行赔付。</w:t>
      </w:r>
    </w:p>
    <w:p w14:paraId="17ABE1EF">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7.4投标中标人应确保对医院停车人员车牌记录的相关电子系统的电子数据、视频资料完整、保证信息安全，不得任意删除、篡改及泄露，否则因此导致的责任或后果由投标中标人承担。</w:t>
      </w:r>
    </w:p>
    <w:p w14:paraId="43FD75DD">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7.5投标中标人必须保证提供不低月约定的车位数，不得随意停放社会车辆，如因投标人原因造成车位数少于约定车位数，则扣除缺少车位数当月租金，该租金投标中标人以转账形式退还给采购人，如投标中标人在合同有效期内提供的车位数少于约定数量的10％，采购人有权终止合同，投标中标人以转账形式退还缺少车位数的当月租金。</w:t>
      </w:r>
    </w:p>
    <w:p w14:paraId="283B9BB0">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7.6租赁开始日的确定：将由采购人、投标中标人双方共同确认。</w:t>
      </w:r>
    </w:p>
    <w:p w14:paraId="25F7B407">
      <w:pPr>
        <w:pStyle w:val="4"/>
        <w:tabs>
          <w:tab w:val="left" w:pos="567"/>
        </w:tabs>
        <w:spacing w:beforeLines="50" w:after="120" w:afterLines="50" w:line="360" w:lineRule="auto"/>
        <w:ind w:firstLine="420" w:firstLineChars="200"/>
        <w:rPr>
          <w:rFonts w:ascii="仿宋" w:hAnsi="仿宋" w:eastAsia="仿宋" w:cs="仿宋"/>
          <w:kern w:val="0"/>
        </w:rPr>
      </w:pPr>
      <w:r>
        <w:rPr>
          <w:rFonts w:hint="eastAsia" w:ascii="仿宋" w:hAnsi="仿宋" w:eastAsia="仿宋" w:cs="仿宋"/>
          <w:kern w:val="0"/>
        </w:rPr>
        <w:t>7.7停车场内应设置灭火器、垃圾桶等设备设施。</w:t>
      </w:r>
    </w:p>
    <w:p w14:paraId="60A5BC14">
      <w:pPr>
        <w:pStyle w:val="4"/>
        <w:tabs>
          <w:tab w:val="left" w:pos="567"/>
        </w:tabs>
        <w:spacing w:beforeLines="50" w:after="120" w:afterLines="50" w:line="360" w:lineRule="auto"/>
        <w:ind w:firstLine="420" w:firstLineChars="200"/>
        <w:rPr>
          <w:rFonts w:ascii="仿宋" w:hAnsi="仿宋" w:eastAsia="仿宋" w:cs="仿宋"/>
          <w:kern w:val="0"/>
        </w:rPr>
      </w:pPr>
      <w:r>
        <w:rPr>
          <w:rFonts w:hint="eastAsia" w:ascii="仿宋" w:hAnsi="仿宋" w:eastAsia="仿宋" w:cs="仿宋"/>
          <w:kern w:val="0"/>
        </w:rPr>
        <w:t>投标人须根据上述内容编制停车场基础设施配置方案。</w:t>
      </w:r>
    </w:p>
    <w:p w14:paraId="70941AD9">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8、保险</w:t>
      </w:r>
    </w:p>
    <w:p w14:paraId="45F9B9DE">
      <w:pPr>
        <w:adjustRightInd w:val="0"/>
        <w:snapToGrid w:val="0"/>
        <w:spacing w:before="120" w:beforeLines="50" w:after="120" w:afterLines="50" w:line="360" w:lineRule="auto"/>
        <w:ind w:firstLine="480" w:firstLineChars="200"/>
        <w:rPr>
          <w:rFonts w:ascii="仿宋" w:hAnsi="仿宋" w:eastAsia="仿宋" w:cs="仿宋"/>
          <w:kern w:val="0"/>
          <w:sz w:val="24"/>
        </w:rPr>
      </w:pPr>
      <w:r>
        <w:rPr>
          <w:rFonts w:hint="eastAsia" w:ascii="仿宋" w:hAnsi="仿宋" w:eastAsia="仿宋" w:cs="仿宋"/>
          <w:kern w:val="0"/>
          <w:sz w:val="24"/>
        </w:rPr>
        <w:t>8.1投标中标人应为提供的停车场购买相关保险；</w:t>
      </w:r>
    </w:p>
    <w:p w14:paraId="1D691572">
      <w:pPr>
        <w:spacing w:before="120" w:beforeLines="50" w:after="120" w:afterLines="50" w:line="360" w:lineRule="auto"/>
        <w:ind w:firstLine="480" w:firstLineChars="200"/>
        <w:rPr>
          <w:rFonts w:ascii="仿宋" w:hAnsi="仿宋" w:eastAsia="仿宋"/>
          <w:sz w:val="24"/>
        </w:rPr>
      </w:pPr>
      <w:r>
        <w:rPr>
          <w:rFonts w:hint="eastAsia" w:ascii="仿宋" w:hAnsi="仿宋" w:eastAsia="仿宋" w:cs="仿宋"/>
          <w:kern w:val="0"/>
          <w:sz w:val="24"/>
        </w:rPr>
        <w:t>8.2凡在停车场范围内发生车辆刮蹭、划伤、被盗及砸坏等情况，投标中标人应配合保险公司或执法部门提供监控录像，在车辆保险处理范围内的，由车主负责解决，在停车场保险范围内的由投标人按照相关保险程序理赔。</w:t>
      </w:r>
      <w:r>
        <w:rPr>
          <w:rFonts w:hint="eastAsia" w:ascii="仿宋" w:hAnsi="仿宋" w:eastAsia="仿宋"/>
          <w:sz w:val="24"/>
        </w:rPr>
        <w:t>不在保险理赔范围内的，均由投标中标人负责赔偿。因车辆停放和停车场管理而发生的争议纠纷，由投标中标人负责解决。</w:t>
      </w:r>
    </w:p>
    <w:p w14:paraId="28918EC3">
      <w:pPr>
        <w:spacing w:before="120" w:beforeLines="50" w:after="120" w:afterLines="50" w:line="360" w:lineRule="auto"/>
        <w:rPr>
          <w:rFonts w:ascii="仿宋" w:hAnsi="仿宋" w:eastAsia="仿宋"/>
          <w:sz w:val="24"/>
        </w:rPr>
      </w:pPr>
      <w:r>
        <w:rPr>
          <w:rFonts w:hint="eastAsia" w:ascii="仿宋" w:hAnsi="仿宋" w:eastAsia="仿宋"/>
          <w:sz w:val="24"/>
        </w:rPr>
        <w:t>投标人须根据上述内容提供承诺函。</w:t>
      </w:r>
    </w:p>
    <w:p w14:paraId="79ECD25D">
      <w:pPr>
        <w:spacing w:before="120" w:beforeLines="50" w:after="120" w:afterLines="50" w:line="360" w:lineRule="auto"/>
        <w:ind w:firstLine="480" w:firstLineChars="200"/>
        <w:rPr>
          <w:rFonts w:ascii="仿宋" w:hAnsi="仿宋" w:eastAsia="仿宋"/>
          <w:bCs/>
          <w:sz w:val="24"/>
        </w:rPr>
      </w:pPr>
      <w:r>
        <w:rPr>
          <w:rFonts w:hint="eastAsia" w:ascii="仿宋" w:hAnsi="仿宋" w:eastAsia="仿宋"/>
          <w:sz w:val="24"/>
        </w:rPr>
        <w:t>9、投标人须为本项目配备</w:t>
      </w:r>
      <w:r>
        <w:rPr>
          <w:rFonts w:hint="eastAsia" w:ascii="仿宋" w:hAnsi="仿宋" w:eastAsia="仿宋"/>
          <w:bCs/>
          <w:sz w:val="24"/>
        </w:rPr>
        <w:t>类似项目经验丰富的服务人员，人员数量、年龄结构合理，职责分工明确，管理架构完整，配置全面，能够完全满足项目需要。</w:t>
      </w:r>
    </w:p>
    <w:p w14:paraId="72911B8A">
      <w:pPr>
        <w:spacing w:before="120" w:beforeLines="50" w:after="120" w:afterLines="50" w:line="360" w:lineRule="auto"/>
        <w:ind w:firstLine="480" w:firstLineChars="200"/>
        <w:rPr>
          <w:rFonts w:ascii="仿宋" w:hAnsi="仿宋" w:eastAsia="仿宋"/>
          <w:kern w:val="0"/>
          <w:sz w:val="24"/>
        </w:rPr>
      </w:pPr>
      <w:r>
        <w:rPr>
          <w:rFonts w:hint="eastAsia" w:ascii="仿宋" w:hAnsi="仿宋" w:eastAsia="仿宋"/>
          <w:bCs/>
          <w:sz w:val="24"/>
        </w:rPr>
        <w:t>10、</w:t>
      </w:r>
      <w:r>
        <w:rPr>
          <w:rFonts w:hint="eastAsia" w:ascii="仿宋" w:hAnsi="仿宋" w:eastAsia="仿宋"/>
          <w:sz w:val="24"/>
        </w:rPr>
        <w:t>投标人须提供</w:t>
      </w:r>
      <w:r>
        <w:rPr>
          <w:rFonts w:hint="eastAsia" w:ascii="仿宋" w:hAnsi="仿宋" w:eastAsia="仿宋"/>
          <w:kern w:val="0"/>
          <w:sz w:val="24"/>
        </w:rPr>
        <w:t>企业内部管理制度，内部管理制度能够充分保证服务质量，对员工的工作职责有明确的划分和具体规定。</w:t>
      </w:r>
    </w:p>
    <w:p w14:paraId="67CC2D58">
      <w:pPr>
        <w:spacing w:before="120" w:beforeLines="50" w:after="120" w:afterLines="50" w:line="360" w:lineRule="auto"/>
        <w:ind w:firstLine="480" w:firstLineChars="200"/>
        <w:rPr>
          <w:rFonts w:ascii="仿宋" w:hAnsi="仿宋" w:eastAsia="仿宋"/>
          <w:bCs/>
          <w:sz w:val="24"/>
        </w:rPr>
      </w:pPr>
      <w:r>
        <w:rPr>
          <w:rFonts w:hint="eastAsia" w:ascii="仿宋" w:hAnsi="仿宋" w:eastAsia="仿宋"/>
          <w:bCs/>
          <w:sz w:val="24"/>
        </w:rPr>
        <w:t>11、投标人提须提供停车场现状整体介绍，停车场地周边交通便利，场地平整、干净整洁，环境优良，布局合理，完全满足采购人需求。</w:t>
      </w:r>
    </w:p>
    <w:p w14:paraId="61C661B3">
      <w:pPr>
        <w:spacing w:before="120" w:beforeLines="50" w:after="120" w:afterLines="50" w:line="360" w:lineRule="auto"/>
        <w:ind w:firstLine="480" w:firstLineChars="200"/>
        <w:rPr>
          <w:rFonts w:ascii="仿宋" w:hAnsi="仿宋" w:eastAsia="仿宋"/>
          <w:bCs/>
          <w:sz w:val="24"/>
        </w:rPr>
      </w:pPr>
      <w:r>
        <w:rPr>
          <w:rFonts w:hint="eastAsia" w:ascii="仿宋" w:hAnsi="仿宋" w:eastAsia="仿宋"/>
          <w:bCs/>
          <w:sz w:val="24"/>
        </w:rPr>
        <w:t>12、如投标人提供的停车位为地下停车位，则优先考虑。</w:t>
      </w:r>
    </w:p>
    <w:p w14:paraId="54D46FCC">
      <w:pPr>
        <w:spacing w:before="120" w:beforeLines="50" w:after="120" w:afterLines="50" w:line="360" w:lineRule="auto"/>
        <w:ind w:firstLine="480" w:firstLineChars="200"/>
        <w:rPr>
          <w:rFonts w:ascii="仿宋" w:hAnsi="仿宋" w:eastAsia="仿宋"/>
          <w:kern w:val="0"/>
          <w:sz w:val="24"/>
        </w:rPr>
      </w:pPr>
      <w:r>
        <w:rPr>
          <w:rFonts w:hint="eastAsia" w:ascii="仿宋" w:hAnsi="仿宋" w:eastAsia="仿宋"/>
          <w:bCs/>
          <w:sz w:val="24"/>
        </w:rPr>
        <w:t>13、如投标人能提供部分带充电桩的停车位，且能满足电动汽车充电要求，其充电桩符合国家相关标准，有相应设备的检测报告的，则优先考虑。</w:t>
      </w:r>
    </w:p>
    <w:p w14:paraId="0E93D5FC">
      <w:pPr>
        <w:widowControl/>
        <w:jc w:val="left"/>
        <w:rPr>
          <w:rFonts w:ascii="仿宋" w:hAnsi="仿宋" w:eastAsia="仿宋" w:cs="仿宋"/>
          <w:b/>
          <w:sz w:val="24"/>
        </w:rPr>
      </w:pPr>
      <w:r>
        <w:rPr>
          <w:rFonts w:ascii="仿宋" w:hAnsi="仿宋" w:eastAsia="仿宋" w:cs="仿宋"/>
          <w:b/>
          <w:sz w:val="24"/>
        </w:rPr>
        <w:br w:type="page"/>
      </w:r>
    </w:p>
    <w:p w14:paraId="27190191">
      <w:pPr>
        <w:widowControl/>
        <w:jc w:val="left"/>
        <w:rPr>
          <w:rFonts w:ascii="仿宋" w:hAnsi="仿宋" w:eastAsia="仿宋" w:cs="仿宋"/>
          <w:b/>
          <w:sz w:val="24"/>
        </w:rPr>
      </w:pPr>
    </w:p>
    <w:p w14:paraId="30C50761">
      <w:pPr>
        <w:widowControl/>
        <w:snapToGrid w:val="0"/>
        <w:spacing w:line="360" w:lineRule="auto"/>
        <w:ind w:firstLine="482" w:firstLineChars="200"/>
        <w:contextualSpacing/>
        <w:rPr>
          <w:rFonts w:ascii="仿宋" w:hAnsi="仿宋" w:eastAsia="仿宋" w:cs="仿宋"/>
          <w:b/>
          <w:sz w:val="24"/>
        </w:rPr>
      </w:pPr>
      <w:r>
        <w:rPr>
          <w:rFonts w:hint="eastAsia" w:ascii="仿宋" w:hAnsi="仿宋" w:eastAsia="仿宋" w:cs="仿宋"/>
          <w:b/>
          <w:sz w:val="24"/>
        </w:rPr>
        <w:t>2.5 需由投标人提供设计方案、解决方案或者组织方案的采购项目，应当说明采购标的的功能、应用场景、目标等基本要求</w:t>
      </w:r>
    </w:p>
    <w:p w14:paraId="4B7CEAFF">
      <w:pPr>
        <w:pStyle w:val="2"/>
      </w:pPr>
      <w:r>
        <w:rPr>
          <w:rFonts w:ascii="仿宋" w:hAnsi="仿宋" w:eastAsia="仿宋" w:cs="Arial"/>
        </w:rPr>
        <w:t>无。</w:t>
      </w:r>
    </w:p>
    <w:p w14:paraId="1A779559">
      <w:pPr>
        <w:pStyle w:val="2"/>
      </w:pPr>
    </w:p>
    <w:p w14:paraId="0EA5C671">
      <w:pPr>
        <w:spacing w:line="360" w:lineRule="auto"/>
        <w:rPr>
          <w:rFonts w:ascii="仿宋" w:hAnsi="仿宋" w:eastAsia="仿宋"/>
          <w:szCs w:val="21"/>
        </w:rPr>
      </w:pPr>
      <w:r>
        <w:rPr>
          <w:rFonts w:hint="eastAsia" w:ascii="仿宋" w:hAnsi="仿宋" w:eastAsia="仿宋" w:cs="Arial"/>
          <w:b/>
          <w:sz w:val="24"/>
        </w:rPr>
        <w:t>3.验收标准</w:t>
      </w:r>
    </w:p>
    <w:p w14:paraId="26499A04">
      <w:pPr>
        <w:pStyle w:val="19"/>
        <w:spacing w:before="120" w:beforeLines="50"/>
        <w:ind w:firstLine="360" w:firstLineChars="150"/>
        <w:rPr>
          <w:rFonts w:cs="Arial"/>
          <w:b w:val="0"/>
          <w:sz w:val="24"/>
        </w:rPr>
      </w:pPr>
      <w:r>
        <w:rPr>
          <w:rFonts w:hint="eastAsia" w:cs="Arial"/>
          <w:b w:val="0"/>
          <w:sz w:val="24"/>
        </w:rPr>
        <w:t>中标人保障</w:t>
      </w:r>
      <w:r>
        <w:rPr>
          <w:rFonts w:hint="eastAsia" w:cs="Arial"/>
          <w:b w:val="0"/>
          <w:sz w:val="24"/>
          <w:lang w:val="en-US" w:eastAsia="zh-CN"/>
        </w:rPr>
        <w:t>项目</w:t>
      </w:r>
      <w:r>
        <w:rPr>
          <w:rFonts w:hint="eastAsia" w:cs="Arial"/>
          <w:b w:val="0"/>
          <w:sz w:val="24"/>
        </w:rPr>
        <w:t>运行畅通并做好相关记录。采购人每季度对中标人合同履行情况进行定期考核，根据考核结果进行打分验收。</w:t>
      </w:r>
    </w:p>
    <w:bookmarkEnd w:id="0"/>
    <w:bookmarkEnd w:id="1"/>
    <w:p w14:paraId="64AF8502">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38784B6"/>
    <w:multiLevelType w:val="singleLevel"/>
    <w:tmpl w:val="338784B6"/>
    <w:lvl w:ilvl="0" w:tentative="0">
      <w:start w:val="1"/>
      <w:numFmt w:val="chineseCounting"/>
      <w:suff w:val="nothing"/>
      <w:lvlText w:val="%1、"/>
      <w:lvlJc w:val="left"/>
      <w:pPr>
        <w:ind w:left="0" w:firstLine="42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E"/>
    <w:rsid w:val="00192931"/>
    <w:rsid w:val="001939FC"/>
    <w:rsid w:val="00212F15"/>
    <w:rsid w:val="006B778E"/>
    <w:rsid w:val="007251BE"/>
    <w:rsid w:val="00797731"/>
    <w:rsid w:val="00876916"/>
    <w:rsid w:val="009F1CBF"/>
    <w:rsid w:val="00D84CF9"/>
    <w:rsid w:val="00E85246"/>
    <w:rsid w:val="4E4C5872"/>
    <w:rsid w:val="6F800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5"/>
    <w:qFormat/>
    <w:uiPriority w:val="99"/>
    <w:pPr>
      <w:autoSpaceDE w:val="0"/>
      <w:autoSpaceDN w:val="0"/>
      <w:adjustRightInd w:val="0"/>
      <w:ind w:firstLine="420"/>
      <w:jc w:val="left"/>
    </w:pPr>
    <w:rPr>
      <w:rFonts w:ascii="宋体" w:hAnsi="Times New Roman"/>
      <w:sz w:val="24"/>
    </w:rPr>
  </w:style>
  <w:style w:type="paragraph" w:styleId="3">
    <w:name w:val="annotation text"/>
    <w:basedOn w:val="1"/>
    <w:qFormat/>
    <w:uiPriority w:val="99"/>
    <w:pPr>
      <w:jc w:val="left"/>
    </w:pPr>
  </w:style>
  <w:style w:type="paragraph" w:styleId="4">
    <w:name w:val="Body Text"/>
    <w:basedOn w:val="1"/>
    <w:link w:val="14"/>
    <w:semiHidden/>
    <w:unhideWhenUsed/>
    <w:uiPriority w:val="99"/>
    <w:pPr>
      <w:spacing w:after="120"/>
    </w:pPr>
  </w:style>
  <w:style w:type="paragraph" w:styleId="5">
    <w:name w:val="footer"/>
    <w:basedOn w:val="1"/>
    <w:link w:val="13"/>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qFormat/>
    <w:uiPriority w:val="0"/>
    <w:rPr>
      <w:b/>
      <w:bCs/>
    </w:rPr>
  </w:style>
  <w:style w:type="character" w:styleId="11">
    <w:name w:val="annotation reference"/>
    <w:qFormat/>
    <w:uiPriority w:val="99"/>
    <w:rPr>
      <w:sz w:val="21"/>
      <w:szCs w:val="21"/>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正文文本 Char"/>
    <w:basedOn w:val="9"/>
    <w:link w:val="4"/>
    <w:semiHidden/>
    <w:qFormat/>
    <w:uiPriority w:val="99"/>
    <w:rPr>
      <w:rFonts w:ascii="Calibri" w:hAnsi="Calibri" w:eastAsia="宋体" w:cs="Times New Roman"/>
      <w:szCs w:val="24"/>
    </w:rPr>
  </w:style>
  <w:style w:type="character" w:customStyle="1" w:styleId="15">
    <w:name w:val="正文缩进 Char1"/>
    <w:link w:val="2"/>
    <w:qFormat/>
    <w:uiPriority w:val="99"/>
    <w:rPr>
      <w:rFonts w:ascii="宋体" w:hAnsi="Times New Roman" w:eastAsia="宋体" w:cs="Times New Roman"/>
      <w:sz w:val="24"/>
      <w:szCs w:val="24"/>
    </w:rPr>
  </w:style>
  <w:style w:type="character" w:customStyle="1" w:styleId="16">
    <w:name w:val="列出段落 Char1"/>
    <w:link w:val="17"/>
    <w:qFormat/>
    <w:uiPriority w:val="34"/>
    <w:rPr>
      <w:rFonts w:ascii="Calibri" w:hAnsi="Calibri" w:eastAsia="宋体"/>
    </w:rPr>
  </w:style>
  <w:style w:type="paragraph" w:styleId="17">
    <w:name w:val="List Paragraph"/>
    <w:basedOn w:val="1"/>
    <w:link w:val="16"/>
    <w:qFormat/>
    <w:uiPriority w:val="34"/>
    <w:pPr>
      <w:ind w:firstLine="420" w:firstLineChars="200"/>
    </w:pPr>
    <w:rPr>
      <w:rFonts w:cstheme="minorBidi"/>
      <w:szCs w:val="22"/>
    </w:rPr>
  </w:style>
  <w:style w:type="paragraph" w:customStyle="1" w:styleId="18">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19">
    <w:name w:val="SOW正文"/>
    <w:basedOn w:val="1"/>
    <w:qFormat/>
    <w:uiPriority w:val="0"/>
    <w:pPr>
      <w:spacing w:line="360" w:lineRule="auto"/>
      <w:ind w:left="-208"/>
      <w:contextualSpacing/>
    </w:pPr>
    <w:rPr>
      <w:rFonts w:ascii="仿宋" w:hAnsi="仿宋" w:eastAsia="仿宋"/>
      <w:b/>
    </w:rPr>
  </w:style>
  <w:style w:type="paragraph" w:customStyle="1" w:styleId="20">
    <w:name w:val="列出段落3"/>
    <w:basedOn w:val="1"/>
    <w:qFormat/>
    <w:uiPriority w:val="34"/>
    <w:pPr>
      <w:ind w:firstLine="420" w:firstLineChars="200"/>
    </w:pPr>
    <w:rPr>
      <w:rFonts w:ascii="Times New Roman" w:hAnsi="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4599</Words>
  <Characters>4771</Characters>
  <Lines>61</Lines>
  <Paragraphs>17</Paragraphs>
  <TotalTime>0</TotalTime>
  <ScaleCrop>false</ScaleCrop>
  <LinksUpToDate>false</LinksUpToDate>
  <CharactersWithSpaces>4779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2026-01-14T02:10:00Z</dcterms:created>
  <dc:creator>Lenovo</dc:creator>
  <cp:lastModifiedBy>赵雨辰</cp:lastModifiedBy>
  <dcterms:modified xsi:type="dcterms:W3CDTF">2026-07-29T07:03:48Z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eyJoZGlkIjoiMTJlMmE1ZmVlMGMzNDY5NTEwMjNlZTBmYzc4M2ZiN2YiLCJ1c2VySWQiOiIxMTc2MjU1NDAwIn0=</vt:lpwstr>
  </property>
  <property fmtid="{D5CDD505-2E9C-101B-9397-08002B2CF9AE}" pid="3" name="KSOProductBuildVer">
    <vt:lpwstr>2052-12.1.0.28043</vt:lpwstr>
  </property>
  <property fmtid="{D5CDD505-2E9C-101B-9397-08002B2CF9AE}" pid="4" name="ICV">
    <vt:lpwstr>6C679914A3E14C209032BE4D7074F571_12</vt:lpwstr>
  </property>
</Properties>
</file>