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ECF5D">
      <w:pPr>
        <w:spacing w:line="360" w:lineRule="auto"/>
        <w:jc w:val="center"/>
        <w:outlineLvl w:val="0"/>
        <w:rPr>
          <w:b/>
          <w:sz w:val="36"/>
          <w:szCs w:val="36"/>
          <w:highlight w:val="none"/>
        </w:rPr>
      </w:pPr>
      <w:bookmarkStart w:id="0" w:name="_Toc99301424"/>
      <w:r>
        <w:rPr>
          <w:b/>
          <w:sz w:val="36"/>
          <w:szCs w:val="36"/>
          <w:highlight w:val="none"/>
        </w:rPr>
        <w:t>采购需求</w:t>
      </w:r>
      <w:bookmarkEnd w:id="0"/>
      <w:bookmarkStart w:id="1" w:name="_GoBack"/>
      <w:bookmarkEnd w:id="1"/>
    </w:p>
    <w:p w14:paraId="245C7E5B">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b/>
          <w:bCs/>
          <w:sz w:val="24"/>
          <w:szCs w:val="24"/>
          <w:highlight w:val="none"/>
          <w:lang w:val="zh-CN"/>
        </w:rPr>
      </w:pPr>
      <w:r>
        <w:rPr>
          <w:rFonts w:hint="eastAsia" w:asciiTheme="minorEastAsia" w:hAnsiTheme="minorEastAsia" w:eastAsiaTheme="minorEastAsia" w:cstheme="minorEastAsia"/>
          <w:b/>
          <w:bCs/>
          <w:sz w:val="24"/>
          <w:szCs w:val="24"/>
          <w:highlight w:val="none"/>
          <w:lang w:val="zh-CN"/>
        </w:rPr>
        <w:t>一、采购标的</w:t>
      </w:r>
    </w:p>
    <w:p w14:paraId="79145149">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175"/>
        <w:textAlignment w:val="auto"/>
        <w:outlineLvl w:val="2"/>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（一）采购标的</w:t>
      </w:r>
    </w:p>
    <w:tbl>
      <w:tblPr>
        <w:tblStyle w:val="2"/>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2503"/>
        <w:gridCol w:w="1803"/>
        <w:gridCol w:w="1562"/>
        <w:gridCol w:w="2066"/>
      </w:tblGrid>
      <w:tr w14:paraId="64DD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dxa"/>
            <w:noWrap w:val="0"/>
            <w:vAlign w:val="center"/>
          </w:tcPr>
          <w:p w14:paraId="0FC395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序号</w:t>
            </w:r>
          </w:p>
        </w:tc>
        <w:tc>
          <w:tcPr>
            <w:tcW w:w="2503" w:type="dxa"/>
            <w:noWrap w:val="0"/>
            <w:vAlign w:val="center"/>
          </w:tcPr>
          <w:p w14:paraId="216252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货物或服务名称</w:t>
            </w:r>
          </w:p>
        </w:tc>
        <w:tc>
          <w:tcPr>
            <w:tcW w:w="1803" w:type="dxa"/>
            <w:noWrap w:val="0"/>
            <w:vAlign w:val="center"/>
          </w:tcPr>
          <w:p w14:paraId="5A31A9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数量</w:t>
            </w:r>
          </w:p>
        </w:tc>
        <w:tc>
          <w:tcPr>
            <w:tcW w:w="1562" w:type="dxa"/>
            <w:noWrap w:val="0"/>
            <w:vAlign w:val="center"/>
          </w:tcPr>
          <w:p w14:paraId="27F418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单位</w:t>
            </w:r>
          </w:p>
        </w:tc>
        <w:tc>
          <w:tcPr>
            <w:tcW w:w="2066" w:type="dxa"/>
            <w:noWrap w:val="0"/>
            <w:vAlign w:val="center"/>
          </w:tcPr>
          <w:p w14:paraId="7E92A6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备注（核心产品）</w:t>
            </w:r>
          </w:p>
        </w:tc>
      </w:tr>
      <w:tr w14:paraId="1E1D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dxa"/>
            <w:noWrap w:val="0"/>
            <w:vAlign w:val="center"/>
          </w:tcPr>
          <w:p w14:paraId="758EE5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503" w:type="dxa"/>
            <w:noWrap w:val="0"/>
            <w:vAlign w:val="center"/>
          </w:tcPr>
          <w:p w14:paraId="1ED332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北京市人民检察院第四分院202</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年-202</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年物业管理服务采购项目</w:t>
            </w:r>
          </w:p>
        </w:tc>
        <w:tc>
          <w:tcPr>
            <w:tcW w:w="1803" w:type="dxa"/>
            <w:noWrap w:val="0"/>
            <w:vAlign w:val="center"/>
          </w:tcPr>
          <w:p w14:paraId="50091D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562" w:type="dxa"/>
            <w:noWrap w:val="0"/>
            <w:vAlign w:val="center"/>
          </w:tcPr>
          <w:p w14:paraId="24AEE3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2066" w:type="dxa"/>
            <w:noWrap w:val="0"/>
            <w:vAlign w:val="center"/>
          </w:tcPr>
          <w:p w14:paraId="1FEBC6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w:t>
            </w:r>
          </w:p>
        </w:tc>
      </w:tr>
    </w:tbl>
    <w:p w14:paraId="0A2E21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p>
    <w:p w14:paraId="315ADCC8">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175"/>
        <w:textAlignment w:val="auto"/>
        <w:outlineLvl w:val="2"/>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（二）项目背景/项目概述</w:t>
      </w:r>
    </w:p>
    <w:p w14:paraId="1079170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1.项目地址：</w:t>
      </w:r>
      <w:r>
        <w:rPr>
          <w:rFonts w:hint="eastAsia" w:asciiTheme="minorEastAsia" w:hAnsiTheme="minorEastAsia" w:eastAsiaTheme="minorEastAsia" w:cstheme="minorEastAsia"/>
          <w:sz w:val="24"/>
          <w:szCs w:val="24"/>
          <w:highlight w:val="none"/>
          <w:u w:val="single"/>
        </w:rPr>
        <w:t>北京市丰台区双林东路1号院</w:t>
      </w:r>
      <w:r>
        <w:rPr>
          <w:rFonts w:hint="eastAsia" w:asciiTheme="minorEastAsia" w:hAnsiTheme="minorEastAsia" w:eastAsiaTheme="minorEastAsia" w:cstheme="minorEastAsia"/>
          <w:sz w:val="24"/>
          <w:szCs w:val="24"/>
          <w:highlight w:val="none"/>
          <w:u w:val="single"/>
          <w:lang w:eastAsia="zh-CN"/>
        </w:rPr>
        <w:t>；</w:t>
      </w:r>
    </w:p>
    <w:p w14:paraId="4CED124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2.项目用途：</w:t>
      </w:r>
      <w:r>
        <w:rPr>
          <w:rFonts w:hint="eastAsia" w:asciiTheme="minorEastAsia" w:hAnsiTheme="minorEastAsia" w:eastAsiaTheme="minorEastAsia" w:cstheme="minorEastAsia"/>
          <w:sz w:val="24"/>
          <w:szCs w:val="24"/>
          <w:highlight w:val="none"/>
          <w:u w:val="single"/>
        </w:rPr>
        <w:t>日常办公</w:t>
      </w:r>
      <w:r>
        <w:rPr>
          <w:rFonts w:hint="eastAsia" w:asciiTheme="minorEastAsia" w:hAnsiTheme="minorEastAsia" w:eastAsiaTheme="minorEastAsia" w:cstheme="minorEastAsia"/>
          <w:sz w:val="24"/>
          <w:szCs w:val="24"/>
          <w:highlight w:val="none"/>
          <w:u w:val="single"/>
          <w:lang w:eastAsia="zh-CN"/>
        </w:rPr>
        <w:t>；</w:t>
      </w:r>
    </w:p>
    <w:p w14:paraId="4D58180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3.项目服务期限：</w:t>
      </w:r>
      <w:r>
        <w:rPr>
          <w:rFonts w:hint="eastAsia" w:asciiTheme="minorEastAsia" w:hAnsiTheme="minorEastAsia" w:eastAsiaTheme="minorEastAsia" w:cstheme="minorEastAsia"/>
          <w:sz w:val="24"/>
          <w:szCs w:val="24"/>
          <w:highlight w:val="none"/>
          <w:u w:val="single"/>
        </w:rPr>
        <w:t>一年（202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u w:val="single"/>
        </w:rPr>
        <w:t>年</w:t>
      </w:r>
      <w:r>
        <w:rPr>
          <w:rFonts w:hint="eastAsia" w:asciiTheme="minorEastAsia" w:hAnsiTheme="minorEastAsia" w:eastAsiaTheme="minorEastAsia" w:cstheme="minorEastAsia"/>
          <w:sz w:val="24"/>
          <w:szCs w:val="24"/>
          <w:highlight w:val="none"/>
          <w:u w:val="single"/>
          <w:lang w:val="en-US" w:eastAsia="zh-CN"/>
        </w:rPr>
        <w:t>9</w:t>
      </w:r>
      <w:r>
        <w:rPr>
          <w:rFonts w:hint="eastAsia" w:asciiTheme="minorEastAsia" w:hAnsiTheme="minorEastAsia" w:eastAsiaTheme="minorEastAsia" w:cstheme="minorEastAsia"/>
          <w:sz w:val="24"/>
          <w:szCs w:val="24"/>
          <w:highlight w:val="none"/>
          <w:u w:val="single"/>
        </w:rPr>
        <w:t>月1</w:t>
      </w:r>
      <w:r>
        <w:rPr>
          <w:rFonts w:hint="eastAsia" w:asciiTheme="minorEastAsia" w:hAnsiTheme="minorEastAsia" w:eastAsiaTheme="minorEastAsia" w:cstheme="minorEastAsia"/>
          <w:sz w:val="24"/>
          <w:szCs w:val="24"/>
          <w:highlight w:val="none"/>
          <w:u w:val="single"/>
          <w:lang w:val="en-US" w:eastAsia="zh-CN"/>
        </w:rPr>
        <w:t>0</w:t>
      </w:r>
      <w:r>
        <w:rPr>
          <w:rFonts w:hint="eastAsia" w:asciiTheme="minorEastAsia" w:hAnsiTheme="minorEastAsia" w:eastAsiaTheme="minorEastAsia" w:cstheme="minorEastAsia"/>
          <w:sz w:val="24"/>
          <w:szCs w:val="24"/>
          <w:highlight w:val="none"/>
          <w:u w:val="single"/>
        </w:rPr>
        <w:t>日起至202</w:t>
      </w:r>
      <w:r>
        <w:rPr>
          <w:rFonts w:hint="eastAsia" w:asciiTheme="minorEastAsia" w:hAnsiTheme="minorEastAsia" w:eastAsiaTheme="minorEastAsia" w:cstheme="minorEastAsia"/>
          <w:sz w:val="24"/>
          <w:szCs w:val="24"/>
          <w:highlight w:val="none"/>
          <w:u w:val="single"/>
          <w:lang w:val="en-US" w:eastAsia="zh-CN"/>
        </w:rPr>
        <w:t>7</w:t>
      </w:r>
      <w:r>
        <w:rPr>
          <w:rFonts w:hint="eastAsia" w:asciiTheme="minorEastAsia" w:hAnsiTheme="minorEastAsia" w:eastAsiaTheme="minorEastAsia" w:cstheme="minorEastAsia"/>
          <w:sz w:val="24"/>
          <w:szCs w:val="24"/>
          <w:highlight w:val="none"/>
          <w:u w:val="single"/>
        </w:rPr>
        <w:t>年</w:t>
      </w:r>
      <w:r>
        <w:rPr>
          <w:rFonts w:hint="eastAsia" w:asciiTheme="minorEastAsia" w:hAnsiTheme="minorEastAsia" w:eastAsiaTheme="minorEastAsia" w:cstheme="minorEastAsia"/>
          <w:sz w:val="24"/>
          <w:szCs w:val="24"/>
          <w:highlight w:val="none"/>
          <w:u w:val="single"/>
          <w:lang w:val="en-US" w:eastAsia="zh-CN"/>
        </w:rPr>
        <w:t>9</w:t>
      </w:r>
      <w:r>
        <w:rPr>
          <w:rFonts w:hint="eastAsia" w:asciiTheme="minorEastAsia" w:hAnsiTheme="minorEastAsia" w:eastAsiaTheme="minorEastAsia" w:cstheme="minorEastAsia"/>
          <w:sz w:val="24"/>
          <w:szCs w:val="24"/>
          <w:highlight w:val="none"/>
          <w:u w:val="single"/>
        </w:rPr>
        <w:t>月</w:t>
      </w:r>
      <w:r>
        <w:rPr>
          <w:rFonts w:hint="eastAsia" w:asciiTheme="minorEastAsia" w:hAnsiTheme="minorEastAsia" w:eastAsiaTheme="minorEastAsia" w:cstheme="minorEastAsia"/>
          <w:sz w:val="24"/>
          <w:szCs w:val="24"/>
          <w:highlight w:val="none"/>
          <w:u w:val="single"/>
          <w:lang w:val="en-US" w:eastAsia="zh-CN"/>
        </w:rPr>
        <w:t>9</w:t>
      </w:r>
      <w:r>
        <w:rPr>
          <w:rFonts w:hint="eastAsia" w:asciiTheme="minorEastAsia" w:hAnsiTheme="minorEastAsia" w:eastAsiaTheme="minorEastAsia" w:cstheme="minorEastAsia"/>
          <w:sz w:val="24"/>
          <w:szCs w:val="24"/>
          <w:highlight w:val="none"/>
          <w:u w:val="single"/>
        </w:rPr>
        <w:t>日止）</w:t>
      </w:r>
      <w:r>
        <w:rPr>
          <w:rFonts w:hint="eastAsia" w:asciiTheme="minorEastAsia" w:hAnsiTheme="minorEastAsia" w:eastAsiaTheme="minorEastAsia" w:cstheme="minorEastAsia"/>
          <w:sz w:val="24"/>
          <w:szCs w:val="24"/>
          <w:highlight w:val="none"/>
          <w:u w:val="single"/>
          <w:lang w:eastAsia="zh-CN"/>
        </w:rPr>
        <w:t>。</w:t>
      </w:r>
    </w:p>
    <w:p w14:paraId="7AC73E7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4.基本情况：</w:t>
      </w:r>
    </w:p>
    <w:tbl>
      <w:tblPr>
        <w:tblStyle w:val="2"/>
        <w:tblW w:w="9072" w:type="dxa"/>
        <w:jc w:val="center"/>
        <w:tblLayout w:type="fixed"/>
        <w:tblCellMar>
          <w:top w:w="0" w:type="dxa"/>
          <w:left w:w="108" w:type="dxa"/>
          <w:bottom w:w="0" w:type="dxa"/>
          <w:right w:w="108" w:type="dxa"/>
        </w:tblCellMar>
      </w:tblPr>
      <w:tblGrid>
        <w:gridCol w:w="531"/>
        <w:gridCol w:w="1372"/>
        <w:gridCol w:w="7169"/>
      </w:tblGrid>
      <w:tr w14:paraId="44A7DF7B">
        <w:trPr>
          <w:trHeight w:val="270" w:hRule="atLeast"/>
          <w:jc w:val="center"/>
        </w:trPr>
        <w:tc>
          <w:tcPr>
            <w:tcW w:w="1903" w:type="dxa"/>
            <w:gridSpan w:val="2"/>
            <w:tcBorders>
              <w:top w:val="single" w:color="000000" w:sz="4" w:space="0"/>
              <w:left w:val="single" w:color="000000" w:sz="4" w:space="0"/>
              <w:bottom w:val="single" w:color="000000" w:sz="4" w:space="0"/>
              <w:right w:val="single" w:color="000000" w:sz="4" w:space="0"/>
            </w:tcBorders>
            <w:noWrap w:val="0"/>
            <w:vAlign w:val="center"/>
          </w:tcPr>
          <w:p w14:paraId="7EE355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物业项目名称</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2E7286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北京市人民检察院第四分院202</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年-202</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年物业管理服务采购项目</w:t>
            </w:r>
          </w:p>
        </w:tc>
      </w:tr>
      <w:tr w14:paraId="77CAEC00">
        <w:tblPrEx>
          <w:tblCellMar>
            <w:top w:w="0" w:type="dxa"/>
            <w:left w:w="108" w:type="dxa"/>
            <w:bottom w:w="0" w:type="dxa"/>
            <w:right w:w="108" w:type="dxa"/>
          </w:tblCellMar>
        </w:tblPrEx>
        <w:trPr>
          <w:trHeight w:val="270" w:hRule="atLeast"/>
          <w:jc w:val="center"/>
        </w:trPr>
        <w:tc>
          <w:tcPr>
            <w:tcW w:w="1903" w:type="dxa"/>
            <w:gridSpan w:val="2"/>
            <w:tcBorders>
              <w:top w:val="single" w:color="000000" w:sz="4" w:space="0"/>
              <w:left w:val="single" w:color="000000" w:sz="4" w:space="0"/>
              <w:bottom w:val="single" w:color="000000" w:sz="4" w:space="0"/>
              <w:right w:val="single" w:color="000000" w:sz="4" w:space="0"/>
            </w:tcBorders>
            <w:noWrap w:val="0"/>
            <w:vAlign w:val="center"/>
          </w:tcPr>
          <w:p w14:paraId="43EFF8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物业类型</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5DE0D1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机关事业类</w:t>
            </w:r>
          </w:p>
        </w:tc>
      </w:tr>
      <w:tr w14:paraId="29ECF10B">
        <w:tblPrEx>
          <w:tblCellMar>
            <w:top w:w="0" w:type="dxa"/>
            <w:left w:w="108" w:type="dxa"/>
            <w:bottom w:w="0" w:type="dxa"/>
            <w:right w:w="108" w:type="dxa"/>
          </w:tblCellMar>
        </w:tblPrEx>
        <w:trPr>
          <w:trHeight w:val="270" w:hRule="atLeast"/>
          <w:jc w:val="center"/>
        </w:trPr>
        <w:tc>
          <w:tcPr>
            <w:tcW w:w="1903" w:type="dxa"/>
            <w:gridSpan w:val="2"/>
            <w:tcBorders>
              <w:top w:val="single" w:color="000000" w:sz="4" w:space="0"/>
              <w:left w:val="single" w:color="000000" w:sz="4" w:space="0"/>
              <w:bottom w:val="single" w:color="000000" w:sz="4" w:space="0"/>
              <w:right w:val="single" w:color="000000" w:sz="4" w:space="0"/>
            </w:tcBorders>
            <w:noWrap w:val="0"/>
            <w:vAlign w:val="center"/>
          </w:tcPr>
          <w:p w14:paraId="725FBA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坐落位置</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61B331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北京市丰台区双林东路（街道）1号院3号楼</w:t>
            </w:r>
          </w:p>
        </w:tc>
      </w:tr>
      <w:tr w14:paraId="19C28F23">
        <w:tblPrEx>
          <w:tblCellMar>
            <w:top w:w="0" w:type="dxa"/>
            <w:left w:w="108" w:type="dxa"/>
            <w:bottom w:w="0" w:type="dxa"/>
            <w:right w:w="108" w:type="dxa"/>
          </w:tblCellMar>
        </w:tblPrEx>
        <w:trPr>
          <w:trHeight w:val="270" w:hRule="atLeast"/>
          <w:jc w:val="center"/>
        </w:trPr>
        <w:tc>
          <w:tcPr>
            <w:tcW w:w="1903" w:type="dxa"/>
            <w:gridSpan w:val="2"/>
            <w:tcBorders>
              <w:top w:val="single" w:color="000000" w:sz="4" w:space="0"/>
              <w:left w:val="single" w:color="000000" w:sz="4" w:space="0"/>
              <w:bottom w:val="single" w:color="000000" w:sz="4" w:space="0"/>
              <w:right w:val="single" w:color="000000" w:sz="4" w:space="0"/>
            </w:tcBorders>
            <w:noWrap w:val="0"/>
            <w:vAlign w:val="center"/>
          </w:tcPr>
          <w:p w14:paraId="56179D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四面边界至</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4C4212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东至双林东路南小屯1号路；西至北京燃气小屯调压站；北至国泰国际大厦；</w:t>
            </w:r>
          </w:p>
        </w:tc>
      </w:tr>
      <w:tr w14:paraId="5299E089">
        <w:tblPrEx>
          <w:tblCellMar>
            <w:top w:w="0" w:type="dxa"/>
            <w:left w:w="108" w:type="dxa"/>
            <w:bottom w:w="0" w:type="dxa"/>
            <w:right w:w="108" w:type="dxa"/>
          </w:tblCellMar>
        </w:tblPrEx>
        <w:trPr>
          <w:trHeight w:val="270" w:hRule="atLeast"/>
          <w:jc w:val="center"/>
        </w:trPr>
        <w:tc>
          <w:tcPr>
            <w:tcW w:w="1903" w:type="dxa"/>
            <w:gridSpan w:val="2"/>
            <w:tcBorders>
              <w:top w:val="single" w:color="000000" w:sz="4" w:space="0"/>
              <w:left w:val="single" w:color="000000" w:sz="4" w:space="0"/>
              <w:bottom w:val="single" w:color="000000" w:sz="4" w:space="0"/>
              <w:right w:val="single" w:color="000000" w:sz="4" w:space="0"/>
            </w:tcBorders>
            <w:noWrap w:val="0"/>
            <w:vAlign w:val="center"/>
          </w:tcPr>
          <w:p w14:paraId="46E607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占地面积</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5799AA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1515.06平方米；</w:t>
            </w:r>
          </w:p>
        </w:tc>
      </w:tr>
      <w:tr w14:paraId="015204CA">
        <w:tblPrEx>
          <w:tblCellMar>
            <w:top w:w="0" w:type="dxa"/>
            <w:left w:w="108" w:type="dxa"/>
            <w:bottom w:w="0" w:type="dxa"/>
            <w:right w:w="108" w:type="dxa"/>
          </w:tblCellMar>
        </w:tblPrEx>
        <w:trPr>
          <w:trHeight w:val="270" w:hRule="atLeast"/>
          <w:jc w:val="center"/>
        </w:trPr>
        <w:tc>
          <w:tcPr>
            <w:tcW w:w="1903" w:type="dxa"/>
            <w:gridSpan w:val="2"/>
            <w:tcBorders>
              <w:top w:val="single" w:color="000000" w:sz="4" w:space="0"/>
              <w:left w:val="single" w:color="000000" w:sz="4" w:space="0"/>
              <w:bottom w:val="single" w:color="000000" w:sz="4" w:space="0"/>
              <w:right w:val="single" w:color="000000" w:sz="4" w:space="0"/>
            </w:tcBorders>
            <w:noWrap w:val="0"/>
            <w:vAlign w:val="center"/>
          </w:tcPr>
          <w:p w14:paraId="776352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总建筑面积</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2C9DB12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14983.72平方米；</w:t>
            </w:r>
          </w:p>
        </w:tc>
      </w:tr>
      <w:tr w14:paraId="03AC3CB7">
        <w:tblPrEx>
          <w:tblCellMar>
            <w:top w:w="0" w:type="dxa"/>
            <w:left w:w="108" w:type="dxa"/>
            <w:bottom w:w="0" w:type="dxa"/>
            <w:right w:w="108" w:type="dxa"/>
          </w:tblCellMar>
        </w:tblPrEx>
        <w:trPr>
          <w:trHeight w:val="765" w:hRule="atLeast"/>
          <w:jc w:val="center"/>
        </w:trPr>
        <w:tc>
          <w:tcPr>
            <w:tcW w:w="531" w:type="dxa"/>
            <w:vMerge w:val="restart"/>
            <w:tcBorders>
              <w:top w:val="single" w:color="000000" w:sz="4" w:space="0"/>
              <w:left w:val="single" w:color="000000" w:sz="4" w:space="0"/>
              <w:bottom w:val="single" w:color="000000" w:sz="4" w:space="0"/>
              <w:right w:val="single" w:color="000000" w:sz="4" w:space="0"/>
            </w:tcBorders>
            <w:noWrap w:val="0"/>
            <w:vAlign w:val="center"/>
          </w:tcPr>
          <w:p w14:paraId="6DC05A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其中</w:t>
            </w:r>
          </w:p>
        </w:tc>
        <w:tc>
          <w:tcPr>
            <w:tcW w:w="1372" w:type="dxa"/>
            <w:tcBorders>
              <w:top w:val="single" w:color="000000" w:sz="4" w:space="0"/>
              <w:left w:val="single" w:color="000000" w:sz="4" w:space="0"/>
              <w:bottom w:val="single" w:color="000000" w:sz="4" w:space="0"/>
              <w:right w:val="single" w:color="000000" w:sz="4" w:space="0"/>
            </w:tcBorders>
            <w:noWrap w:val="0"/>
            <w:vAlign w:val="center"/>
          </w:tcPr>
          <w:p w14:paraId="148BA9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办公楼</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098376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14983.72平方米。其中带电梯办公楼1栋（高层7层，地下2层）；2层小楼1栋；</w:t>
            </w:r>
          </w:p>
        </w:tc>
      </w:tr>
      <w:tr w14:paraId="32EB4042">
        <w:tblPrEx>
          <w:tblCellMar>
            <w:top w:w="0" w:type="dxa"/>
            <w:left w:w="108" w:type="dxa"/>
            <w:bottom w:w="0" w:type="dxa"/>
            <w:right w:w="108" w:type="dxa"/>
          </w:tblCellMar>
        </w:tblPrEx>
        <w:trPr>
          <w:trHeight w:val="765" w:hRule="atLeast"/>
          <w:jc w:val="center"/>
        </w:trPr>
        <w:tc>
          <w:tcPr>
            <w:tcW w:w="5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89E4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p>
        </w:tc>
        <w:tc>
          <w:tcPr>
            <w:tcW w:w="1372" w:type="dxa"/>
            <w:tcBorders>
              <w:top w:val="single" w:color="000000" w:sz="4" w:space="0"/>
              <w:left w:val="single" w:color="000000" w:sz="4" w:space="0"/>
              <w:bottom w:val="single" w:color="000000" w:sz="4" w:space="0"/>
              <w:right w:val="single" w:color="000000" w:sz="4" w:space="0"/>
            </w:tcBorders>
            <w:noWrap w:val="0"/>
            <w:vAlign w:val="center"/>
          </w:tcPr>
          <w:p w14:paraId="0F8FDB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礼堂、报告厅、会议室</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4D0202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798平方米；</w:t>
            </w:r>
          </w:p>
        </w:tc>
      </w:tr>
      <w:tr w14:paraId="2B525B7A">
        <w:tblPrEx>
          <w:tblCellMar>
            <w:top w:w="0" w:type="dxa"/>
            <w:left w:w="108" w:type="dxa"/>
            <w:bottom w:w="0" w:type="dxa"/>
            <w:right w:w="108" w:type="dxa"/>
          </w:tblCellMar>
        </w:tblPrEx>
        <w:trPr>
          <w:trHeight w:val="270" w:hRule="atLeast"/>
          <w:jc w:val="center"/>
        </w:trPr>
        <w:tc>
          <w:tcPr>
            <w:tcW w:w="5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0AF9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p>
        </w:tc>
        <w:tc>
          <w:tcPr>
            <w:tcW w:w="1372" w:type="dxa"/>
            <w:tcBorders>
              <w:top w:val="single" w:color="000000" w:sz="4" w:space="0"/>
              <w:left w:val="single" w:color="000000" w:sz="4" w:space="0"/>
              <w:bottom w:val="single" w:color="000000" w:sz="4" w:space="0"/>
              <w:right w:val="single" w:color="000000" w:sz="4" w:space="0"/>
            </w:tcBorders>
            <w:noWrap w:val="0"/>
            <w:vAlign w:val="center"/>
          </w:tcPr>
          <w:p w14:paraId="5A4213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停车场</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58AC810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地下：1000平方米；</w:t>
            </w:r>
          </w:p>
        </w:tc>
      </w:tr>
      <w:tr w14:paraId="6B956002">
        <w:tblPrEx>
          <w:tblCellMar>
            <w:top w:w="0" w:type="dxa"/>
            <w:left w:w="108" w:type="dxa"/>
            <w:bottom w:w="0" w:type="dxa"/>
            <w:right w:w="108" w:type="dxa"/>
          </w:tblCellMar>
        </w:tblPrEx>
        <w:trPr>
          <w:trHeight w:val="765" w:hRule="atLeast"/>
          <w:jc w:val="center"/>
        </w:trPr>
        <w:tc>
          <w:tcPr>
            <w:tcW w:w="5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3747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p>
        </w:tc>
        <w:tc>
          <w:tcPr>
            <w:tcW w:w="1372" w:type="dxa"/>
            <w:tcBorders>
              <w:top w:val="single" w:color="000000" w:sz="4" w:space="0"/>
              <w:left w:val="single" w:color="000000" w:sz="4" w:space="0"/>
              <w:bottom w:val="single" w:color="000000" w:sz="4" w:space="0"/>
              <w:right w:val="single" w:color="000000" w:sz="4" w:space="0"/>
            </w:tcBorders>
            <w:noWrap w:val="0"/>
            <w:vAlign w:val="center"/>
          </w:tcPr>
          <w:p w14:paraId="61E1F4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其他（体育活动场所等）</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57734F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324平方米；</w:t>
            </w:r>
          </w:p>
        </w:tc>
      </w:tr>
      <w:tr w14:paraId="1B3C45FB">
        <w:tblPrEx>
          <w:tblCellMar>
            <w:top w:w="0" w:type="dxa"/>
            <w:left w:w="108" w:type="dxa"/>
            <w:bottom w:w="0" w:type="dxa"/>
            <w:right w:w="108" w:type="dxa"/>
          </w:tblCellMar>
        </w:tblPrEx>
        <w:trPr>
          <w:trHeight w:val="270" w:hRule="atLeast"/>
          <w:jc w:val="center"/>
        </w:trPr>
        <w:tc>
          <w:tcPr>
            <w:tcW w:w="1903" w:type="dxa"/>
            <w:gridSpan w:val="2"/>
            <w:tcBorders>
              <w:top w:val="single" w:color="000000" w:sz="4" w:space="0"/>
              <w:left w:val="single" w:color="000000" w:sz="4" w:space="0"/>
              <w:bottom w:val="single" w:color="000000" w:sz="4" w:space="0"/>
              <w:right w:val="single" w:color="000000" w:sz="4" w:space="0"/>
            </w:tcBorders>
            <w:noWrap w:val="0"/>
            <w:vAlign w:val="center"/>
          </w:tcPr>
          <w:p w14:paraId="186DB0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院区车辆出入口</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430D4A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2个；</w:t>
            </w:r>
          </w:p>
        </w:tc>
      </w:tr>
      <w:tr w14:paraId="66C5212C">
        <w:tblPrEx>
          <w:tblCellMar>
            <w:top w:w="0" w:type="dxa"/>
            <w:left w:w="108" w:type="dxa"/>
            <w:bottom w:w="0" w:type="dxa"/>
            <w:right w:w="108" w:type="dxa"/>
          </w:tblCellMar>
        </w:tblPrEx>
        <w:trPr>
          <w:trHeight w:val="270" w:hRule="atLeast"/>
          <w:jc w:val="center"/>
        </w:trPr>
        <w:tc>
          <w:tcPr>
            <w:tcW w:w="1903" w:type="dxa"/>
            <w:gridSpan w:val="2"/>
            <w:tcBorders>
              <w:top w:val="single" w:color="000000" w:sz="4" w:space="0"/>
              <w:left w:val="single" w:color="000000" w:sz="4" w:space="0"/>
              <w:bottom w:val="single" w:color="000000" w:sz="4" w:space="0"/>
              <w:right w:val="single" w:color="000000" w:sz="4" w:space="0"/>
            </w:tcBorders>
            <w:noWrap w:val="0"/>
            <w:vAlign w:val="center"/>
          </w:tcPr>
          <w:p w14:paraId="077F9C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人行出入口</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186DD6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1个；</w:t>
            </w:r>
          </w:p>
        </w:tc>
      </w:tr>
      <w:tr w14:paraId="3635A6C8">
        <w:tblPrEx>
          <w:tblCellMar>
            <w:top w:w="0" w:type="dxa"/>
            <w:left w:w="108" w:type="dxa"/>
            <w:bottom w:w="0" w:type="dxa"/>
            <w:right w:w="108" w:type="dxa"/>
          </w:tblCellMar>
        </w:tblPrEx>
        <w:trPr>
          <w:trHeight w:val="510" w:hRule="atLeast"/>
          <w:jc w:val="center"/>
        </w:trPr>
        <w:tc>
          <w:tcPr>
            <w:tcW w:w="1903" w:type="dxa"/>
            <w:gridSpan w:val="2"/>
            <w:tcBorders>
              <w:top w:val="single" w:color="000000" w:sz="4" w:space="0"/>
              <w:left w:val="single" w:color="000000" w:sz="4" w:space="0"/>
              <w:bottom w:val="single" w:color="000000" w:sz="4" w:space="0"/>
              <w:right w:val="single" w:color="000000" w:sz="4" w:space="0"/>
            </w:tcBorders>
            <w:noWrap w:val="0"/>
            <w:vAlign w:val="center"/>
          </w:tcPr>
          <w:p w14:paraId="6B7C11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管道系统</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0013BA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污水管长100米，污水检查井5座；雨水管长250米，雨水检查井12座，雨水进水井14座；</w:t>
            </w:r>
          </w:p>
        </w:tc>
      </w:tr>
      <w:tr w14:paraId="54035C95">
        <w:tblPrEx>
          <w:tblCellMar>
            <w:top w:w="0" w:type="dxa"/>
            <w:left w:w="108" w:type="dxa"/>
            <w:bottom w:w="0" w:type="dxa"/>
            <w:right w:w="108" w:type="dxa"/>
          </w:tblCellMar>
        </w:tblPrEx>
        <w:trPr>
          <w:trHeight w:val="270" w:hRule="atLeast"/>
          <w:jc w:val="center"/>
        </w:trPr>
        <w:tc>
          <w:tcPr>
            <w:tcW w:w="1903" w:type="dxa"/>
            <w:gridSpan w:val="2"/>
            <w:tcBorders>
              <w:top w:val="single" w:color="000000" w:sz="4" w:space="0"/>
              <w:left w:val="single" w:color="000000" w:sz="4" w:space="0"/>
              <w:bottom w:val="single" w:color="000000" w:sz="4" w:space="0"/>
              <w:right w:val="single" w:color="000000" w:sz="4" w:space="0"/>
            </w:tcBorders>
            <w:noWrap w:val="0"/>
            <w:vAlign w:val="center"/>
          </w:tcPr>
          <w:p w14:paraId="192CDE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停车场</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206757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1处；</w:t>
            </w:r>
          </w:p>
        </w:tc>
      </w:tr>
      <w:tr w14:paraId="19E03189">
        <w:tblPrEx>
          <w:tblCellMar>
            <w:top w:w="0" w:type="dxa"/>
            <w:left w:w="108" w:type="dxa"/>
            <w:bottom w:w="0" w:type="dxa"/>
            <w:right w:w="108" w:type="dxa"/>
          </w:tblCellMar>
        </w:tblPrEx>
        <w:trPr>
          <w:trHeight w:val="765" w:hRule="atLeast"/>
          <w:jc w:val="center"/>
        </w:trPr>
        <w:tc>
          <w:tcPr>
            <w:tcW w:w="1903" w:type="dxa"/>
            <w:gridSpan w:val="2"/>
            <w:tcBorders>
              <w:top w:val="single" w:color="000000" w:sz="4" w:space="0"/>
              <w:left w:val="single" w:color="000000" w:sz="4" w:space="0"/>
              <w:bottom w:val="single" w:color="000000" w:sz="4" w:space="0"/>
              <w:right w:val="single" w:color="000000" w:sz="4" w:space="0"/>
            </w:tcBorders>
            <w:noWrap w:val="0"/>
            <w:vAlign w:val="center"/>
          </w:tcPr>
          <w:p w14:paraId="4D5784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电梯</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76F981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共4台：2台客梯功率13千瓦，品牌型号MCA-1150-C0105；1台食堂电梯功率6.7千瓦，品牌型号LGE-1050-C060；1台办案电梯功率5.3千瓦，品牌型号LGE-825-C060；</w:t>
            </w:r>
          </w:p>
        </w:tc>
      </w:tr>
      <w:tr w14:paraId="1F81647D">
        <w:tblPrEx>
          <w:tblCellMar>
            <w:top w:w="0" w:type="dxa"/>
            <w:left w:w="108" w:type="dxa"/>
            <w:bottom w:w="0" w:type="dxa"/>
            <w:right w:w="108" w:type="dxa"/>
          </w:tblCellMar>
        </w:tblPrEx>
        <w:trPr>
          <w:trHeight w:val="270" w:hRule="atLeast"/>
          <w:jc w:val="center"/>
        </w:trPr>
        <w:tc>
          <w:tcPr>
            <w:tcW w:w="1903" w:type="dxa"/>
            <w:gridSpan w:val="2"/>
            <w:tcBorders>
              <w:top w:val="single" w:color="000000" w:sz="4" w:space="0"/>
              <w:left w:val="single" w:color="000000" w:sz="4" w:space="0"/>
              <w:bottom w:val="single" w:color="000000" w:sz="4" w:space="0"/>
              <w:right w:val="single" w:color="000000" w:sz="4" w:space="0"/>
            </w:tcBorders>
            <w:noWrap w:val="0"/>
            <w:vAlign w:val="center"/>
          </w:tcPr>
          <w:p w14:paraId="4FA685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配电房变压器</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280E9E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2台；</w:t>
            </w:r>
          </w:p>
        </w:tc>
      </w:tr>
      <w:tr w14:paraId="16EF4D99">
        <w:tblPrEx>
          <w:tblCellMar>
            <w:top w:w="0" w:type="dxa"/>
            <w:left w:w="108" w:type="dxa"/>
            <w:bottom w:w="0" w:type="dxa"/>
            <w:right w:w="108" w:type="dxa"/>
          </w:tblCellMar>
        </w:tblPrEx>
        <w:trPr>
          <w:trHeight w:val="510" w:hRule="atLeast"/>
          <w:jc w:val="center"/>
        </w:trPr>
        <w:tc>
          <w:tcPr>
            <w:tcW w:w="1903" w:type="dxa"/>
            <w:gridSpan w:val="2"/>
            <w:tcBorders>
              <w:top w:val="single" w:color="000000" w:sz="4" w:space="0"/>
              <w:left w:val="single" w:color="000000" w:sz="4" w:space="0"/>
              <w:bottom w:val="single" w:color="000000" w:sz="4" w:space="0"/>
              <w:right w:val="single" w:color="000000" w:sz="4" w:space="0"/>
            </w:tcBorders>
            <w:noWrap w:val="0"/>
            <w:vAlign w:val="center"/>
          </w:tcPr>
          <w:p w14:paraId="5378A3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给排水系统</w:t>
            </w:r>
          </w:p>
        </w:tc>
        <w:tc>
          <w:tcPr>
            <w:tcW w:w="7169" w:type="dxa"/>
            <w:tcBorders>
              <w:top w:val="single" w:color="000000" w:sz="4" w:space="0"/>
              <w:left w:val="single" w:color="000000" w:sz="4" w:space="0"/>
              <w:bottom w:val="single" w:color="000000" w:sz="4" w:space="0"/>
              <w:right w:val="single" w:color="000000" w:sz="4" w:space="0"/>
            </w:tcBorders>
            <w:noWrap w:val="0"/>
            <w:vAlign w:val="center"/>
          </w:tcPr>
          <w:p w14:paraId="598B44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生活水泵2台，功率为4千瓦/台；排污水泵8台，功率为2千瓦/台，启用时间2018。</w:t>
            </w:r>
          </w:p>
        </w:tc>
      </w:tr>
    </w:tbl>
    <w:p w14:paraId="17294DC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highlight w:val="none"/>
        </w:rPr>
      </w:pPr>
    </w:p>
    <w:p w14:paraId="18C7742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5.带电梯办公楼各楼宇各层功能分布情况：</w:t>
      </w:r>
    </w:p>
    <w:tbl>
      <w:tblPr>
        <w:tblStyle w:val="2"/>
        <w:tblW w:w="9070" w:type="dxa"/>
        <w:jc w:val="center"/>
        <w:tblLayout w:type="fixed"/>
        <w:tblCellMar>
          <w:top w:w="0" w:type="dxa"/>
          <w:left w:w="108" w:type="dxa"/>
          <w:bottom w:w="0" w:type="dxa"/>
          <w:right w:w="108" w:type="dxa"/>
        </w:tblCellMar>
      </w:tblPr>
      <w:tblGrid>
        <w:gridCol w:w="963"/>
        <w:gridCol w:w="8107"/>
      </w:tblGrid>
      <w:tr w14:paraId="192EEB49">
        <w:tblPrEx>
          <w:tblCellMar>
            <w:top w:w="0" w:type="dxa"/>
            <w:left w:w="108" w:type="dxa"/>
            <w:bottom w:w="0" w:type="dxa"/>
            <w:right w:w="108" w:type="dxa"/>
          </w:tblCellMar>
        </w:tblPrEx>
        <w:trPr>
          <w:trHeight w:val="615" w:hRule="atLeast"/>
          <w:jc w:val="center"/>
        </w:trPr>
        <w:tc>
          <w:tcPr>
            <w:tcW w:w="963" w:type="dxa"/>
            <w:tcBorders>
              <w:top w:val="single" w:color="000000" w:sz="4" w:space="0"/>
              <w:left w:val="single" w:color="000000" w:sz="4" w:space="0"/>
              <w:bottom w:val="single" w:color="000000" w:sz="4" w:space="0"/>
              <w:right w:val="single" w:color="000000" w:sz="4" w:space="0"/>
            </w:tcBorders>
            <w:noWrap w:val="0"/>
            <w:vAlign w:val="center"/>
          </w:tcPr>
          <w:p w14:paraId="6A7E739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楼层</w:t>
            </w:r>
          </w:p>
        </w:tc>
        <w:tc>
          <w:tcPr>
            <w:tcW w:w="8107" w:type="dxa"/>
            <w:tcBorders>
              <w:top w:val="single" w:color="000000" w:sz="4" w:space="0"/>
              <w:left w:val="single" w:color="000000" w:sz="4" w:space="0"/>
              <w:bottom w:val="single" w:color="000000" w:sz="4" w:space="0"/>
              <w:right w:val="single" w:color="000000" w:sz="4" w:space="0"/>
            </w:tcBorders>
            <w:noWrap w:val="0"/>
            <w:vAlign w:val="center"/>
          </w:tcPr>
          <w:p w14:paraId="707C101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功能分布情况</w:t>
            </w:r>
          </w:p>
        </w:tc>
      </w:tr>
      <w:tr w14:paraId="264B0185">
        <w:tblPrEx>
          <w:tblCellMar>
            <w:top w:w="0" w:type="dxa"/>
            <w:left w:w="108" w:type="dxa"/>
            <w:bottom w:w="0" w:type="dxa"/>
            <w:right w:w="108" w:type="dxa"/>
          </w:tblCellMar>
        </w:tblPrEx>
        <w:trPr>
          <w:trHeight w:val="615" w:hRule="atLeast"/>
          <w:jc w:val="center"/>
        </w:trPr>
        <w:tc>
          <w:tcPr>
            <w:tcW w:w="963" w:type="dxa"/>
            <w:tcBorders>
              <w:top w:val="single" w:color="000000" w:sz="4" w:space="0"/>
              <w:left w:val="single" w:color="000000" w:sz="4" w:space="0"/>
              <w:bottom w:val="single" w:color="000000" w:sz="4" w:space="0"/>
              <w:right w:val="single" w:color="000000" w:sz="4" w:space="0"/>
            </w:tcBorders>
            <w:noWrap w:val="0"/>
            <w:vAlign w:val="center"/>
          </w:tcPr>
          <w:p w14:paraId="1345672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地下2F</w:t>
            </w:r>
          </w:p>
        </w:tc>
        <w:tc>
          <w:tcPr>
            <w:tcW w:w="8107" w:type="dxa"/>
            <w:tcBorders>
              <w:top w:val="single" w:color="000000" w:sz="4" w:space="0"/>
              <w:left w:val="single" w:color="000000" w:sz="4" w:space="0"/>
              <w:bottom w:val="single" w:color="000000" w:sz="4" w:space="0"/>
              <w:right w:val="single" w:color="000000" w:sz="4" w:space="0"/>
            </w:tcBorders>
            <w:noWrap w:val="0"/>
            <w:vAlign w:val="center"/>
          </w:tcPr>
          <w:p w14:paraId="4C2ACFF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车库；</w:t>
            </w:r>
          </w:p>
        </w:tc>
      </w:tr>
      <w:tr w14:paraId="2D486B90">
        <w:tblPrEx>
          <w:tblCellMar>
            <w:top w:w="0" w:type="dxa"/>
            <w:left w:w="108" w:type="dxa"/>
            <w:bottom w:w="0" w:type="dxa"/>
            <w:right w:w="108" w:type="dxa"/>
          </w:tblCellMar>
        </w:tblPrEx>
        <w:trPr>
          <w:trHeight w:val="615" w:hRule="atLeast"/>
          <w:jc w:val="center"/>
        </w:trPr>
        <w:tc>
          <w:tcPr>
            <w:tcW w:w="963" w:type="dxa"/>
            <w:tcBorders>
              <w:top w:val="single" w:color="000000" w:sz="4" w:space="0"/>
              <w:left w:val="single" w:color="000000" w:sz="4" w:space="0"/>
              <w:bottom w:val="single" w:color="000000" w:sz="4" w:space="0"/>
              <w:right w:val="single" w:color="000000" w:sz="4" w:space="0"/>
            </w:tcBorders>
            <w:noWrap w:val="0"/>
            <w:vAlign w:val="center"/>
          </w:tcPr>
          <w:p w14:paraId="1735B2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地下1F</w:t>
            </w:r>
          </w:p>
        </w:tc>
        <w:tc>
          <w:tcPr>
            <w:tcW w:w="8107" w:type="dxa"/>
            <w:tcBorders>
              <w:top w:val="single" w:color="000000" w:sz="4" w:space="0"/>
              <w:left w:val="single" w:color="000000" w:sz="4" w:space="0"/>
              <w:bottom w:val="single" w:color="000000" w:sz="4" w:space="0"/>
              <w:right w:val="single" w:color="000000" w:sz="4" w:space="0"/>
            </w:tcBorders>
            <w:noWrap w:val="0"/>
            <w:vAlign w:val="center"/>
          </w:tcPr>
          <w:p w14:paraId="1E3F9D1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设备用房（高压配电）、洗衣房、职工浴室、司机等候室、办案大厅；</w:t>
            </w:r>
          </w:p>
        </w:tc>
      </w:tr>
      <w:tr w14:paraId="7CCFC1E8">
        <w:tblPrEx>
          <w:tblCellMar>
            <w:top w:w="0" w:type="dxa"/>
            <w:left w:w="108" w:type="dxa"/>
            <w:bottom w:w="0" w:type="dxa"/>
            <w:right w:w="108" w:type="dxa"/>
          </w:tblCellMar>
        </w:tblPrEx>
        <w:trPr>
          <w:trHeight w:val="615" w:hRule="atLeast"/>
          <w:jc w:val="center"/>
        </w:trPr>
        <w:tc>
          <w:tcPr>
            <w:tcW w:w="963" w:type="dxa"/>
            <w:tcBorders>
              <w:top w:val="single" w:color="000000" w:sz="4" w:space="0"/>
              <w:left w:val="single" w:color="000000" w:sz="4" w:space="0"/>
              <w:bottom w:val="single" w:color="000000" w:sz="4" w:space="0"/>
              <w:right w:val="single" w:color="000000" w:sz="4" w:space="0"/>
            </w:tcBorders>
            <w:noWrap w:val="0"/>
            <w:vAlign w:val="center"/>
          </w:tcPr>
          <w:p w14:paraId="579A46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1F</w:t>
            </w:r>
          </w:p>
        </w:tc>
        <w:tc>
          <w:tcPr>
            <w:tcW w:w="8107" w:type="dxa"/>
            <w:tcBorders>
              <w:top w:val="single" w:color="000000" w:sz="4" w:space="0"/>
              <w:left w:val="single" w:color="000000" w:sz="4" w:space="0"/>
              <w:bottom w:val="single" w:color="000000" w:sz="4" w:space="0"/>
              <w:right w:val="single" w:color="000000" w:sz="4" w:space="0"/>
            </w:tcBorders>
            <w:noWrap w:val="0"/>
            <w:vAlign w:val="center"/>
          </w:tcPr>
          <w:p w14:paraId="2FCA32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大厅、会议室、活动室、值班室、接待室、卫生间；</w:t>
            </w:r>
          </w:p>
        </w:tc>
      </w:tr>
      <w:tr w14:paraId="060CB58E">
        <w:tblPrEx>
          <w:tblCellMar>
            <w:top w:w="0" w:type="dxa"/>
            <w:left w:w="108" w:type="dxa"/>
            <w:bottom w:w="0" w:type="dxa"/>
            <w:right w:w="108" w:type="dxa"/>
          </w:tblCellMar>
        </w:tblPrEx>
        <w:trPr>
          <w:trHeight w:val="615" w:hRule="atLeast"/>
          <w:jc w:val="center"/>
        </w:trPr>
        <w:tc>
          <w:tcPr>
            <w:tcW w:w="963" w:type="dxa"/>
            <w:tcBorders>
              <w:top w:val="single" w:color="000000" w:sz="4" w:space="0"/>
              <w:left w:val="single" w:color="000000" w:sz="4" w:space="0"/>
              <w:bottom w:val="single" w:color="000000" w:sz="4" w:space="0"/>
              <w:right w:val="single" w:color="000000" w:sz="4" w:space="0"/>
            </w:tcBorders>
            <w:noWrap w:val="0"/>
            <w:vAlign w:val="center"/>
          </w:tcPr>
          <w:p w14:paraId="6AD331B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2F</w:t>
            </w:r>
          </w:p>
        </w:tc>
        <w:tc>
          <w:tcPr>
            <w:tcW w:w="8107" w:type="dxa"/>
            <w:tcBorders>
              <w:top w:val="single" w:color="000000" w:sz="4" w:space="0"/>
              <w:left w:val="single" w:color="000000" w:sz="4" w:space="0"/>
              <w:bottom w:val="single" w:color="000000" w:sz="4" w:space="0"/>
              <w:right w:val="single" w:color="000000" w:sz="4" w:space="0"/>
            </w:tcBorders>
            <w:noWrap w:val="0"/>
            <w:vAlign w:val="center"/>
          </w:tcPr>
          <w:p w14:paraId="729288B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公共区间（会议室、活动室、卫生间、洗浴间、机房等），办公室、仓库等；</w:t>
            </w:r>
          </w:p>
        </w:tc>
      </w:tr>
      <w:tr w14:paraId="639A755F">
        <w:tblPrEx>
          <w:tblCellMar>
            <w:top w:w="0" w:type="dxa"/>
            <w:left w:w="108" w:type="dxa"/>
            <w:bottom w:w="0" w:type="dxa"/>
            <w:right w:w="108" w:type="dxa"/>
          </w:tblCellMar>
        </w:tblPrEx>
        <w:trPr>
          <w:trHeight w:val="615" w:hRule="atLeast"/>
          <w:jc w:val="center"/>
        </w:trPr>
        <w:tc>
          <w:tcPr>
            <w:tcW w:w="963" w:type="dxa"/>
            <w:tcBorders>
              <w:top w:val="single" w:color="000000" w:sz="4" w:space="0"/>
              <w:left w:val="single" w:color="000000" w:sz="4" w:space="0"/>
              <w:bottom w:val="single" w:color="000000" w:sz="4" w:space="0"/>
              <w:right w:val="single" w:color="000000" w:sz="4" w:space="0"/>
            </w:tcBorders>
            <w:noWrap w:val="0"/>
            <w:vAlign w:val="center"/>
          </w:tcPr>
          <w:p w14:paraId="6AD82A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3F</w:t>
            </w:r>
          </w:p>
        </w:tc>
        <w:tc>
          <w:tcPr>
            <w:tcW w:w="8107" w:type="dxa"/>
            <w:tcBorders>
              <w:top w:val="single" w:color="000000" w:sz="4" w:space="0"/>
              <w:left w:val="single" w:color="000000" w:sz="4" w:space="0"/>
              <w:bottom w:val="single" w:color="000000" w:sz="4" w:space="0"/>
              <w:right w:val="single" w:color="000000" w:sz="4" w:space="0"/>
            </w:tcBorders>
            <w:noWrap w:val="0"/>
            <w:vAlign w:val="center"/>
          </w:tcPr>
          <w:p w14:paraId="0D9B46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公共区间（会议室、卫生间），办公室、仓库等；</w:t>
            </w:r>
          </w:p>
        </w:tc>
      </w:tr>
      <w:tr w14:paraId="2D53238D">
        <w:tblPrEx>
          <w:tblCellMar>
            <w:top w:w="0" w:type="dxa"/>
            <w:left w:w="108" w:type="dxa"/>
            <w:bottom w:w="0" w:type="dxa"/>
            <w:right w:w="108" w:type="dxa"/>
          </w:tblCellMar>
        </w:tblPrEx>
        <w:trPr>
          <w:trHeight w:val="615" w:hRule="atLeast"/>
          <w:jc w:val="center"/>
        </w:trPr>
        <w:tc>
          <w:tcPr>
            <w:tcW w:w="963" w:type="dxa"/>
            <w:tcBorders>
              <w:top w:val="single" w:color="000000" w:sz="4" w:space="0"/>
              <w:left w:val="single" w:color="000000" w:sz="4" w:space="0"/>
              <w:bottom w:val="single" w:color="000000" w:sz="4" w:space="0"/>
              <w:right w:val="single" w:color="000000" w:sz="4" w:space="0"/>
            </w:tcBorders>
            <w:noWrap w:val="0"/>
            <w:vAlign w:val="center"/>
          </w:tcPr>
          <w:p w14:paraId="52DBC2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4F</w:t>
            </w:r>
          </w:p>
        </w:tc>
        <w:tc>
          <w:tcPr>
            <w:tcW w:w="8107" w:type="dxa"/>
            <w:tcBorders>
              <w:top w:val="single" w:color="000000" w:sz="4" w:space="0"/>
              <w:left w:val="single" w:color="000000" w:sz="4" w:space="0"/>
              <w:bottom w:val="single" w:color="000000" w:sz="4" w:space="0"/>
              <w:right w:val="single" w:color="000000" w:sz="4" w:space="0"/>
            </w:tcBorders>
            <w:noWrap w:val="0"/>
            <w:vAlign w:val="center"/>
          </w:tcPr>
          <w:p w14:paraId="70FAD2D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公共区间（会议室、卫生间），办公室；</w:t>
            </w:r>
          </w:p>
        </w:tc>
      </w:tr>
      <w:tr w14:paraId="722B5278">
        <w:tblPrEx>
          <w:tblCellMar>
            <w:top w:w="0" w:type="dxa"/>
            <w:left w:w="108" w:type="dxa"/>
            <w:bottom w:w="0" w:type="dxa"/>
            <w:right w:w="108" w:type="dxa"/>
          </w:tblCellMar>
        </w:tblPrEx>
        <w:trPr>
          <w:trHeight w:val="615" w:hRule="atLeast"/>
          <w:jc w:val="center"/>
        </w:trPr>
        <w:tc>
          <w:tcPr>
            <w:tcW w:w="963" w:type="dxa"/>
            <w:tcBorders>
              <w:top w:val="single" w:color="000000" w:sz="4" w:space="0"/>
              <w:left w:val="single" w:color="000000" w:sz="4" w:space="0"/>
              <w:bottom w:val="single" w:color="000000" w:sz="4" w:space="0"/>
              <w:right w:val="single" w:color="000000" w:sz="4" w:space="0"/>
            </w:tcBorders>
            <w:noWrap w:val="0"/>
            <w:vAlign w:val="center"/>
          </w:tcPr>
          <w:p w14:paraId="033D7D0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5F</w:t>
            </w:r>
          </w:p>
        </w:tc>
        <w:tc>
          <w:tcPr>
            <w:tcW w:w="8107" w:type="dxa"/>
            <w:tcBorders>
              <w:top w:val="single" w:color="000000" w:sz="4" w:space="0"/>
              <w:left w:val="single" w:color="000000" w:sz="4" w:space="0"/>
              <w:bottom w:val="single" w:color="000000" w:sz="4" w:space="0"/>
              <w:right w:val="single" w:color="000000" w:sz="4" w:space="0"/>
            </w:tcBorders>
            <w:noWrap w:val="0"/>
            <w:vAlign w:val="center"/>
          </w:tcPr>
          <w:p w14:paraId="5B9F7D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公共区间（会议室、卫生间），办公室；</w:t>
            </w:r>
          </w:p>
        </w:tc>
      </w:tr>
      <w:tr w14:paraId="799081AC">
        <w:tblPrEx>
          <w:tblCellMar>
            <w:top w:w="0" w:type="dxa"/>
            <w:left w:w="108" w:type="dxa"/>
            <w:bottom w:w="0" w:type="dxa"/>
            <w:right w:w="108" w:type="dxa"/>
          </w:tblCellMar>
        </w:tblPrEx>
        <w:trPr>
          <w:trHeight w:val="615" w:hRule="atLeast"/>
          <w:jc w:val="center"/>
        </w:trPr>
        <w:tc>
          <w:tcPr>
            <w:tcW w:w="963" w:type="dxa"/>
            <w:tcBorders>
              <w:top w:val="single" w:color="000000" w:sz="4" w:space="0"/>
              <w:left w:val="single" w:color="000000" w:sz="4" w:space="0"/>
              <w:bottom w:val="single" w:color="000000" w:sz="4" w:space="0"/>
              <w:right w:val="single" w:color="000000" w:sz="4" w:space="0"/>
            </w:tcBorders>
            <w:noWrap w:val="0"/>
            <w:vAlign w:val="center"/>
          </w:tcPr>
          <w:p w14:paraId="354FEBB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6F</w:t>
            </w:r>
          </w:p>
        </w:tc>
        <w:tc>
          <w:tcPr>
            <w:tcW w:w="8107" w:type="dxa"/>
            <w:tcBorders>
              <w:top w:val="single" w:color="000000" w:sz="4" w:space="0"/>
              <w:left w:val="single" w:color="000000" w:sz="4" w:space="0"/>
              <w:bottom w:val="single" w:color="000000" w:sz="4" w:space="0"/>
              <w:right w:val="single" w:color="000000" w:sz="4" w:space="0"/>
            </w:tcBorders>
            <w:noWrap w:val="0"/>
            <w:vAlign w:val="center"/>
          </w:tcPr>
          <w:p w14:paraId="7186B55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公共区间（会议室、卫生间），办公室；</w:t>
            </w:r>
          </w:p>
        </w:tc>
      </w:tr>
      <w:tr w14:paraId="2885AAE8">
        <w:tblPrEx>
          <w:tblCellMar>
            <w:top w:w="0" w:type="dxa"/>
            <w:left w:w="108" w:type="dxa"/>
            <w:bottom w:w="0" w:type="dxa"/>
            <w:right w:w="108" w:type="dxa"/>
          </w:tblCellMar>
        </w:tblPrEx>
        <w:trPr>
          <w:trHeight w:val="615" w:hRule="atLeast"/>
          <w:jc w:val="center"/>
        </w:trPr>
        <w:tc>
          <w:tcPr>
            <w:tcW w:w="963" w:type="dxa"/>
            <w:tcBorders>
              <w:top w:val="single" w:color="000000" w:sz="4" w:space="0"/>
              <w:left w:val="single" w:color="000000" w:sz="4" w:space="0"/>
              <w:bottom w:val="single" w:color="000000" w:sz="4" w:space="0"/>
              <w:right w:val="single" w:color="000000" w:sz="4" w:space="0"/>
            </w:tcBorders>
            <w:noWrap w:val="0"/>
            <w:vAlign w:val="center"/>
          </w:tcPr>
          <w:p w14:paraId="2362255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7F</w:t>
            </w:r>
          </w:p>
        </w:tc>
        <w:tc>
          <w:tcPr>
            <w:tcW w:w="8107" w:type="dxa"/>
            <w:tcBorders>
              <w:top w:val="single" w:color="000000" w:sz="4" w:space="0"/>
              <w:left w:val="single" w:color="000000" w:sz="4" w:space="0"/>
              <w:bottom w:val="single" w:color="000000" w:sz="4" w:space="0"/>
              <w:right w:val="single" w:color="000000" w:sz="4" w:space="0"/>
            </w:tcBorders>
            <w:noWrap w:val="0"/>
            <w:vAlign w:val="center"/>
          </w:tcPr>
          <w:p w14:paraId="1902E8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公共区间（会议室、卫生间），办公室。</w:t>
            </w:r>
          </w:p>
        </w:tc>
      </w:tr>
    </w:tbl>
    <w:p w14:paraId="6423D30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highlight w:val="none"/>
        </w:rPr>
      </w:pPr>
    </w:p>
    <w:p w14:paraId="60E1CDA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6.二层小楼各层功能分布情况：</w:t>
      </w:r>
    </w:p>
    <w:tbl>
      <w:tblPr>
        <w:tblStyle w:val="2"/>
        <w:tblW w:w="9070" w:type="dxa"/>
        <w:jc w:val="center"/>
        <w:tblLayout w:type="fixed"/>
        <w:tblCellMar>
          <w:top w:w="0" w:type="dxa"/>
          <w:left w:w="108" w:type="dxa"/>
          <w:bottom w:w="0" w:type="dxa"/>
          <w:right w:w="108" w:type="dxa"/>
        </w:tblCellMar>
      </w:tblPr>
      <w:tblGrid>
        <w:gridCol w:w="1303"/>
        <w:gridCol w:w="7767"/>
      </w:tblGrid>
      <w:tr w14:paraId="3BBFF95F">
        <w:tblPrEx>
          <w:tblCellMar>
            <w:top w:w="0" w:type="dxa"/>
            <w:left w:w="108" w:type="dxa"/>
            <w:bottom w:w="0" w:type="dxa"/>
            <w:right w:w="108" w:type="dxa"/>
          </w:tblCellMar>
        </w:tblPrEx>
        <w:trPr>
          <w:trHeight w:val="468" w:hRule="atLeast"/>
          <w:jc w:val="center"/>
        </w:trPr>
        <w:tc>
          <w:tcPr>
            <w:tcW w:w="1303" w:type="dxa"/>
            <w:tcBorders>
              <w:top w:val="single" w:color="000000" w:sz="4" w:space="0"/>
              <w:left w:val="single" w:color="000000" w:sz="4" w:space="0"/>
              <w:bottom w:val="single" w:color="000000" w:sz="4" w:space="0"/>
              <w:right w:val="single" w:color="000000" w:sz="4" w:space="0"/>
            </w:tcBorders>
            <w:noWrap w:val="0"/>
            <w:vAlign w:val="center"/>
          </w:tcPr>
          <w:p w14:paraId="1F821E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楼层</w:t>
            </w:r>
          </w:p>
        </w:tc>
        <w:tc>
          <w:tcPr>
            <w:tcW w:w="7767" w:type="dxa"/>
            <w:tcBorders>
              <w:top w:val="single" w:color="000000" w:sz="4" w:space="0"/>
              <w:left w:val="single" w:color="000000" w:sz="4" w:space="0"/>
              <w:bottom w:val="single" w:color="000000" w:sz="4" w:space="0"/>
              <w:right w:val="single" w:color="000000" w:sz="4" w:space="0"/>
            </w:tcBorders>
            <w:noWrap w:val="0"/>
            <w:vAlign w:val="center"/>
          </w:tcPr>
          <w:p w14:paraId="48F3BB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功能分布情况</w:t>
            </w:r>
          </w:p>
        </w:tc>
      </w:tr>
      <w:tr w14:paraId="0B74697D">
        <w:tblPrEx>
          <w:tblCellMar>
            <w:top w:w="0" w:type="dxa"/>
            <w:left w:w="108" w:type="dxa"/>
            <w:bottom w:w="0" w:type="dxa"/>
            <w:right w:w="108" w:type="dxa"/>
          </w:tblCellMar>
        </w:tblPrEx>
        <w:trPr>
          <w:trHeight w:val="468" w:hRule="atLeast"/>
          <w:jc w:val="center"/>
        </w:trPr>
        <w:tc>
          <w:tcPr>
            <w:tcW w:w="1303" w:type="dxa"/>
            <w:tcBorders>
              <w:top w:val="single" w:color="000000" w:sz="4" w:space="0"/>
              <w:left w:val="single" w:color="000000" w:sz="4" w:space="0"/>
              <w:bottom w:val="single" w:color="000000" w:sz="4" w:space="0"/>
              <w:right w:val="single" w:color="000000" w:sz="4" w:space="0"/>
            </w:tcBorders>
            <w:noWrap w:val="0"/>
            <w:vAlign w:val="center"/>
          </w:tcPr>
          <w:p w14:paraId="1187FB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1F</w:t>
            </w:r>
          </w:p>
        </w:tc>
        <w:tc>
          <w:tcPr>
            <w:tcW w:w="7767" w:type="dxa"/>
            <w:tcBorders>
              <w:top w:val="single" w:color="000000" w:sz="4" w:space="0"/>
              <w:left w:val="single" w:color="000000" w:sz="4" w:space="0"/>
              <w:bottom w:val="single" w:color="000000" w:sz="4" w:space="0"/>
              <w:right w:val="single" w:color="000000" w:sz="4" w:space="0"/>
            </w:tcBorders>
            <w:noWrap w:val="0"/>
            <w:vAlign w:val="center"/>
          </w:tcPr>
          <w:p w14:paraId="52ABD0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办案大厅、值班室、接待室、卫生间；</w:t>
            </w:r>
          </w:p>
        </w:tc>
      </w:tr>
      <w:tr w14:paraId="416B53FD">
        <w:tblPrEx>
          <w:tblCellMar>
            <w:top w:w="0" w:type="dxa"/>
            <w:left w:w="108" w:type="dxa"/>
            <w:bottom w:w="0" w:type="dxa"/>
            <w:right w:w="108" w:type="dxa"/>
          </w:tblCellMar>
        </w:tblPrEx>
        <w:trPr>
          <w:trHeight w:val="468" w:hRule="atLeast"/>
          <w:jc w:val="center"/>
        </w:trPr>
        <w:tc>
          <w:tcPr>
            <w:tcW w:w="1303" w:type="dxa"/>
            <w:tcBorders>
              <w:top w:val="single" w:color="000000" w:sz="4" w:space="0"/>
              <w:left w:val="single" w:color="000000" w:sz="4" w:space="0"/>
              <w:bottom w:val="single" w:color="000000" w:sz="4" w:space="0"/>
              <w:right w:val="single" w:color="000000" w:sz="4" w:space="0"/>
            </w:tcBorders>
            <w:noWrap w:val="0"/>
            <w:vAlign w:val="center"/>
          </w:tcPr>
          <w:p w14:paraId="14499C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2F</w:t>
            </w:r>
          </w:p>
        </w:tc>
        <w:tc>
          <w:tcPr>
            <w:tcW w:w="7767" w:type="dxa"/>
            <w:tcBorders>
              <w:top w:val="single" w:color="000000" w:sz="4" w:space="0"/>
              <w:left w:val="single" w:color="000000" w:sz="4" w:space="0"/>
              <w:bottom w:val="single" w:color="000000" w:sz="4" w:space="0"/>
              <w:right w:val="single" w:color="000000" w:sz="4" w:space="0"/>
            </w:tcBorders>
            <w:noWrap w:val="0"/>
            <w:vAlign w:val="center"/>
          </w:tcPr>
          <w:p w14:paraId="276DED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公共区间（活动室）。</w:t>
            </w:r>
          </w:p>
        </w:tc>
      </w:tr>
    </w:tbl>
    <w:p w14:paraId="072662E1">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b/>
          <w:bCs/>
          <w:sz w:val="24"/>
          <w:szCs w:val="24"/>
          <w:highlight w:val="none"/>
          <w:lang w:val="zh-CN"/>
        </w:rPr>
      </w:pPr>
      <w:r>
        <w:rPr>
          <w:rFonts w:hint="eastAsia" w:asciiTheme="minorEastAsia" w:hAnsiTheme="minorEastAsia" w:eastAsiaTheme="minorEastAsia" w:cstheme="minorEastAsia"/>
          <w:b/>
          <w:bCs/>
          <w:sz w:val="24"/>
          <w:szCs w:val="24"/>
          <w:highlight w:val="none"/>
          <w:lang w:val="zh-CN"/>
        </w:rPr>
        <w:t>二、商务要求</w:t>
      </w:r>
    </w:p>
    <w:p w14:paraId="71ECB75A">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175"/>
        <w:textAlignment w:val="auto"/>
        <w:outlineLvl w:val="2"/>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（一）交付（实施）的时间（期限）和地点（范围）</w:t>
      </w:r>
    </w:p>
    <w:p w14:paraId="18F55A9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1.服务期限：一年（202</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lang w:val="en-US" w:eastAsia="zh-CN"/>
        </w:rPr>
        <w:t>9</w:t>
      </w:r>
      <w:r>
        <w:rPr>
          <w:rFonts w:hint="eastAsia" w:asciiTheme="minorEastAsia" w:hAnsiTheme="minorEastAsia" w:eastAsiaTheme="minorEastAsia" w:cstheme="minorEastAsia"/>
          <w:sz w:val="24"/>
          <w:szCs w:val="24"/>
          <w:highlight w:val="none"/>
        </w:rPr>
        <w:t>月1</w:t>
      </w:r>
      <w:r>
        <w:rPr>
          <w:rFonts w:hint="eastAsia" w:asciiTheme="minorEastAsia" w:hAnsiTheme="minorEastAsia" w:eastAsiaTheme="minorEastAsia" w:cstheme="minorEastAsia"/>
          <w:sz w:val="24"/>
          <w:szCs w:val="24"/>
          <w:highlight w:val="none"/>
          <w:lang w:val="en-US" w:eastAsia="zh-CN"/>
        </w:rPr>
        <w:t>0</w:t>
      </w:r>
      <w:r>
        <w:rPr>
          <w:rFonts w:hint="eastAsia" w:asciiTheme="minorEastAsia" w:hAnsiTheme="minorEastAsia" w:eastAsiaTheme="minorEastAsia" w:cstheme="minorEastAsia"/>
          <w:sz w:val="24"/>
          <w:szCs w:val="24"/>
          <w:highlight w:val="none"/>
        </w:rPr>
        <w:t>日起至202</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lang w:val="en-US" w:eastAsia="zh-CN"/>
        </w:rPr>
        <w:t>9</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9</w:t>
      </w:r>
      <w:r>
        <w:rPr>
          <w:rFonts w:hint="eastAsia" w:asciiTheme="minorEastAsia" w:hAnsiTheme="minorEastAsia" w:eastAsiaTheme="minorEastAsia" w:cstheme="minorEastAsia"/>
          <w:sz w:val="24"/>
          <w:szCs w:val="24"/>
          <w:highlight w:val="none"/>
        </w:rPr>
        <w:t>日止）</w:t>
      </w:r>
      <w:r>
        <w:rPr>
          <w:rFonts w:hint="eastAsia" w:asciiTheme="minorEastAsia" w:hAnsiTheme="minorEastAsia" w:eastAsiaTheme="minorEastAsia" w:cstheme="minorEastAsia"/>
          <w:sz w:val="24"/>
          <w:szCs w:val="24"/>
          <w:highlight w:val="none"/>
          <w:lang w:eastAsia="zh-CN"/>
        </w:rPr>
        <w:t>；</w:t>
      </w:r>
    </w:p>
    <w:p w14:paraId="5903DC1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2.服务地点：北京市丰台区双林东路1号院</w:t>
      </w:r>
      <w:r>
        <w:rPr>
          <w:rFonts w:hint="eastAsia" w:asciiTheme="minorEastAsia" w:hAnsiTheme="minorEastAsia" w:eastAsiaTheme="minorEastAsia" w:cstheme="minorEastAsia"/>
          <w:sz w:val="24"/>
          <w:szCs w:val="24"/>
          <w:highlight w:val="none"/>
          <w:lang w:eastAsia="zh-CN"/>
        </w:rPr>
        <w:t>。</w:t>
      </w:r>
    </w:p>
    <w:p w14:paraId="42A6B5D1">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175"/>
        <w:textAlignment w:val="auto"/>
        <w:outlineLvl w:val="2"/>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（二）付款条件（进度和方式）</w:t>
      </w:r>
    </w:p>
    <w:p w14:paraId="3A40E61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1.以中标价为基数除以</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sz w:val="24"/>
          <w:szCs w:val="24"/>
          <w:highlight w:val="none"/>
          <w:lang w:val="en-US" w:eastAsia="zh-CN"/>
        </w:rPr>
        <w:t>四</w:t>
      </w:r>
      <w:r>
        <w:rPr>
          <w:rFonts w:hint="eastAsia" w:asciiTheme="minorEastAsia" w:hAnsiTheme="minorEastAsia" w:eastAsiaTheme="minorEastAsia" w:cstheme="minorEastAsia"/>
          <w:sz w:val="24"/>
          <w:szCs w:val="24"/>
          <w:highlight w:val="none"/>
        </w:rPr>
        <w:t>次支付，</w:t>
      </w:r>
      <w:r>
        <w:rPr>
          <w:rFonts w:hint="eastAsia" w:asciiTheme="minorEastAsia" w:hAnsiTheme="minorEastAsia" w:eastAsiaTheme="minorEastAsia" w:cstheme="minorEastAsia"/>
          <w:sz w:val="24"/>
          <w:szCs w:val="24"/>
          <w:highlight w:val="none"/>
          <w:lang w:val="en-US" w:eastAsia="zh-CN"/>
        </w:rPr>
        <w:t>服务期每满三个月后10个工作日内支付上一季度费用</w:t>
      </w:r>
      <w:r>
        <w:rPr>
          <w:rFonts w:hint="eastAsia" w:asciiTheme="minorEastAsia" w:hAnsiTheme="minorEastAsia" w:eastAsiaTheme="minorEastAsia" w:cstheme="minorEastAsia"/>
          <w:sz w:val="24"/>
          <w:szCs w:val="24"/>
          <w:highlight w:val="none"/>
        </w:rPr>
        <w:t>。</w:t>
      </w:r>
    </w:p>
    <w:p w14:paraId="18F1A59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2.在费用支付前，中标人应先按照采购</w:t>
      </w:r>
      <w:r>
        <w:rPr>
          <w:rFonts w:hint="eastAsia" w:asciiTheme="minorEastAsia" w:hAnsiTheme="minorEastAsia" w:eastAsiaTheme="minorEastAsia" w:cstheme="minorEastAsia"/>
          <w:sz w:val="24"/>
          <w:szCs w:val="24"/>
          <w:highlight w:val="none"/>
          <w:lang w:val="en-US" w:eastAsia="zh-CN"/>
        </w:rPr>
        <w:t>人</w:t>
      </w:r>
      <w:r>
        <w:rPr>
          <w:rFonts w:hint="eastAsia" w:asciiTheme="minorEastAsia" w:hAnsiTheme="minorEastAsia" w:eastAsiaTheme="minorEastAsia" w:cstheme="minorEastAsia"/>
          <w:sz w:val="24"/>
          <w:szCs w:val="24"/>
          <w:highlight w:val="none"/>
        </w:rPr>
        <w:t>要求向采购</w:t>
      </w:r>
      <w:r>
        <w:rPr>
          <w:rFonts w:hint="eastAsia" w:asciiTheme="minorEastAsia" w:hAnsiTheme="minorEastAsia" w:eastAsiaTheme="minorEastAsia" w:cstheme="minorEastAsia"/>
          <w:sz w:val="24"/>
          <w:szCs w:val="24"/>
          <w:highlight w:val="none"/>
          <w:lang w:val="en-US" w:eastAsia="zh-CN"/>
        </w:rPr>
        <w:t>人</w:t>
      </w:r>
      <w:r>
        <w:rPr>
          <w:rFonts w:hint="eastAsia" w:asciiTheme="minorEastAsia" w:hAnsiTheme="minorEastAsia" w:eastAsiaTheme="minorEastAsia" w:cstheme="minorEastAsia"/>
          <w:sz w:val="24"/>
          <w:szCs w:val="24"/>
          <w:highlight w:val="none"/>
        </w:rPr>
        <w:t>开具合法的发票，采购</w:t>
      </w:r>
      <w:r>
        <w:rPr>
          <w:rFonts w:hint="eastAsia" w:asciiTheme="minorEastAsia" w:hAnsiTheme="minorEastAsia" w:eastAsiaTheme="minorEastAsia" w:cstheme="minorEastAsia"/>
          <w:sz w:val="24"/>
          <w:szCs w:val="24"/>
          <w:highlight w:val="none"/>
          <w:lang w:val="en-US" w:eastAsia="zh-CN"/>
        </w:rPr>
        <w:t>人</w:t>
      </w:r>
      <w:r>
        <w:rPr>
          <w:rFonts w:hint="eastAsia" w:asciiTheme="minorEastAsia" w:hAnsiTheme="minorEastAsia" w:eastAsiaTheme="minorEastAsia" w:cstheme="minorEastAsia"/>
          <w:sz w:val="24"/>
          <w:szCs w:val="24"/>
          <w:highlight w:val="none"/>
        </w:rPr>
        <w:t>收到发票并经确认后按中标人信息付款。</w:t>
      </w:r>
    </w:p>
    <w:p w14:paraId="1CEC09AB">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b/>
          <w:bCs/>
          <w:sz w:val="24"/>
          <w:szCs w:val="24"/>
          <w:highlight w:val="none"/>
          <w:lang w:val="zh-CN"/>
        </w:rPr>
      </w:pPr>
      <w:r>
        <w:rPr>
          <w:rFonts w:hint="eastAsia" w:asciiTheme="minorEastAsia" w:hAnsiTheme="minorEastAsia" w:eastAsiaTheme="minorEastAsia" w:cstheme="minorEastAsia"/>
          <w:b/>
          <w:bCs/>
          <w:sz w:val="24"/>
          <w:szCs w:val="24"/>
          <w:highlight w:val="none"/>
          <w:lang w:val="zh-CN"/>
        </w:rPr>
        <w:t>三、技术要求</w:t>
      </w:r>
    </w:p>
    <w:p w14:paraId="2663FDB0">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175"/>
        <w:textAlignment w:val="auto"/>
        <w:outlineLvl w:val="2"/>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（一）基本要求</w:t>
      </w:r>
    </w:p>
    <w:p w14:paraId="257D6205">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投标人为本项目提供全面物业管理服务，物业服务内容包括：</w:t>
      </w:r>
    </w:p>
    <w:p w14:paraId="33DC0E01">
      <w:pPr>
        <w:keepNext w:val="0"/>
        <w:keepLines w:val="0"/>
        <w:pageBreakBefore w:val="0"/>
        <w:kinsoku/>
        <w:wordWrap/>
        <w:overflowPunct/>
        <w:topLinePunct w:val="0"/>
        <w:autoSpaceDE/>
        <w:autoSpaceDN/>
        <w:bidi w:val="0"/>
        <w:snapToGrid/>
        <w:spacing w:line="360" w:lineRule="auto"/>
        <w:ind w:left="0" w:leftChars="0" w:firstLine="420" w:firstLineChars="175"/>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1.环境维护保洁服务</w:t>
      </w:r>
    </w:p>
    <w:p w14:paraId="3097EE10">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.会议服务</w:t>
      </w:r>
    </w:p>
    <w:p w14:paraId="35978D99">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.房屋综合</w:t>
      </w:r>
      <w:r>
        <w:rPr>
          <w:rFonts w:hint="eastAsia" w:asciiTheme="minorEastAsia" w:hAnsiTheme="minorEastAsia" w:eastAsiaTheme="minorEastAsia" w:cstheme="minorEastAsia"/>
          <w:sz w:val="24"/>
          <w:szCs w:val="24"/>
          <w:highlight w:val="none"/>
          <w:lang w:val="en-US" w:eastAsia="zh-CN"/>
        </w:rPr>
        <w:t>维护</w:t>
      </w:r>
      <w:r>
        <w:rPr>
          <w:rFonts w:hint="eastAsia" w:asciiTheme="minorEastAsia" w:hAnsiTheme="minorEastAsia" w:eastAsiaTheme="minorEastAsia" w:cstheme="minorEastAsia"/>
          <w:sz w:val="24"/>
          <w:szCs w:val="24"/>
          <w:highlight w:val="none"/>
        </w:rPr>
        <w:t>维修</w:t>
      </w:r>
    </w:p>
    <w:p w14:paraId="64CA6942">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公用设施设备运行维护保养</w:t>
      </w:r>
    </w:p>
    <w:p w14:paraId="50C6AEDA">
      <w:pPr>
        <w:keepNext w:val="0"/>
        <w:keepLines w:val="0"/>
        <w:pageBreakBefore w:val="0"/>
        <w:kinsoku/>
        <w:wordWrap/>
        <w:overflowPunct/>
        <w:topLinePunct w:val="0"/>
        <w:autoSpaceDE/>
        <w:autoSpaceDN/>
        <w:bidi w:val="0"/>
        <w:snapToGrid/>
        <w:spacing w:line="360" w:lineRule="auto"/>
        <w:ind w:firstLine="420" w:firstLineChars="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w:t>
      </w:r>
      <w:r>
        <w:rPr>
          <w:rFonts w:hint="default" w:asciiTheme="minorEastAsia" w:hAnsiTheme="minorEastAsia" w:eastAsiaTheme="minorEastAsia" w:cstheme="minorEastAsia"/>
          <w:sz w:val="24"/>
          <w:szCs w:val="24"/>
          <w:highlight w:val="none"/>
          <w:lang w:val="en-US" w:eastAsia="zh-CN"/>
        </w:rPr>
        <w:t>定期组织生活垃圾减量、垃圾分类等节能减排宣传活动；</w:t>
      </w:r>
    </w:p>
    <w:p w14:paraId="4C8B8A86">
      <w:pPr>
        <w:keepNext w:val="0"/>
        <w:keepLines w:val="0"/>
        <w:pageBreakBefore w:val="0"/>
        <w:kinsoku/>
        <w:wordWrap/>
        <w:overflowPunct/>
        <w:topLinePunct w:val="0"/>
        <w:autoSpaceDE/>
        <w:autoSpaceDN/>
        <w:bidi w:val="0"/>
        <w:snapToGrid/>
        <w:spacing w:line="360" w:lineRule="auto"/>
        <w:ind w:firstLine="420" w:firstLineChars="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w:t>
      </w:r>
      <w:r>
        <w:rPr>
          <w:rFonts w:hint="default" w:asciiTheme="minorEastAsia" w:hAnsiTheme="minorEastAsia" w:eastAsiaTheme="minorEastAsia" w:cstheme="minorEastAsia"/>
          <w:sz w:val="24"/>
          <w:szCs w:val="24"/>
          <w:highlight w:val="none"/>
          <w:lang w:val="en-US" w:eastAsia="zh-CN"/>
        </w:rPr>
        <w:t>在物业管理服务区域内严格用电、用水管理，厉行节约，张贴海报或相关标识；</w:t>
      </w:r>
    </w:p>
    <w:p w14:paraId="56EFA3CA">
      <w:pPr>
        <w:keepNext w:val="0"/>
        <w:keepLines w:val="0"/>
        <w:pageBreakBefore w:val="0"/>
        <w:kinsoku/>
        <w:wordWrap/>
        <w:overflowPunct/>
        <w:topLinePunct w:val="0"/>
        <w:autoSpaceDE/>
        <w:autoSpaceDN/>
        <w:bidi w:val="0"/>
        <w:snapToGrid/>
        <w:spacing w:line="360" w:lineRule="auto"/>
        <w:ind w:firstLine="420" w:firstLineChars="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7.</w:t>
      </w:r>
      <w:r>
        <w:rPr>
          <w:rFonts w:hint="default" w:asciiTheme="minorEastAsia" w:hAnsiTheme="minorEastAsia" w:eastAsiaTheme="minorEastAsia" w:cstheme="minorEastAsia"/>
          <w:sz w:val="24"/>
          <w:szCs w:val="24"/>
          <w:highlight w:val="none"/>
          <w:lang w:val="en-US" w:eastAsia="zh-CN"/>
        </w:rPr>
        <w:t>通过能耗分析，为采购人节能降耗提供数据依据，提出节能降耗建议，制定有效措施和防范预案。</w:t>
      </w:r>
    </w:p>
    <w:p w14:paraId="295C9D3F">
      <w:pPr>
        <w:keepNext w:val="0"/>
        <w:keepLines w:val="0"/>
        <w:pageBreakBefore w:val="0"/>
        <w:kinsoku/>
        <w:wordWrap/>
        <w:overflowPunct/>
        <w:topLinePunct w:val="0"/>
        <w:autoSpaceDE/>
        <w:autoSpaceDN/>
        <w:bidi w:val="0"/>
        <w:snapToGrid/>
        <w:spacing w:line="360" w:lineRule="auto"/>
        <w:ind w:firstLine="420" w:firstLineChars="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8.</w:t>
      </w:r>
      <w:r>
        <w:rPr>
          <w:rFonts w:hint="default" w:asciiTheme="minorEastAsia" w:hAnsiTheme="minorEastAsia" w:eastAsiaTheme="minorEastAsia" w:cstheme="minorEastAsia"/>
          <w:sz w:val="24"/>
          <w:szCs w:val="24"/>
          <w:highlight w:val="none"/>
          <w:lang w:val="en-US" w:eastAsia="zh-CN"/>
        </w:rPr>
        <w:t>干警办公室及配套用房的设备搬迁</w:t>
      </w:r>
      <w:r>
        <w:rPr>
          <w:rFonts w:hint="eastAsia" w:asciiTheme="minorEastAsia" w:hAnsiTheme="minorEastAsia" w:eastAsiaTheme="minorEastAsia" w:cstheme="minorEastAsia"/>
          <w:sz w:val="24"/>
          <w:szCs w:val="24"/>
          <w:highlight w:val="none"/>
          <w:lang w:val="en-US" w:eastAsia="zh-CN"/>
        </w:rPr>
        <w:t>协助</w:t>
      </w:r>
      <w:r>
        <w:rPr>
          <w:rFonts w:hint="default" w:asciiTheme="minorEastAsia" w:hAnsiTheme="minorEastAsia" w:eastAsiaTheme="minorEastAsia" w:cstheme="minorEastAsia"/>
          <w:sz w:val="24"/>
          <w:szCs w:val="24"/>
          <w:highlight w:val="none"/>
          <w:lang w:val="en-US" w:eastAsia="zh-CN"/>
        </w:rPr>
        <w:t>工作。</w:t>
      </w:r>
    </w:p>
    <w:p w14:paraId="3070684D">
      <w:pPr>
        <w:keepNext w:val="0"/>
        <w:keepLines w:val="0"/>
        <w:pageBreakBefore w:val="0"/>
        <w:kinsoku/>
        <w:wordWrap/>
        <w:overflowPunct/>
        <w:topLinePunct w:val="0"/>
        <w:autoSpaceDE/>
        <w:autoSpaceDN/>
        <w:bidi w:val="0"/>
        <w:snapToGrid/>
        <w:spacing w:line="360" w:lineRule="auto"/>
        <w:ind w:firstLine="420" w:firstLineChars="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9.</w:t>
      </w:r>
      <w:r>
        <w:rPr>
          <w:rFonts w:hint="default" w:asciiTheme="minorEastAsia" w:hAnsiTheme="minorEastAsia" w:eastAsiaTheme="minorEastAsia" w:cstheme="minorEastAsia"/>
          <w:sz w:val="24"/>
          <w:szCs w:val="24"/>
          <w:highlight w:val="none"/>
          <w:lang w:val="en-US" w:eastAsia="zh-CN"/>
        </w:rPr>
        <w:t>院方组织工程的现场监督管理和保障配合工作。</w:t>
      </w:r>
    </w:p>
    <w:p w14:paraId="3EE95F8D">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10.</w:t>
      </w:r>
      <w:r>
        <w:rPr>
          <w:rFonts w:hint="default" w:asciiTheme="minorEastAsia" w:hAnsiTheme="minorEastAsia" w:eastAsiaTheme="minorEastAsia" w:cstheme="minorEastAsia"/>
          <w:sz w:val="24"/>
          <w:szCs w:val="24"/>
          <w:highlight w:val="none"/>
          <w:lang w:val="en-US" w:eastAsia="zh-CN"/>
        </w:rPr>
        <w:t>采购人交办的其它临时性工作。</w:t>
      </w:r>
    </w:p>
    <w:p w14:paraId="3A2BA1F6">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中部分专业性较强或根据相关法规要求及行业运营经验，确须由专业承包单位提供服务的，可由投标人进行分包，投标人负责监管，但禁止投标人将本项目整体打包分包给单一单位。采购方不指定具体分包商，但有权监督和审核投标人分包过程。</w:t>
      </w:r>
    </w:p>
    <w:p w14:paraId="09CCFCD3">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175"/>
        <w:textAlignment w:val="auto"/>
        <w:outlineLvl w:val="2"/>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（二）服务内容及要求</w:t>
      </w:r>
    </w:p>
    <w:p w14:paraId="1EE15E20">
      <w:pPr>
        <w:keepNext w:val="0"/>
        <w:keepLines w:val="0"/>
        <w:pageBreakBefore w:val="0"/>
        <w:kinsoku/>
        <w:wordWrap/>
        <w:overflowPunct/>
        <w:topLinePunct w:val="0"/>
        <w:autoSpaceDE/>
        <w:autoSpaceDN/>
        <w:bidi w:val="0"/>
        <w:snapToGrid/>
        <w:spacing w:line="360" w:lineRule="auto"/>
        <w:ind w:firstLine="420" w:firstLineChars="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val="en-US" w:eastAsia="zh-CN"/>
        </w:rPr>
        <w:t>1.</w:t>
      </w:r>
      <w:r>
        <w:rPr>
          <w:rFonts w:hint="eastAsia" w:asciiTheme="minorEastAsia" w:hAnsiTheme="minorEastAsia" w:eastAsiaTheme="minorEastAsia" w:cstheme="minorEastAsia"/>
          <w:b/>
          <w:bCs/>
          <w:sz w:val="24"/>
          <w:szCs w:val="24"/>
          <w:highlight w:val="none"/>
        </w:rPr>
        <w:t>环境维护</w:t>
      </w:r>
      <w:r>
        <w:rPr>
          <w:rFonts w:hint="eastAsia" w:asciiTheme="minorEastAsia" w:hAnsiTheme="minorEastAsia" w:eastAsiaTheme="minorEastAsia" w:cstheme="minorEastAsia"/>
          <w:b/>
          <w:bCs/>
          <w:sz w:val="24"/>
          <w:szCs w:val="24"/>
          <w:highlight w:val="none"/>
          <w:lang w:val="en-US" w:eastAsia="zh-CN"/>
        </w:rPr>
        <w:t>保洁</w:t>
      </w:r>
      <w:r>
        <w:rPr>
          <w:rFonts w:hint="eastAsia" w:asciiTheme="minorEastAsia" w:hAnsiTheme="minorEastAsia" w:eastAsiaTheme="minorEastAsia" w:cstheme="minorEastAsia"/>
          <w:b/>
          <w:bCs/>
          <w:sz w:val="24"/>
          <w:szCs w:val="24"/>
          <w:highlight w:val="none"/>
        </w:rPr>
        <w:t>服务</w:t>
      </w:r>
    </w:p>
    <w:p w14:paraId="19F6AEE3">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服务内容：包括办公楼内、外环境维护、卫生消杀、垃圾分类及清运等。具体服务内容及要求可参考下表：</w:t>
      </w:r>
    </w:p>
    <w:tbl>
      <w:tblPr>
        <w:tblStyle w:val="2"/>
        <w:tblW w:w="9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7929"/>
      </w:tblGrid>
      <w:tr w14:paraId="351A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noWrap w:val="0"/>
            <w:vAlign w:val="center"/>
          </w:tcPr>
          <w:p w14:paraId="3C2D19B3">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项目</w:t>
            </w:r>
          </w:p>
        </w:tc>
        <w:tc>
          <w:tcPr>
            <w:tcW w:w="7929" w:type="dxa"/>
            <w:noWrap w:val="0"/>
            <w:vAlign w:val="center"/>
          </w:tcPr>
          <w:p w14:paraId="5651E5F9">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内容及要求</w:t>
            </w:r>
          </w:p>
        </w:tc>
      </w:tr>
      <w:tr w14:paraId="73BC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noWrap w:val="0"/>
            <w:vAlign w:val="center"/>
          </w:tcPr>
          <w:p w14:paraId="5D36ED88">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办公楼内</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外环境维护</w:t>
            </w:r>
          </w:p>
        </w:tc>
        <w:tc>
          <w:tcPr>
            <w:tcW w:w="7929" w:type="dxa"/>
            <w:noWrap w:val="0"/>
            <w:vAlign w:val="center"/>
          </w:tcPr>
          <w:p w14:paraId="65C0A25F">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1.楼内公共</w:t>
            </w:r>
            <w:r>
              <w:rPr>
                <w:rFonts w:hint="eastAsia" w:asciiTheme="minorEastAsia" w:hAnsiTheme="minorEastAsia" w:eastAsiaTheme="minorEastAsia" w:cstheme="minorEastAsia"/>
                <w:b/>
                <w:bCs/>
                <w:sz w:val="24"/>
                <w:szCs w:val="24"/>
                <w:highlight w:val="none"/>
                <w:lang w:val="en-US" w:eastAsia="zh-CN"/>
              </w:rPr>
              <w:t>区域</w:t>
            </w:r>
            <w:r>
              <w:rPr>
                <w:rFonts w:hint="eastAsia" w:asciiTheme="minorEastAsia" w:hAnsiTheme="minorEastAsia" w:eastAsiaTheme="minorEastAsia" w:cstheme="minorEastAsia"/>
                <w:b/>
                <w:bCs/>
                <w:sz w:val="24"/>
                <w:szCs w:val="24"/>
                <w:highlight w:val="none"/>
              </w:rPr>
              <w:t>：</w:t>
            </w:r>
            <w:r>
              <w:rPr>
                <w:rFonts w:hint="eastAsia" w:asciiTheme="minorEastAsia" w:hAnsiTheme="minorEastAsia" w:eastAsiaTheme="minorEastAsia" w:cstheme="minorEastAsia"/>
                <w:b w:val="0"/>
                <w:bCs w:val="0"/>
                <w:sz w:val="24"/>
                <w:szCs w:val="24"/>
                <w:highlight w:val="none"/>
                <w:lang w:val="en-US" w:eastAsia="zh-CN"/>
              </w:rPr>
              <w:t>包括</w:t>
            </w:r>
            <w:r>
              <w:rPr>
                <w:rFonts w:hint="eastAsia" w:asciiTheme="minorEastAsia" w:hAnsiTheme="minorEastAsia" w:eastAsiaTheme="minorEastAsia" w:cstheme="minorEastAsia"/>
                <w:b w:val="0"/>
                <w:bCs w:val="0"/>
                <w:sz w:val="24"/>
                <w:szCs w:val="24"/>
                <w:highlight w:val="none"/>
              </w:rPr>
              <w:t>院领导办公室，各会议室，活动室，检察服务中心，健身房，医务室，理发室，</w:t>
            </w:r>
            <w:r>
              <w:rPr>
                <w:rFonts w:hint="eastAsia" w:asciiTheme="minorEastAsia" w:hAnsiTheme="minorEastAsia" w:eastAsiaTheme="minorEastAsia" w:cstheme="minorEastAsia"/>
                <w:b w:val="0"/>
                <w:bCs w:val="0"/>
                <w:sz w:val="24"/>
                <w:szCs w:val="24"/>
                <w:highlight w:val="none"/>
                <w:lang w:val="en-US" w:eastAsia="zh-CN"/>
              </w:rPr>
              <w:t>值班室，</w:t>
            </w:r>
            <w:r>
              <w:rPr>
                <w:rFonts w:hint="eastAsia" w:asciiTheme="minorEastAsia" w:hAnsiTheme="minorEastAsia" w:eastAsiaTheme="minorEastAsia" w:cstheme="minorEastAsia"/>
                <w:b w:val="0"/>
                <w:bCs w:val="0"/>
                <w:sz w:val="24"/>
                <w:szCs w:val="24"/>
                <w:highlight w:val="none"/>
              </w:rPr>
              <w:t>浴室，备勤室，停车场，地下车库，绿地，内部道路等。</w:t>
            </w:r>
            <w:r>
              <w:rPr>
                <w:rFonts w:hint="eastAsia" w:asciiTheme="minorEastAsia" w:hAnsiTheme="minorEastAsia" w:eastAsiaTheme="minorEastAsia" w:cstheme="minorEastAsia"/>
                <w:sz w:val="24"/>
                <w:szCs w:val="24"/>
                <w:highlight w:val="none"/>
              </w:rPr>
              <w:t>大厅地面保持干净无水渍，大理石、花岗石等石材定期养护，进出口地垫整洁；公共通道门框、窗框、窗台、金属件表面光亮无尘无污渍；门窗玻璃干净无尘，透光性好；天花板无蛛网、无污渍；灯具干净无积尘，空调风口干净无污迹；指示牌干净无污渍，指示醒目。低位墙身、高位墙身，表面无污迹、无灰尘、干净、整洁。</w:t>
            </w:r>
          </w:p>
          <w:p w14:paraId="053373A0">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2.楼梯及楼梯间：</w:t>
            </w:r>
            <w:r>
              <w:rPr>
                <w:rFonts w:hint="eastAsia" w:asciiTheme="minorEastAsia" w:hAnsiTheme="minorEastAsia" w:eastAsiaTheme="minorEastAsia" w:cstheme="minorEastAsia"/>
                <w:sz w:val="24"/>
                <w:szCs w:val="24"/>
                <w:highlight w:val="none"/>
              </w:rPr>
              <w:t>梯步、扶手栏杆、防火门及闭门器表面干净无尘无污渍，防滑条（缝）干净，墙面、天花板无积尘、蛛网。</w:t>
            </w:r>
          </w:p>
          <w:p w14:paraId="109BA2E7">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3.卫生间：</w:t>
            </w:r>
            <w:r>
              <w:rPr>
                <w:rFonts w:hint="eastAsia" w:asciiTheme="minorEastAsia" w:hAnsiTheme="minorEastAsia" w:eastAsiaTheme="minorEastAsia" w:cstheme="minorEastAsia"/>
                <w:sz w:val="24"/>
                <w:szCs w:val="24"/>
                <w:highlight w:val="none"/>
              </w:rPr>
              <w:t>地面干净，无污渍无积水；洁具洁净，无污渍；门窗、墙壁、隔断、玻璃、窗台表面干净，无污迹，金属饰件有金属光泽，天花板表面无蛛网；换气扇表面无积尘；洗手台干净无污垢；保持空气流通，无明显异味。</w:t>
            </w:r>
          </w:p>
          <w:p w14:paraId="72248FCD">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4.开水间及清洁间：</w:t>
            </w:r>
            <w:r>
              <w:rPr>
                <w:rFonts w:hint="eastAsia" w:asciiTheme="minorEastAsia" w:hAnsiTheme="minorEastAsia" w:eastAsiaTheme="minorEastAsia" w:cstheme="minorEastAsia"/>
                <w:sz w:val="24"/>
                <w:szCs w:val="24"/>
                <w:highlight w:val="none"/>
              </w:rPr>
              <w:t>地面干净，无杂物、无积水，天花板无蛛网、无污渍，灯罩表面无积尘，墙面干净无污渍，各种物品表面干净无渍，清洁工具摆放整齐有序。</w:t>
            </w:r>
          </w:p>
          <w:p w14:paraId="33783D70">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5.电梯轿厢：</w:t>
            </w:r>
            <w:r>
              <w:rPr>
                <w:rFonts w:hint="eastAsia" w:asciiTheme="minorEastAsia" w:hAnsiTheme="minorEastAsia" w:eastAsiaTheme="minorEastAsia" w:cstheme="minorEastAsia"/>
                <w:sz w:val="24"/>
                <w:szCs w:val="24"/>
                <w:highlight w:val="none"/>
              </w:rPr>
              <w:t>轿厢内无污渍、无粘贴物；灯具、操作指示板明亮；厢内地面干净无异味，电梯门槽内无垃圾无杂物。</w:t>
            </w:r>
          </w:p>
          <w:p w14:paraId="3660AC9F">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6.窗户（内侧）：</w:t>
            </w:r>
            <w:r>
              <w:rPr>
                <w:rFonts w:hint="eastAsia" w:asciiTheme="minorEastAsia" w:hAnsiTheme="minorEastAsia" w:eastAsiaTheme="minorEastAsia" w:cstheme="minorEastAsia"/>
                <w:sz w:val="24"/>
                <w:szCs w:val="24"/>
                <w:highlight w:val="none"/>
              </w:rPr>
              <w:t>玻璃光洁、明亮、无水迹，窗台及窗框架表面无灰尘、无污渍。</w:t>
            </w:r>
          </w:p>
          <w:p w14:paraId="6EC49ED5">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7.垃圾桶：</w:t>
            </w:r>
            <w:r>
              <w:rPr>
                <w:rFonts w:hint="eastAsia" w:asciiTheme="minorEastAsia" w:hAnsiTheme="minorEastAsia" w:eastAsiaTheme="minorEastAsia" w:cstheme="minorEastAsia"/>
                <w:sz w:val="24"/>
                <w:szCs w:val="24"/>
                <w:highlight w:val="none"/>
              </w:rPr>
              <w:t>内部无满溢、无异味，外表面无污迹、无灰尘。</w:t>
            </w:r>
          </w:p>
          <w:p w14:paraId="2E926189">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8.负责大楼卫生间客用品的提供和及时更换</w:t>
            </w:r>
            <w:r>
              <w:rPr>
                <w:rFonts w:hint="eastAsia" w:asciiTheme="minorEastAsia" w:hAnsiTheme="minorEastAsia" w:eastAsiaTheme="minorEastAsia" w:cstheme="minorEastAsia"/>
                <w:sz w:val="24"/>
                <w:szCs w:val="24"/>
                <w:highlight w:val="none"/>
              </w:rPr>
              <w:t>，主要包括：卫生间大盘纸、擦手纸、洗手液。</w:t>
            </w:r>
          </w:p>
          <w:p w14:paraId="3634DCFD">
            <w:pPr>
              <w:keepNext w:val="0"/>
              <w:keepLines w:val="0"/>
              <w:pageBreakBefore w:val="0"/>
              <w:kinsoku/>
              <w:wordWrap/>
              <w:overflowPunct/>
              <w:topLinePunct w:val="0"/>
              <w:autoSpaceDE/>
              <w:autoSpaceDN/>
              <w:bidi w:val="0"/>
              <w:snapToGrid/>
              <w:spacing w:line="360" w:lineRule="auto"/>
              <w:ind w:firstLine="0"/>
              <w:jc w:val="both"/>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
                <w:bCs/>
                <w:sz w:val="24"/>
                <w:szCs w:val="24"/>
                <w:highlight w:val="none"/>
              </w:rPr>
              <w:t>9.外围区域：</w:t>
            </w:r>
            <w:r>
              <w:rPr>
                <w:rFonts w:hint="eastAsia" w:asciiTheme="minorEastAsia" w:hAnsiTheme="minorEastAsia" w:eastAsiaTheme="minorEastAsia" w:cstheme="minorEastAsia"/>
                <w:sz w:val="24"/>
                <w:szCs w:val="24"/>
                <w:highlight w:val="none"/>
              </w:rPr>
              <w:t>每日清扫道路地面，保持干净，无杂物无积水无污迹；沟渠、池、井内无杂物无异味；各种路标、标志、宣传栏表面干净，无积尘无水印； 外墙、玻璃、窗框、阳光棚（属高空作业部分除外）目视洁净无污垢；表面、接缝、角落、边线等处洁净无污迹无积尘。雨季前，清扫巡查天台、内天井，有杂物及时清扫。</w:t>
            </w:r>
            <w:r>
              <w:rPr>
                <w:rFonts w:hint="eastAsia" w:asciiTheme="minorEastAsia" w:hAnsiTheme="minorEastAsia" w:eastAsiaTheme="minorEastAsia" w:cstheme="minorEastAsia"/>
                <w:sz w:val="24"/>
                <w:szCs w:val="24"/>
                <w:highlight w:val="none"/>
                <w:lang w:val="en-US" w:eastAsia="zh-CN"/>
              </w:rPr>
              <w:t>根据天气情况清扫门前三包积水、积雪等。</w:t>
            </w:r>
          </w:p>
        </w:tc>
      </w:tr>
      <w:tr w14:paraId="6BBB1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noWrap w:val="0"/>
            <w:vAlign w:val="center"/>
          </w:tcPr>
          <w:p w14:paraId="0831040F">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四害消杀</w:t>
            </w:r>
          </w:p>
        </w:tc>
        <w:tc>
          <w:tcPr>
            <w:tcW w:w="7929" w:type="dxa"/>
            <w:noWrap w:val="0"/>
            <w:vAlign w:val="center"/>
          </w:tcPr>
          <w:p w14:paraId="0431E43A">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1.应制定消杀工作计划。消杀工作计划应包括消杀对象、消杀区域、消杀方式与药物配比、消杀时间等内容。</w:t>
            </w:r>
          </w:p>
          <w:p w14:paraId="3FE4D497">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2.消杀药物应符合国家农药管理要求，消杀药物供应商应具有有效资格证书。聘请专业消杀公司应具备北京市爱国卫生运动委员会颁发的“北京市有害生物防治服务机构”B级（含）以上资质。</w:t>
            </w:r>
          </w:p>
          <w:p w14:paraId="31B73277">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3.所使用的灭虫药品均由国际、国内、卫生机构组织认可，低毒、高效、无腐蚀性、不会污染环境、安全、有效，同时符合环保的要求，对公众健康无危害。</w:t>
            </w:r>
          </w:p>
          <w:p w14:paraId="68DEB304">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4.消杀区域包括但不限于：大堂、地下各层、车库、物业办公室、设备机房、配电室、消防步行梯、楼层公共区、卫生间、清洁间、开水间、天台、管道井、污水井、化粪池、泵房、垃圾房及室内外公共区域；</w:t>
            </w:r>
          </w:p>
          <w:p w14:paraId="3A5549BA">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消杀频次：办公区域、公共场所和周围环境定期预防性卫生消杀，每季度1次；餐厅区域每月度1次（面积约为2000㎡）、采取综合措施消灭老鼠、蟑螂，控制室内外蚊虫孳生，达到基本无蝇，采取综合措施消灭老鼠、蟑螂，控制室内外蚊虫孳生，达到基本无蝇；投放药物应预先告知，投药位置有明显标识。</w:t>
            </w:r>
          </w:p>
          <w:p w14:paraId="5B9D3E71">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6.应提前告知消杀时间、地点、范围，明确注意事项等信息，每次消杀工作前，应放置消杀警示标识。</w:t>
            </w:r>
          </w:p>
          <w:p w14:paraId="65720DA6">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7.消杀作业完毕应将器具、药具统一清洗并送至指定地点保管。</w:t>
            </w:r>
          </w:p>
        </w:tc>
      </w:tr>
      <w:tr w14:paraId="3DB4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noWrap w:val="0"/>
            <w:vAlign w:val="center"/>
          </w:tcPr>
          <w:p w14:paraId="32521DBF">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垃圾处理</w:t>
            </w:r>
          </w:p>
        </w:tc>
        <w:tc>
          <w:tcPr>
            <w:tcW w:w="7929" w:type="dxa"/>
            <w:noWrap w:val="0"/>
            <w:vAlign w:val="center"/>
          </w:tcPr>
          <w:p w14:paraId="41C9613B">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根据实际情况合理设置环境卫生设施。各楼层公共区域设置可回收物、有害垃圾、厨余垃圾、其他垃圾容器，楼栋定点设置有害垃圾、厨余垃圾、可回收物、其他垃圾集中收集点。垃圾投放、处理的容器和场所应设显著标识。</w:t>
            </w:r>
          </w:p>
          <w:p w14:paraId="1D6170C9">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2.公共区域垃圾应及时清理，保持清洁无异味，四周无散积垃圾，在垃圾清运过程中做好防护措施，避免造成二次环境污染。</w:t>
            </w:r>
          </w:p>
          <w:p w14:paraId="0AA5769A">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3.垃圾中转房地面无明显异味。垃圾袋装，日产日清。</w:t>
            </w:r>
          </w:p>
          <w:p w14:paraId="51ED5D66">
            <w:pPr>
              <w:keepNext w:val="0"/>
              <w:keepLines w:val="0"/>
              <w:pageBreakBefore w:val="0"/>
              <w:kinsoku/>
              <w:wordWrap/>
              <w:overflowPunct/>
              <w:topLinePunct w:val="0"/>
              <w:autoSpaceDE/>
              <w:autoSpaceDN/>
              <w:bidi w:val="0"/>
              <w:snapToGrid/>
              <w:spacing w:line="360" w:lineRule="auto"/>
              <w:ind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4.做好垃圾房卫生，按垃圾环保分类标准布置垃圾房，每日必须消毒；随时保持干净；严禁无关人员进入、滞留；垃圾房严禁吸烟、使用明火。</w:t>
            </w:r>
          </w:p>
        </w:tc>
      </w:tr>
    </w:tbl>
    <w:p w14:paraId="251CF211">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p>
    <w:p w14:paraId="7233A663">
      <w:pPr>
        <w:keepNext w:val="0"/>
        <w:keepLines w:val="0"/>
        <w:pageBreakBefore w:val="0"/>
        <w:kinsoku/>
        <w:wordWrap/>
        <w:overflowPunct/>
        <w:topLinePunct w:val="0"/>
        <w:autoSpaceDE/>
        <w:autoSpaceDN/>
        <w:bidi w:val="0"/>
        <w:snapToGrid/>
        <w:spacing w:line="360" w:lineRule="auto"/>
        <w:ind w:firstLine="420" w:firstLineChars="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val="en-US" w:eastAsia="zh-CN"/>
        </w:rPr>
        <w:t>2.</w:t>
      </w:r>
      <w:r>
        <w:rPr>
          <w:rFonts w:hint="eastAsia" w:asciiTheme="minorEastAsia" w:hAnsiTheme="minorEastAsia" w:eastAsiaTheme="minorEastAsia" w:cstheme="minorEastAsia"/>
          <w:b/>
          <w:bCs/>
          <w:sz w:val="24"/>
          <w:szCs w:val="24"/>
          <w:highlight w:val="none"/>
        </w:rPr>
        <w:t>会议服务</w:t>
      </w:r>
    </w:p>
    <w:p w14:paraId="7A2DC893">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服务内容：包括各种类型会议服务及会议室的管理。服务内容及要求可参考下表：</w:t>
      </w:r>
    </w:p>
    <w:tbl>
      <w:tblPr>
        <w:tblStyle w:val="2"/>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8395"/>
      </w:tblGrid>
      <w:tr w14:paraId="2D8A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67" w:type="dxa"/>
            <w:shd w:val="clear" w:color="auto" w:fill="auto"/>
            <w:noWrap w:val="0"/>
            <w:vAlign w:val="center"/>
          </w:tcPr>
          <w:p w14:paraId="038E579B">
            <w:pPr>
              <w:keepNext w:val="0"/>
              <w:keepLines w:val="0"/>
              <w:pageBreakBefore w:val="0"/>
              <w:kinsoku/>
              <w:wordWrap/>
              <w:overflowPunct/>
              <w:topLinePunct w:val="0"/>
              <w:autoSpaceDE/>
              <w:autoSpaceDN/>
              <w:bidi w:val="0"/>
              <w:snapToGrid/>
              <w:spacing w:line="360" w:lineRule="auto"/>
              <w:ind w:firstLine="0" w:firstLineChars="0"/>
              <w:jc w:val="center"/>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eastAsiaTheme="minorEastAsia" w:cstheme="minorEastAsia"/>
                <w:b/>
                <w:bCs/>
                <w:sz w:val="24"/>
                <w:szCs w:val="24"/>
                <w:highlight w:val="none"/>
              </w:rPr>
              <w:t>项目</w:t>
            </w:r>
          </w:p>
        </w:tc>
        <w:tc>
          <w:tcPr>
            <w:tcW w:w="8395" w:type="dxa"/>
            <w:shd w:val="clear" w:color="auto" w:fill="auto"/>
            <w:noWrap w:val="0"/>
            <w:vAlign w:val="center"/>
          </w:tcPr>
          <w:p w14:paraId="08E3C2CE">
            <w:pPr>
              <w:keepNext w:val="0"/>
              <w:keepLines w:val="0"/>
              <w:pageBreakBefore w:val="0"/>
              <w:kinsoku/>
              <w:wordWrap/>
              <w:overflowPunct/>
              <w:topLinePunct w:val="0"/>
              <w:autoSpaceDE/>
              <w:autoSpaceDN/>
              <w:bidi w:val="0"/>
              <w:snapToGrid/>
              <w:spacing w:line="360" w:lineRule="auto"/>
              <w:ind w:firstLine="0" w:firstLineChars="0"/>
              <w:jc w:val="center"/>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eastAsiaTheme="minorEastAsia" w:cstheme="minorEastAsia"/>
                <w:b/>
                <w:bCs/>
                <w:sz w:val="24"/>
                <w:szCs w:val="24"/>
                <w:highlight w:val="none"/>
              </w:rPr>
              <w:t>内容及要求</w:t>
            </w:r>
          </w:p>
        </w:tc>
      </w:tr>
      <w:tr w14:paraId="6FC1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67" w:type="dxa"/>
            <w:noWrap w:val="0"/>
            <w:vAlign w:val="center"/>
          </w:tcPr>
          <w:p w14:paraId="1004A2ED">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会前准备</w:t>
            </w:r>
          </w:p>
        </w:tc>
        <w:tc>
          <w:tcPr>
            <w:tcW w:w="8395" w:type="dxa"/>
            <w:noWrap w:val="0"/>
            <w:vAlign w:val="center"/>
          </w:tcPr>
          <w:p w14:paraId="11B97984">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会务服务人员根据会议要求进行会场布置，准备会务设施设备及物品,包括但不限于：布置场形；设置方向引导标志、标牌、横幅悬挂；调整桌间、通道距离；摆放矿泉水、文具、资料；根据需要放置签到桌，并准备签字笔。</w:t>
            </w:r>
          </w:p>
          <w:p w14:paraId="0D8F5855">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2.协助采购方检查音响、投影、电脑、电子显示屏等视频、音频设施设备，确保正常使用，协助工程人员确认灯光、空调等设施设备运行正常。</w:t>
            </w:r>
          </w:p>
          <w:p w14:paraId="514D9F8A">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3.会场布置完毕后，请会议主办部门联系人验收，并根据要求进行调整。</w:t>
            </w:r>
          </w:p>
        </w:tc>
      </w:tr>
      <w:tr w14:paraId="66F3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67" w:type="dxa"/>
            <w:noWrap w:val="0"/>
            <w:vAlign w:val="center"/>
          </w:tcPr>
          <w:p w14:paraId="675F4E74">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会中服务</w:t>
            </w:r>
          </w:p>
        </w:tc>
        <w:tc>
          <w:tcPr>
            <w:tcW w:w="8395" w:type="dxa"/>
            <w:noWrap w:val="0"/>
            <w:vAlign w:val="center"/>
          </w:tcPr>
          <w:p w14:paraId="2A28E50D">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1.会议服务员应对到会人员微笑问候，协助做好签到、存衣服务，对重要的领导进行引导，并按位就座；发现非参会人员，劝阻进入会场。</w:t>
            </w:r>
          </w:p>
          <w:p w14:paraId="1AD44480">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2.处理会议中各类服务需求，负责提供会议室茶水、矿泉水、铅笔、签字笔等。重要会议在会场外安排一名服务员值台，随时解决会议期间客人的各项要求。</w:t>
            </w:r>
          </w:p>
          <w:p w14:paraId="1906E73E">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3.会中服务时，不得在会场附近扎堆聊天、玩手机，无故不能随意脱岗。</w:t>
            </w:r>
          </w:p>
        </w:tc>
      </w:tr>
      <w:tr w14:paraId="0225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667" w:type="dxa"/>
            <w:noWrap w:val="0"/>
            <w:vAlign w:val="center"/>
          </w:tcPr>
          <w:p w14:paraId="12A148FD">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会后整理</w:t>
            </w:r>
          </w:p>
        </w:tc>
        <w:tc>
          <w:tcPr>
            <w:tcW w:w="8395" w:type="dxa"/>
            <w:noWrap w:val="0"/>
            <w:vAlign w:val="center"/>
          </w:tcPr>
          <w:p w14:paraId="11E9FB15">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1.会议结束后会议服务员提示与会人员检查随身携带的物品，谨防丢失。</w:t>
            </w:r>
          </w:p>
          <w:p w14:paraId="55A23C90">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2.通知各门岗准备送客。</w:t>
            </w:r>
          </w:p>
          <w:p w14:paraId="7ADFC248">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3.关闭设备，做好会后清理工作，保持整体环境干净光亮，桌椅摆放有序，水杯彻底清洁并按卫生标准消毒。</w:t>
            </w:r>
          </w:p>
        </w:tc>
      </w:tr>
    </w:tbl>
    <w:p w14:paraId="7D7CCCF7">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p>
    <w:p w14:paraId="12D1053F">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lang w:eastAsia="zh-TW"/>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b/>
          <w:bCs/>
          <w:sz w:val="24"/>
          <w:szCs w:val="24"/>
          <w:highlight w:val="none"/>
        </w:rPr>
        <w:t>房屋综合维护维修</w:t>
      </w:r>
    </w:p>
    <w:p w14:paraId="673F162D">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服务内容：对楼内配套基础设施进行巡视检查、预检预修</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具体服务内容及要求可参考下表：</w:t>
      </w:r>
    </w:p>
    <w:tbl>
      <w:tblPr>
        <w:tblStyle w:val="2"/>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8350"/>
      </w:tblGrid>
      <w:tr w14:paraId="32FB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noWrap w:val="0"/>
            <w:vAlign w:val="center"/>
          </w:tcPr>
          <w:p w14:paraId="03B4B8C8">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项目</w:t>
            </w:r>
          </w:p>
        </w:tc>
        <w:tc>
          <w:tcPr>
            <w:tcW w:w="8350" w:type="dxa"/>
            <w:noWrap w:val="0"/>
            <w:vAlign w:val="center"/>
          </w:tcPr>
          <w:p w14:paraId="6B2858E5">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内容及要求</w:t>
            </w:r>
          </w:p>
        </w:tc>
      </w:tr>
      <w:tr w14:paraId="2486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12" w:type="dxa"/>
            <w:noWrap w:val="0"/>
            <w:vAlign w:val="center"/>
          </w:tcPr>
          <w:p w14:paraId="48DE0D50">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综合维修</w:t>
            </w:r>
          </w:p>
        </w:tc>
        <w:tc>
          <w:tcPr>
            <w:tcW w:w="8350" w:type="dxa"/>
            <w:noWrap w:val="0"/>
            <w:vAlign w:val="center"/>
          </w:tcPr>
          <w:p w14:paraId="38FBFBD8">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定期检查房屋和院内道路等基础设施使用和安全状况，确保完好等级和正常使用；对房屋内装饰及各项配套基础设施进行日常保养、维护、维修；完成日常报修，如：修理门窗、吊顶、墙面、地面、房屋装饰、工位调整、修理锁具、卫生洁具等；小五金件的修理、更换，包括门窗把手、锁具；室外路面的日常维修、养护；本物业规划红线内的市政公用设施的维修、养护和管理，包括室外上下水管道、管道井、检查井等的日常管理，不属于物业维修范围内的做好巡视记录，沟通专业市政公司维修，发现问题及时上报，并采取临时处置措施。</w:t>
            </w:r>
          </w:p>
          <w:p w14:paraId="5D6D89F0">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2.建立健全房屋档案，制定房屋管理规定、房屋维修养护制度、房屋定期巡检制度。</w:t>
            </w:r>
          </w:p>
          <w:p w14:paraId="18CE2EF2">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3.房屋维护保养记录应齐全，并建立报修、维修和回访记录。</w:t>
            </w:r>
          </w:p>
          <w:p w14:paraId="7E4F9F92">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4.及时完成零星维修任务，零修合格率100%。急修15分钟内到达现场查看处理。如达中修需要配合采购方单位按照规定对房屋进行维修管理。</w:t>
            </w:r>
          </w:p>
        </w:tc>
      </w:tr>
      <w:tr w14:paraId="1B25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noWrap w:val="0"/>
            <w:vAlign w:val="center"/>
          </w:tcPr>
          <w:p w14:paraId="0967DC10">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房屋结构</w:t>
            </w:r>
          </w:p>
        </w:tc>
        <w:tc>
          <w:tcPr>
            <w:tcW w:w="8350" w:type="dxa"/>
            <w:noWrap w:val="0"/>
            <w:vAlign w:val="center"/>
          </w:tcPr>
          <w:p w14:paraId="4F7A65B1">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1.每季度巡视1次屋架、屋面、梁、柱、板、梯、池、承重墙、地基等结构构件，发现外观有变形、开裂等现象时，应及时建议房屋使用单位申请房屋安全鉴定，并采取必要的避险和防护措施。</w:t>
            </w:r>
          </w:p>
        </w:tc>
      </w:tr>
      <w:tr w14:paraId="4A0C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noWrap w:val="0"/>
            <w:vAlign w:val="center"/>
          </w:tcPr>
          <w:p w14:paraId="106CBB8E">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建筑部件</w:t>
            </w:r>
          </w:p>
        </w:tc>
        <w:tc>
          <w:tcPr>
            <w:tcW w:w="8350" w:type="dxa"/>
            <w:noWrap w:val="0"/>
            <w:vAlign w:val="center"/>
          </w:tcPr>
          <w:p w14:paraId="4B7EB257">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1.每季度检查1次外墙贴饰面、幕墙玻璃、雨篷、空调室外机支撑构件等。</w:t>
            </w:r>
          </w:p>
          <w:p w14:paraId="60180FF2">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2.每半月巡查1次共用部位的门、窗、楼梯、通风道等。</w:t>
            </w:r>
          </w:p>
          <w:p w14:paraId="67A8E3D0">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3.每个月检查1次共用部位的室内地面、墙面、天棚和室外屋面等。</w:t>
            </w:r>
          </w:p>
          <w:p w14:paraId="0AE87AEF">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4.每年汛期前和强降雨天气前后检查屋面防水和雨落管等。</w:t>
            </w:r>
          </w:p>
          <w:p w14:paraId="31AEFA64">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5.大风（台风）预报前检查建筑屋面、建筑外立面、标识设施等。</w:t>
            </w:r>
          </w:p>
        </w:tc>
      </w:tr>
      <w:tr w14:paraId="20DEC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noWrap w:val="0"/>
            <w:vAlign w:val="center"/>
          </w:tcPr>
          <w:p w14:paraId="1A0C5B06">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附属构筑物</w:t>
            </w:r>
          </w:p>
        </w:tc>
        <w:tc>
          <w:tcPr>
            <w:tcW w:w="8350" w:type="dxa"/>
            <w:noWrap w:val="0"/>
            <w:vAlign w:val="center"/>
          </w:tcPr>
          <w:p w14:paraId="2131A55B">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1.每半月巡查1次大门、围墙（栏）、道路、甬路、场地、管井、沟渠、景观等，汛期加强巡查。</w:t>
            </w:r>
          </w:p>
          <w:p w14:paraId="79882140">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2.每年检测1次防雷设施。</w:t>
            </w:r>
          </w:p>
          <w:p w14:paraId="5C70EC6C">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3.每月检查1次雨、污水管井、化粪池等。</w:t>
            </w:r>
          </w:p>
        </w:tc>
      </w:tr>
      <w:tr w14:paraId="4CB2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noWrap w:val="0"/>
            <w:vAlign w:val="center"/>
          </w:tcPr>
          <w:p w14:paraId="5C38F272">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标识标牌</w:t>
            </w:r>
          </w:p>
        </w:tc>
        <w:tc>
          <w:tcPr>
            <w:tcW w:w="8350" w:type="dxa"/>
            <w:noWrap w:val="0"/>
            <w:vAlign w:val="center"/>
          </w:tcPr>
          <w:p w14:paraId="45CDFA4E">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定期检查平面路线图、指引标识、楼层标识、各功能区标识、安全警示标识、温馨提醒标识、供配电系统模拟示意图、电气开关状态标识、主要供水阀门、主要管线流向标识、交通标识等，确保标识标牌规范清晰，安装稳固。</w:t>
            </w:r>
          </w:p>
        </w:tc>
      </w:tr>
    </w:tbl>
    <w:p w14:paraId="7B5CFBEC">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p>
    <w:p w14:paraId="67BF4200">
      <w:pPr>
        <w:keepNext w:val="0"/>
        <w:keepLines w:val="0"/>
        <w:pageBreakBefore w:val="0"/>
        <w:kinsoku/>
        <w:wordWrap/>
        <w:overflowPunct/>
        <w:topLinePunct w:val="0"/>
        <w:autoSpaceDE/>
        <w:autoSpaceDN/>
        <w:bidi w:val="0"/>
        <w:snapToGrid/>
        <w:spacing w:line="360" w:lineRule="auto"/>
        <w:ind w:firstLine="420" w:firstLineChars="0"/>
        <w:rPr>
          <w:rFonts w:hint="eastAsia" w:asciiTheme="minorEastAsia" w:hAnsiTheme="minorEastAsia" w:eastAsiaTheme="minorEastAsia" w:cstheme="minorEastAsia"/>
          <w:b/>
          <w:bCs/>
          <w:sz w:val="24"/>
          <w:szCs w:val="24"/>
          <w:highlight w:val="none"/>
          <w:lang w:eastAsia="zh-TW"/>
        </w:rPr>
      </w:pPr>
      <w:r>
        <w:rPr>
          <w:rFonts w:hint="eastAsia" w:asciiTheme="minorEastAsia" w:hAnsiTheme="minorEastAsia" w:eastAsiaTheme="minorEastAsia" w:cstheme="minorEastAsia"/>
          <w:b/>
          <w:bCs/>
          <w:sz w:val="24"/>
          <w:szCs w:val="24"/>
          <w:highlight w:val="none"/>
          <w:lang w:val="en-US" w:eastAsia="zh-CN"/>
        </w:rPr>
        <w:t>4.</w:t>
      </w:r>
      <w:r>
        <w:rPr>
          <w:rFonts w:hint="eastAsia" w:asciiTheme="minorEastAsia" w:hAnsiTheme="minorEastAsia" w:eastAsiaTheme="minorEastAsia" w:cstheme="minorEastAsia"/>
          <w:b/>
          <w:bCs/>
          <w:sz w:val="24"/>
          <w:szCs w:val="24"/>
          <w:highlight w:val="none"/>
        </w:rPr>
        <w:t>公用设施设备运行维护保养</w:t>
      </w:r>
    </w:p>
    <w:p w14:paraId="5E3DD82B">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服务内容：包括但不限于设施设备运行维护管理服务，设施设备强制检测服务及应急管理等。具体服务内容及要求可参考下表：</w:t>
      </w:r>
    </w:p>
    <w:tbl>
      <w:tblPr>
        <w:tblStyle w:val="2"/>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8292"/>
      </w:tblGrid>
      <w:tr w14:paraId="1E6E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70" w:type="dxa"/>
            <w:noWrap w:val="0"/>
            <w:vAlign w:val="center"/>
          </w:tcPr>
          <w:p w14:paraId="52818075">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项目</w:t>
            </w:r>
          </w:p>
        </w:tc>
        <w:tc>
          <w:tcPr>
            <w:tcW w:w="8292" w:type="dxa"/>
            <w:noWrap w:val="0"/>
            <w:vAlign w:val="center"/>
          </w:tcPr>
          <w:p w14:paraId="26F5E96F">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内容及要求</w:t>
            </w:r>
          </w:p>
        </w:tc>
      </w:tr>
      <w:tr w14:paraId="0723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70" w:type="dxa"/>
            <w:noWrap w:val="0"/>
            <w:vAlign w:val="center"/>
          </w:tcPr>
          <w:p w14:paraId="7A672AEB">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综合管理</w:t>
            </w:r>
          </w:p>
        </w:tc>
        <w:tc>
          <w:tcPr>
            <w:tcW w:w="8292" w:type="dxa"/>
            <w:noWrap w:val="0"/>
            <w:vAlign w:val="center"/>
          </w:tcPr>
          <w:p w14:paraId="77A1FC06">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1.做好大楼设施设备维修保养、运行检测服务，以及污水井、化粪池清掏服务，为设备改造、更换向采购方提供咨询服务，并在实施过程做好配合、协调、工作，保证办公物业内各种设施设备的正常运行。</w:t>
            </w:r>
          </w:p>
          <w:p w14:paraId="175E7928">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2.建立相关管理制度，如设施设备安全运行、岗位职责、设施设备定期巡检、维护保养、运行记录、维修档案等；制定相关应急预案。</w:t>
            </w:r>
          </w:p>
          <w:p w14:paraId="79997F96">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3.各种设备的操作人员、维修保养人员应有相应专业证书和上岗证书；严格执行设备操作规程，严禁违规作业，全年无人为责任停水、停电、火灾等事故。</w:t>
            </w:r>
          </w:p>
          <w:p w14:paraId="16B3997D">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定期对公用设施设备进行全面检查，开展隐患巡查排查和治理，确保公用设施设备运行良好。发现问题及时向房屋使用单位报告，安排专项修理，建立报修、维修和回访记录，零星维修合格率100%。急修15分钟内到达现场查看处理。</w:t>
            </w:r>
          </w:p>
          <w:p w14:paraId="0319ACD9">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5.负责本物业相关的设备用房钥匙、工程图纸、设备说明、维修养护记录及竣工验收资料的保管、查询、更新等工作。</w:t>
            </w:r>
          </w:p>
          <w:p w14:paraId="4E8B7AC6">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按设施设备运行要求，投标人应制定以下应急方案，每年组织演练：触电急救应急处理预案、地震等自然灾害应急方案、电梯困人应急预案、燃气泄漏应急方案、溢水事故应急预案、停电应急预案、停水应急预案等各类应急预案。</w:t>
            </w:r>
          </w:p>
          <w:p w14:paraId="61B8E1D0">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p>
        </w:tc>
      </w:tr>
      <w:tr w14:paraId="7B28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70" w:type="dxa"/>
            <w:noWrap w:val="0"/>
            <w:vAlign w:val="center"/>
          </w:tcPr>
          <w:p w14:paraId="1362A744">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消防系统</w:t>
            </w:r>
          </w:p>
        </w:tc>
        <w:tc>
          <w:tcPr>
            <w:tcW w:w="8292" w:type="dxa"/>
            <w:noWrap w:val="0"/>
            <w:vAlign w:val="center"/>
          </w:tcPr>
          <w:p w14:paraId="7CE2A138">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1.严格执行消防法规，建立消防安全管理制度，确保整个系统处于良好的状态。</w:t>
            </w:r>
          </w:p>
          <w:p w14:paraId="35B09ABB">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2.严格按照GB25201及属地消防安全管理的要求，定期检查、测试消防设施设备。</w:t>
            </w:r>
          </w:p>
          <w:p w14:paraId="4AF2DE8C">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3.每年至少开展1次消防及电气检测，检测报告通过消防部门审查监督。消防及电气检测机构不能与消防维保机构为同一法人单位。</w:t>
            </w:r>
          </w:p>
        </w:tc>
      </w:tr>
      <w:tr w14:paraId="083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7" w:hRule="atLeast"/>
          <w:jc w:val="center"/>
        </w:trPr>
        <w:tc>
          <w:tcPr>
            <w:tcW w:w="770" w:type="dxa"/>
            <w:noWrap w:val="0"/>
            <w:vAlign w:val="center"/>
          </w:tcPr>
          <w:p w14:paraId="403AF93C">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给排水系统</w:t>
            </w:r>
          </w:p>
        </w:tc>
        <w:tc>
          <w:tcPr>
            <w:tcW w:w="8292" w:type="dxa"/>
            <w:noWrap w:val="0"/>
            <w:vAlign w:val="center"/>
          </w:tcPr>
          <w:p w14:paraId="7DA57EFF">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1.建立正常供水管理制度。</w:t>
            </w:r>
          </w:p>
          <w:p w14:paraId="570EF8F3">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2.按照属地卫生管理要求，定期对二次供水设施进行清洗消毒，水质符合GB5749的要求。</w:t>
            </w:r>
          </w:p>
          <w:p w14:paraId="77B07BED">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3.有事故应急预案，及时发现并解决故障：如遇供水单位限水、停水，应按规定时间通知办公区内用户。</w:t>
            </w:r>
          </w:p>
          <w:p w14:paraId="67DE8850">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4.定期对排水管进行疏通、清污，保证室内外排水系统通畅；每年汛前对雨、污水井、屋面雨水口等排水设施进行检查；建立防汛预案，配备有防汛物资（沙袋、雨具、照明工具等），每年至少组织1次演练。</w:t>
            </w:r>
          </w:p>
        </w:tc>
      </w:tr>
      <w:tr w14:paraId="4EEE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14:paraId="70D65295">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供配电系统</w:t>
            </w:r>
          </w:p>
        </w:tc>
        <w:tc>
          <w:tcPr>
            <w:tcW w:w="8292" w:type="dxa"/>
            <w:noWrap w:val="0"/>
            <w:vAlign w:val="center"/>
          </w:tcPr>
          <w:p w14:paraId="0ED25C7D">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1.建立配送电运行制度、电气维修制度和配电房管理制度，制定突发事件应急处理程序和临时用电管理措施，供电和维修人员应持证上岗。</w:t>
            </w:r>
          </w:p>
          <w:p w14:paraId="54BB5C58">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2.建立24小时运行值班监控制度，一般故障半小时内修复，复杂故障涉及供电部门维修处置的应及时与供电部门联系，向使用单位报告；发现紧急故障，15分钟内到达并组织维修。</w:t>
            </w:r>
          </w:p>
          <w:p w14:paraId="7992971E">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3.按照属地政府监管部门和采购方要求，对高压变配电设备定期进行预防性试验和设备清扫紧固。高压安全用具和绝缘用具按要求进行日常维护。</w:t>
            </w:r>
          </w:p>
        </w:tc>
      </w:tr>
      <w:tr w14:paraId="1BC2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14:paraId="247B5C87">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电梯系统</w:t>
            </w:r>
          </w:p>
        </w:tc>
        <w:tc>
          <w:tcPr>
            <w:tcW w:w="8292" w:type="dxa"/>
            <w:noWrap w:val="0"/>
            <w:vAlign w:val="center"/>
          </w:tcPr>
          <w:p w14:paraId="7DB44124">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1.建立电梯运行管理、设备维护、安全管理等制度，做好档案管理。</w:t>
            </w:r>
          </w:p>
          <w:p w14:paraId="3A51EF1A">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2.严格执行国家有关电梯管理规定和安全规程，做到电梯准用证、年检合格证、维保合同完备。</w:t>
            </w:r>
          </w:p>
          <w:p w14:paraId="28E9A481">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3.每日对电梯进行清洁，保持轿厢、井道、机房整洁。</w:t>
            </w:r>
          </w:p>
          <w:p w14:paraId="291C4E9F">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4.有电梯突发事件或事故的应急措施与救援预案，每半年演练1次。电梯出现故障，物业服务人员15分钟内到场应急处理，维保专业人员30分钟内到场进行救助和排除故障。</w:t>
            </w:r>
          </w:p>
        </w:tc>
      </w:tr>
    </w:tbl>
    <w:p w14:paraId="525CF7BA">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p>
    <w:p w14:paraId="5BF985F4">
      <w:pPr>
        <w:keepNext w:val="0"/>
        <w:keepLines w:val="0"/>
        <w:pageBreakBefore w:val="0"/>
        <w:numPr>
          <w:ilvl w:val="0"/>
          <w:numId w:val="0"/>
        </w:numPr>
        <w:kinsoku/>
        <w:wordWrap/>
        <w:overflowPunct/>
        <w:topLinePunct w:val="0"/>
        <w:autoSpaceDE/>
        <w:autoSpaceDN/>
        <w:bidi w:val="0"/>
        <w:snapToGrid/>
        <w:spacing w:line="360" w:lineRule="auto"/>
        <w:ind w:firstLine="420" w:firstLineChars="0"/>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kern w:val="2"/>
          <w:sz w:val="24"/>
          <w:szCs w:val="24"/>
          <w:lang w:val="en-US" w:eastAsia="zh-CN" w:bidi="ar-SA"/>
        </w:rPr>
        <w:t>5.</w:t>
      </w:r>
      <w:r>
        <w:rPr>
          <w:rFonts w:hint="eastAsia" w:asciiTheme="minorEastAsia" w:hAnsiTheme="minorEastAsia" w:eastAsiaTheme="minorEastAsia" w:cstheme="minorEastAsia"/>
          <w:b/>
          <w:bCs/>
          <w:sz w:val="24"/>
          <w:szCs w:val="24"/>
          <w:highlight w:val="none"/>
          <w:lang w:val="en-US" w:eastAsia="zh-CN"/>
        </w:rPr>
        <w:t>其他要求</w:t>
      </w:r>
    </w:p>
    <w:p w14:paraId="45BE0E1B">
      <w:pPr>
        <w:keepNext w:val="0"/>
        <w:keepLines w:val="0"/>
        <w:pageBreakBefore w:val="0"/>
        <w:numPr>
          <w:ilvl w:val="-1"/>
          <w:numId w:val="0"/>
        </w:numPr>
        <w:kinsoku/>
        <w:wordWrap/>
        <w:overflowPunct/>
        <w:topLinePunct w:val="0"/>
        <w:autoSpaceDE/>
        <w:autoSpaceDN/>
        <w:bidi w:val="0"/>
        <w:snapToGrid/>
        <w:spacing w:line="360" w:lineRule="auto"/>
        <w:ind w:firstLine="0" w:firstLineChars="0"/>
        <w:rPr>
          <w:rFonts w:hint="default"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（1）企业相关业绩：提供2023年1月1日起至投标截止日，服务过同类物业案例；</w:t>
      </w:r>
    </w:p>
    <w:p w14:paraId="53C2C3FE">
      <w:pPr>
        <w:keepNext w:val="0"/>
        <w:keepLines w:val="0"/>
        <w:pageBreakBefore w:val="0"/>
        <w:numPr>
          <w:ilvl w:val="-1"/>
          <w:numId w:val="0"/>
        </w:numPr>
        <w:kinsoku/>
        <w:wordWrap/>
        <w:overflowPunct/>
        <w:topLinePunct w:val="0"/>
        <w:autoSpaceDE/>
        <w:autoSpaceDN/>
        <w:bidi w:val="0"/>
        <w:snapToGrid/>
        <w:spacing w:line="360" w:lineRule="auto"/>
        <w:ind w:firstLine="0" w:firstLineChars="0"/>
        <w:rPr>
          <w:rFonts w:hint="default"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（2）服务特点、难点分析及相应措施：提供针对本项目的物业管理服务理念、服务定位、目标、物业管理难点与服务对策；</w:t>
      </w:r>
    </w:p>
    <w:p w14:paraId="7BA94264">
      <w:pPr>
        <w:keepNext w:val="0"/>
        <w:keepLines w:val="0"/>
        <w:pageBreakBefore w:val="0"/>
        <w:numPr>
          <w:ilvl w:val="-1"/>
          <w:numId w:val="0"/>
        </w:numPr>
        <w:kinsoku/>
        <w:wordWrap/>
        <w:overflowPunct/>
        <w:topLinePunct w:val="0"/>
        <w:autoSpaceDE/>
        <w:autoSpaceDN/>
        <w:bidi w:val="0"/>
        <w:snapToGrid/>
        <w:spacing w:line="360" w:lineRule="auto"/>
        <w:ind w:firstLine="0" w:firstLineChars="0"/>
        <w:rPr>
          <w:rFonts w:hint="default"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（3）服务保障措施：提供针对本项目的服务保障措施包含但不限于：激励机制、监督机制、信息反馈；</w:t>
      </w:r>
    </w:p>
    <w:p w14:paraId="7E71C8E2">
      <w:pPr>
        <w:keepNext w:val="0"/>
        <w:keepLines w:val="0"/>
        <w:pageBreakBefore w:val="0"/>
        <w:numPr>
          <w:ilvl w:val="-1"/>
          <w:numId w:val="0"/>
        </w:numPr>
        <w:kinsoku/>
        <w:wordWrap/>
        <w:overflowPunct/>
        <w:topLinePunct w:val="0"/>
        <w:autoSpaceDE/>
        <w:autoSpaceDN/>
        <w:bidi w:val="0"/>
        <w:snapToGrid/>
        <w:spacing w:line="360" w:lineRule="auto"/>
        <w:ind w:firstLine="0" w:firstLineChars="0"/>
        <w:rPr>
          <w:rFonts w:hint="default"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（4）规章制度：提供针对本项目的内部管理制度，包含但不限于：财务、招聘、培训、考核、质量管理、档案管理；</w:t>
      </w:r>
    </w:p>
    <w:p w14:paraId="16260D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b w:val="0"/>
          <w:bCs w:val="0"/>
          <w:sz w:val="24"/>
          <w:szCs w:val="24"/>
          <w:highlight w:val="none"/>
          <w:lang w:val="en-US" w:eastAsia="zh-CN"/>
        </w:rPr>
        <w:t>（5）人员管理方案：</w:t>
      </w:r>
      <w:r>
        <w:rPr>
          <w:rFonts w:hint="eastAsia" w:asciiTheme="minorEastAsia" w:hAnsiTheme="minorEastAsia" w:eastAsiaTheme="minorEastAsia" w:cstheme="minorEastAsia"/>
          <w:sz w:val="24"/>
          <w:szCs w:val="24"/>
          <w:highlight w:val="none"/>
        </w:rPr>
        <w:t>提供针对本项目的人员管理方案，包含但不限于：项目服务人员配备方案</w:t>
      </w:r>
      <w:r>
        <w:rPr>
          <w:rFonts w:hint="eastAsia"/>
          <w:lang w:eastAsia="zh-CN"/>
        </w:rPr>
        <w:t>、</w:t>
      </w:r>
      <w:r>
        <w:rPr>
          <w:rFonts w:hint="eastAsia" w:asciiTheme="minorEastAsia" w:hAnsiTheme="minorEastAsia" w:eastAsiaTheme="minorEastAsia" w:cstheme="minorEastAsia"/>
          <w:sz w:val="24"/>
          <w:szCs w:val="24"/>
          <w:highlight w:val="none"/>
        </w:rPr>
        <w:t>人员</w:t>
      </w:r>
      <w:r>
        <w:rPr>
          <w:rFonts w:hint="eastAsia" w:asciiTheme="minorEastAsia" w:hAnsiTheme="minorEastAsia" w:eastAsiaTheme="minorEastAsia" w:cstheme="minorEastAsia"/>
          <w:sz w:val="24"/>
          <w:szCs w:val="24"/>
          <w:highlight w:val="none"/>
          <w:lang w:eastAsia="zh-CN"/>
        </w:rPr>
        <w:t>招聘入职管理、</w:t>
      </w:r>
      <w:r>
        <w:rPr>
          <w:rFonts w:hint="eastAsia" w:asciiTheme="minorEastAsia" w:hAnsiTheme="minorEastAsia" w:eastAsiaTheme="minorEastAsia" w:cstheme="minorEastAsia"/>
          <w:sz w:val="24"/>
          <w:szCs w:val="24"/>
          <w:highlight w:val="none"/>
        </w:rPr>
        <w:t>人员岗前培训方案</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人员稳定性保障措施服务方案</w:t>
      </w:r>
      <w:r>
        <w:rPr>
          <w:rFonts w:hint="eastAsia" w:asciiTheme="minorEastAsia" w:hAnsiTheme="minorEastAsia" w:eastAsiaTheme="minorEastAsia" w:cstheme="minorEastAsia"/>
          <w:sz w:val="24"/>
          <w:szCs w:val="24"/>
          <w:highlight w:val="none"/>
          <w:lang w:eastAsia="zh-CN"/>
        </w:rPr>
        <w:t>、离职与档案管理；</w:t>
      </w:r>
    </w:p>
    <w:p w14:paraId="74E9CB00">
      <w:pPr>
        <w:keepNext w:val="0"/>
        <w:keepLines w:val="0"/>
        <w:pageBreakBefore w:val="0"/>
        <w:numPr>
          <w:ilvl w:val="-1"/>
          <w:numId w:val="0"/>
        </w:numPr>
        <w:kinsoku/>
        <w:wordWrap/>
        <w:overflowPunct/>
        <w:topLinePunct w:val="0"/>
        <w:autoSpaceDE/>
        <w:autoSpaceDN/>
        <w:bidi w:val="0"/>
        <w:snapToGrid/>
        <w:spacing w:line="360" w:lineRule="auto"/>
        <w:ind w:firstLine="0" w:firstLineChars="0"/>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（6）应急预案：</w:t>
      </w:r>
      <w:r>
        <w:rPr>
          <w:rFonts w:hint="eastAsia" w:asciiTheme="minorEastAsia" w:hAnsiTheme="minorEastAsia" w:eastAsiaTheme="minorEastAsia" w:cstheme="minorEastAsia"/>
          <w:sz w:val="24"/>
          <w:szCs w:val="24"/>
          <w:highlight w:val="none"/>
        </w:rPr>
        <w:t>提供针对本项目的各项应急预案：灾害类应急预案</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突发事件类应急预案</w:t>
      </w:r>
    </w:p>
    <w:p w14:paraId="548A28BD">
      <w:pPr>
        <w:keepNext w:val="0"/>
        <w:keepLines w:val="0"/>
        <w:pageBreakBefore w:val="0"/>
        <w:numPr>
          <w:ilvl w:val="-1"/>
          <w:numId w:val="0"/>
        </w:numPr>
        <w:kinsoku/>
        <w:wordWrap/>
        <w:overflowPunct/>
        <w:topLinePunct w:val="0"/>
        <w:autoSpaceDE/>
        <w:autoSpaceDN/>
        <w:bidi w:val="0"/>
        <w:snapToGrid/>
        <w:spacing w:line="360" w:lineRule="auto"/>
        <w:ind w:firstLine="0" w:firstLineChars="0"/>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（7）保密方案：</w:t>
      </w:r>
      <w:r>
        <w:rPr>
          <w:rFonts w:hint="eastAsia" w:asciiTheme="minorEastAsia" w:hAnsiTheme="minorEastAsia" w:eastAsiaTheme="minorEastAsia" w:cstheme="minorEastAsia"/>
          <w:sz w:val="24"/>
          <w:szCs w:val="24"/>
          <w:highlight w:val="none"/>
        </w:rPr>
        <w:t>提供针对本项目的保密方案</w:t>
      </w:r>
      <w:r>
        <w:rPr>
          <w:rFonts w:hint="eastAsia" w:asciiTheme="minorEastAsia" w:hAnsiTheme="minorEastAsia" w:eastAsiaTheme="minorEastAsia" w:cstheme="minorEastAsia"/>
          <w:sz w:val="24"/>
          <w:szCs w:val="24"/>
          <w:highlight w:val="none"/>
          <w:lang w:eastAsia="zh-CN"/>
        </w:rPr>
        <w:t>；</w:t>
      </w:r>
    </w:p>
    <w:p w14:paraId="10418F01">
      <w:pPr>
        <w:keepNext w:val="0"/>
        <w:keepLines w:val="0"/>
        <w:pageBreakBefore w:val="0"/>
        <w:numPr>
          <w:ilvl w:val="-1"/>
          <w:numId w:val="0"/>
        </w:numPr>
        <w:kinsoku/>
        <w:wordWrap/>
        <w:overflowPunct/>
        <w:topLinePunct w:val="0"/>
        <w:autoSpaceDE/>
        <w:autoSpaceDN/>
        <w:bidi w:val="0"/>
        <w:snapToGrid/>
        <w:spacing w:line="360" w:lineRule="auto"/>
        <w:ind w:firstLine="0" w:firstLineChars="0"/>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（8）节能方案：</w:t>
      </w:r>
      <w:r>
        <w:rPr>
          <w:rFonts w:hint="eastAsia" w:asciiTheme="minorEastAsia" w:hAnsiTheme="minorEastAsia" w:eastAsiaTheme="minorEastAsia" w:cstheme="minorEastAsia"/>
          <w:sz w:val="24"/>
          <w:szCs w:val="24"/>
          <w:highlight w:val="none"/>
        </w:rPr>
        <w:t>提供针对本项目的</w:t>
      </w:r>
      <w:r>
        <w:rPr>
          <w:rFonts w:hint="eastAsia" w:asciiTheme="minorEastAsia" w:hAnsiTheme="minorEastAsia" w:eastAsiaTheme="minorEastAsia" w:cstheme="minorEastAsia"/>
          <w:sz w:val="24"/>
          <w:szCs w:val="24"/>
          <w:highlight w:val="none"/>
          <w:lang w:val="en-US" w:eastAsia="zh-CN"/>
        </w:rPr>
        <w:t>节能</w:t>
      </w:r>
      <w:r>
        <w:rPr>
          <w:rFonts w:hint="eastAsia" w:asciiTheme="minorEastAsia" w:hAnsiTheme="minorEastAsia" w:eastAsiaTheme="minorEastAsia" w:cstheme="minorEastAsia"/>
          <w:sz w:val="24"/>
          <w:szCs w:val="24"/>
          <w:highlight w:val="none"/>
        </w:rPr>
        <w:t>方案</w:t>
      </w:r>
      <w:r>
        <w:rPr>
          <w:rFonts w:hint="eastAsia" w:asciiTheme="minorEastAsia" w:hAnsiTheme="minorEastAsia" w:eastAsiaTheme="minorEastAsia" w:cstheme="minorEastAsia"/>
          <w:sz w:val="24"/>
          <w:szCs w:val="24"/>
          <w:highlight w:val="none"/>
          <w:lang w:eastAsia="zh-CN"/>
        </w:rPr>
        <w:t>；</w:t>
      </w:r>
    </w:p>
    <w:p w14:paraId="05035921">
      <w:pPr>
        <w:keepNext w:val="0"/>
        <w:keepLines w:val="0"/>
        <w:pageBreakBefore w:val="0"/>
        <w:numPr>
          <w:ilvl w:val="-1"/>
          <w:numId w:val="0"/>
        </w:numPr>
        <w:kinsoku/>
        <w:wordWrap/>
        <w:overflowPunct/>
        <w:topLinePunct w:val="0"/>
        <w:autoSpaceDE/>
        <w:autoSpaceDN/>
        <w:bidi w:val="0"/>
        <w:snapToGrid/>
        <w:spacing w:line="360" w:lineRule="auto"/>
        <w:ind w:firstLine="0" w:firstLineChars="0"/>
        <w:rPr>
          <w:rFonts w:hint="default"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（9）</w:t>
      </w:r>
      <w:r>
        <w:rPr>
          <w:rFonts w:hint="eastAsia" w:asciiTheme="minorEastAsia" w:hAnsiTheme="minorEastAsia" w:eastAsiaTheme="minorEastAsia" w:cstheme="minorEastAsia"/>
          <w:sz w:val="24"/>
          <w:szCs w:val="24"/>
          <w:highlight w:val="none"/>
        </w:rPr>
        <w:t>落实ESG理念的工作措施</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提供本项目落实ESG理念工作措施。</w:t>
      </w:r>
    </w:p>
    <w:p w14:paraId="60DCDD9C">
      <w:pPr>
        <w:keepNext w:val="0"/>
        <w:keepLines w:val="0"/>
        <w:pageBreakBefore w:val="0"/>
        <w:kinsoku/>
        <w:wordWrap/>
        <w:overflowPunct/>
        <w:topLinePunct w:val="0"/>
        <w:autoSpaceDE/>
        <w:autoSpaceDN/>
        <w:bidi w:val="0"/>
        <w:snapToGrid/>
        <w:spacing w:line="360" w:lineRule="auto"/>
        <w:ind w:firstLine="420" w:firstLineChars="0"/>
        <w:rPr>
          <w:rFonts w:hint="default" w:asciiTheme="minorEastAsia" w:hAnsiTheme="minorEastAsia" w:eastAsiaTheme="minorEastAsia" w:cstheme="minorEastAsia"/>
          <w:sz w:val="24"/>
          <w:szCs w:val="24"/>
          <w:highlight w:val="none"/>
          <w:lang w:val="en-US" w:eastAsia="zh-CN"/>
        </w:rPr>
      </w:pPr>
    </w:p>
    <w:p w14:paraId="76F707DE">
      <w:pPr>
        <w:keepNext w:val="0"/>
        <w:keepLines w:val="0"/>
        <w:pageBreakBefore w:val="0"/>
        <w:kinsoku/>
        <w:wordWrap/>
        <w:overflowPunct/>
        <w:topLinePunct w:val="0"/>
        <w:autoSpaceDE/>
        <w:autoSpaceDN/>
        <w:bidi w:val="0"/>
        <w:snapToGrid/>
        <w:spacing w:line="360" w:lineRule="auto"/>
        <w:ind w:firstLine="420" w:firstLineChars="0"/>
        <w:rPr>
          <w:rFonts w:hint="default" w:asciiTheme="minorEastAsia" w:hAnsiTheme="minorEastAsia" w:eastAsiaTheme="minorEastAsia" w:cstheme="minorEastAsia"/>
          <w:sz w:val="24"/>
          <w:szCs w:val="24"/>
          <w:highlight w:val="none"/>
          <w:lang w:val="en-US" w:eastAsia="zh-CN"/>
        </w:rPr>
      </w:pPr>
    </w:p>
    <w:p w14:paraId="08DDF929">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b/>
          <w:bCs/>
          <w:sz w:val="24"/>
          <w:szCs w:val="24"/>
          <w:highlight w:val="none"/>
          <w:lang w:val="zh-CN"/>
        </w:rPr>
      </w:pPr>
      <w:r>
        <w:rPr>
          <w:rFonts w:hint="eastAsia" w:asciiTheme="minorEastAsia" w:hAnsiTheme="minorEastAsia" w:eastAsiaTheme="minorEastAsia" w:cstheme="minorEastAsia"/>
          <w:b/>
          <w:bCs/>
          <w:sz w:val="24"/>
          <w:szCs w:val="24"/>
          <w:highlight w:val="none"/>
          <w:lang w:val="zh-CN"/>
        </w:rPr>
        <w:t>四、主要管理人员要求</w:t>
      </w:r>
    </w:p>
    <w:p w14:paraId="0063E0E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outlineLvl w:val="1"/>
        <w:rPr>
          <w:rFonts w:hint="eastAsia" w:asciiTheme="minorEastAsia" w:hAnsiTheme="minorEastAsia" w:eastAsiaTheme="minorEastAsia" w:cstheme="minorEastAsia"/>
          <w:b w:val="0"/>
          <w:bCs w:val="0"/>
          <w:sz w:val="24"/>
          <w:szCs w:val="24"/>
          <w:highlight w:val="none"/>
          <w:lang w:val="zh-CN"/>
        </w:rPr>
      </w:pPr>
      <w:r>
        <w:rPr>
          <w:rFonts w:hint="eastAsia" w:asciiTheme="minorEastAsia" w:hAnsiTheme="minorEastAsia" w:eastAsiaTheme="minorEastAsia" w:cstheme="minorEastAsia"/>
          <w:b w:val="0"/>
          <w:bCs w:val="0"/>
          <w:sz w:val="24"/>
          <w:szCs w:val="24"/>
          <w:highlight w:val="none"/>
          <w:lang w:val="zh-CN"/>
        </w:rPr>
        <w:t>以</w:t>
      </w:r>
      <w:r>
        <w:rPr>
          <w:rFonts w:hint="eastAsia" w:asciiTheme="minorEastAsia" w:hAnsiTheme="minorEastAsia" w:eastAsiaTheme="minorEastAsia" w:cstheme="minorEastAsia"/>
          <w:b w:val="0"/>
          <w:bCs w:val="0"/>
          <w:sz w:val="24"/>
          <w:szCs w:val="24"/>
          <w:highlight w:val="none"/>
          <w:lang w:val="en-US" w:eastAsia="zh-CN"/>
        </w:rPr>
        <w:t>上</w:t>
      </w:r>
      <w:r>
        <w:rPr>
          <w:rFonts w:hint="eastAsia" w:asciiTheme="minorEastAsia" w:hAnsiTheme="minorEastAsia" w:eastAsiaTheme="minorEastAsia" w:cstheme="minorEastAsia"/>
          <w:b w:val="0"/>
          <w:bCs w:val="0"/>
          <w:sz w:val="24"/>
          <w:szCs w:val="24"/>
          <w:highlight w:val="none"/>
          <w:lang w:val="zh-CN"/>
        </w:rPr>
        <w:t>各部分所描述的物业具体服务需求及岗位，投标人须根据自身经验提供相应的能力和人员数量为采购方进行服务，本项目驻场管理与服务人员总人数不得少于1</w:t>
      </w:r>
      <w:r>
        <w:rPr>
          <w:rFonts w:hint="eastAsia" w:asciiTheme="minorEastAsia" w:hAnsiTheme="minorEastAsia" w:eastAsiaTheme="minorEastAsia" w:cstheme="minorEastAsia"/>
          <w:b w:val="0"/>
          <w:bCs w:val="0"/>
          <w:sz w:val="24"/>
          <w:szCs w:val="24"/>
          <w:highlight w:val="none"/>
          <w:lang w:val="en-US" w:eastAsia="zh-CN"/>
        </w:rPr>
        <w:t>7</w:t>
      </w:r>
      <w:r>
        <w:rPr>
          <w:rFonts w:hint="eastAsia" w:asciiTheme="minorEastAsia" w:hAnsiTheme="minorEastAsia" w:eastAsiaTheme="minorEastAsia" w:cstheme="minorEastAsia"/>
          <w:b w:val="0"/>
          <w:bCs w:val="0"/>
          <w:sz w:val="24"/>
          <w:szCs w:val="24"/>
          <w:highlight w:val="none"/>
          <w:lang w:val="zh-CN"/>
        </w:rPr>
        <w:t>人，且应配备具有职业资格的物业服务人员，确保符合相关法规要求并保证各岗位齐全。</w:t>
      </w:r>
    </w:p>
    <w:p w14:paraId="4B855DD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outlineLvl w:val="1"/>
        <w:rPr>
          <w:rFonts w:hint="eastAsia" w:asciiTheme="minorEastAsia" w:hAnsiTheme="minorEastAsia" w:eastAsiaTheme="minorEastAsia" w:cstheme="minorEastAsia"/>
          <w:b w:val="0"/>
          <w:bCs w:val="0"/>
          <w:sz w:val="24"/>
          <w:szCs w:val="24"/>
          <w:highlight w:val="none"/>
          <w:lang w:val="zh-CN"/>
        </w:rPr>
      </w:pPr>
      <w:r>
        <w:rPr>
          <w:rFonts w:hint="eastAsia" w:asciiTheme="minorEastAsia" w:hAnsiTheme="minorEastAsia" w:eastAsiaTheme="minorEastAsia" w:cstheme="minorEastAsia"/>
          <w:b w:val="0"/>
          <w:bCs w:val="0"/>
          <w:sz w:val="24"/>
          <w:szCs w:val="24"/>
          <w:highlight w:val="none"/>
          <w:lang w:val="zh-CN"/>
        </w:rPr>
        <w:t>1.工作时间按各岗位服务需求执行，其余时间如采购方有到岗要求的，需按采购方要求执行。项目经理岗在服务期间未经采购方同意不能随意更换（如需更换提前一个月提交申请并附相关更换人员履历证明，待采购方批准面试后方可入职），更换标准须等同于或高于需求书标准。</w:t>
      </w:r>
    </w:p>
    <w:p w14:paraId="6F1BD08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outlineLvl w:val="1"/>
        <w:rPr>
          <w:rFonts w:hint="eastAsia" w:asciiTheme="minorEastAsia" w:hAnsiTheme="minorEastAsia" w:eastAsiaTheme="minorEastAsia" w:cstheme="minorEastAsia"/>
          <w:b w:val="0"/>
          <w:bCs w:val="0"/>
          <w:sz w:val="24"/>
          <w:szCs w:val="24"/>
          <w:highlight w:val="none"/>
          <w:lang w:val="zh-CN"/>
        </w:rPr>
      </w:pPr>
      <w:r>
        <w:rPr>
          <w:rFonts w:hint="eastAsia" w:asciiTheme="minorEastAsia" w:hAnsiTheme="minorEastAsia" w:eastAsiaTheme="minorEastAsia" w:cstheme="minorEastAsia"/>
          <w:b w:val="0"/>
          <w:bCs w:val="0"/>
          <w:sz w:val="24"/>
          <w:szCs w:val="24"/>
          <w:highlight w:val="none"/>
          <w:lang w:val="zh-CN"/>
        </w:rPr>
        <w:t>2.投标人须严格按照采购方保密工作相关要求实施各项服务工作，服从采购方安全保密监督管理。</w:t>
      </w:r>
    </w:p>
    <w:p w14:paraId="1FF36B5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outlineLvl w:val="1"/>
        <w:rPr>
          <w:rFonts w:hint="eastAsia" w:asciiTheme="minorEastAsia" w:hAnsiTheme="minorEastAsia" w:eastAsiaTheme="minorEastAsia" w:cstheme="minorEastAsia"/>
          <w:b w:val="0"/>
          <w:bCs w:val="0"/>
          <w:sz w:val="24"/>
          <w:szCs w:val="24"/>
          <w:highlight w:val="none"/>
          <w:lang w:val="zh-CN"/>
        </w:rPr>
      </w:pPr>
      <w:r>
        <w:rPr>
          <w:rFonts w:hint="eastAsia" w:asciiTheme="minorEastAsia" w:hAnsiTheme="minorEastAsia" w:eastAsiaTheme="minorEastAsia" w:cstheme="minorEastAsia"/>
          <w:b w:val="0"/>
          <w:bCs w:val="0"/>
          <w:sz w:val="24"/>
          <w:szCs w:val="24"/>
          <w:highlight w:val="none"/>
          <w:lang w:val="zh-CN"/>
        </w:rPr>
        <w:t>3.投标人应考虑在灾害、疫情或其他政府要求的防控常态化条件下，积极配合采购方进一步完善落实应急和常态化防控结合的措施与机制，严格落实投标人主体责任，加强物业人员管理及时处置各类应急突发事件（在服务期内若中央、北京市相关部门或采购方对于特殊事件管控政策变更或调整的，按照变更或调整后最新政策执行）。</w:t>
      </w:r>
    </w:p>
    <w:p w14:paraId="3CFC608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outlineLvl w:val="1"/>
        <w:rPr>
          <w:rFonts w:hint="eastAsia" w:asciiTheme="minorEastAsia" w:hAnsiTheme="minorEastAsia" w:eastAsiaTheme="minorEastAsia" w:cstheme="minorEastAsia"/>
          <w:b w:val="0"/>
          <w:bCs w:val="0"/>
          <w:sz w:val="24"/>
          <w:szCs w:val="24"/>
          <w:highlight w:val="none"/>
          <w:lang w:val="zh-CN"/>
        </w:rPr>
      </w:pPr>
      <w:r>
        <w:rPr>
          <w:rFonts w:hint="eastAsia" w:asciiTheme="minorEastAsia" w:hAnsiTheme="minorEastAsia" w:eastAsiaTheme="minorEastAsia" w:cstheme="minorEastAsia"/>
          <w:b w:val="0"/>
          <w:bCs w:val="0"/>
          <w:sz w:val="24"/>
          <w:szCs w:val="24"/>
          <w:highlight w:val="none"/>
          <w:lang w:val="zh-CN"/>
        </w:rPr>
        <w:t>4.对于采购方提出的各类新增服务需求、内容、各类设备升级改造等，投标人应积极响应，配合提供相关技术支持，共同完善方案，协助采购方组织实施。</w:t>
      </w:r>
    </w:p>
    <w:p w14:paraId="6C2FCA1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outlineLvl w:val="1"/>
        <w:rPr>
          <w:rFonts w:hint="eastAsia" w:asciiTheme="minorEastAsia" w:hAnsiTheme="minorEastAsia" w:eastAsiaTheme="minorEastAsia" w:cstheme="minorEastAsia"/>
          <w:b w:val="0"/>
          <w:bCs w:val="0"/>
          <w:sz w:val="24"/>
          <w:szCs w:val="24"/>
          <w:highlight w:val="none"/>
          <w:lang w:val="zh-CN"/>
        </w:rPr>
      </w:pPr>
      <w:r>
        <w:rPr>
          <w:rFonts w:hint="eastAsia" w:asciiTheme="minorEastAsia" w:hAnsiTheme="minorEastAsia" w:eastAsiaTheme="minorEastAsia" w:cstheme="minorEastAsia"/>
          <w:b w:val="0"/>
          <w:bCs w:val="0"/>
          <w:sz w:val="24"/>
          <w:szCs w:val="24"/>
          <w:highlight w:val="none"/>
          <w:lang w:val="zh-CN"/>
        </w:rPr>
        <w:t>5.如遇各类突发灾害、突发事件时，投标人应准备相关应急预案，积极配合采购方进行处置，尽最大能力维护采购方利益。</w:t>
      </w:r>
    </w:p>
    <w:tbl>
      <w:tblPr>
        <w:tblStyle w:val="2"/>
        <w:tblW w:w="90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1425"/>
        <w:gridCol w:w="696"/>
        <w:gridCol w:w="6248"/>
      </w:tblGrid>
      <w:tr w14:paraId="0CB22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B7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DE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岗位</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70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人数</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30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人员要求</w:t>
            </w:r>
          </w:p>
        </w:tc>
      </w:tr>
      <w:tr w14:paraId="1A632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E3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58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项目经理</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2B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19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1</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lang w:eastAsia="zh-CN"/>
              </w:rPr>
              <w:t>具</w:t>
            </w:r>
            <w:r>
              <w:rPr>
                <w:rFonts w:hint="eastAsia" w:asciiTheme="minorEastAsia" w:hAnsiTheme="minorEastAsia" w:eastAsiaTheme="minorEastAsia" w:cstheme="minorEastAsia"/>
                <w:sz w:val="24"/>
                <w:szCs w:val="24"/>
                <w:highlight w:val="none"/>
              </w:rPr>
              <w:t>备</w:t>
            </w:r>
            <w:r>
              <w:rPr>
                <w:rFonts w:hint="eastAsia" w:asciiTheme="minorEastAsia" w:hAnsiTheme="minorEastAsia" w:eastAsiaTheme="minorEastAsia" w:cstheme="minorEastAsia"/>
                <w:sz w:val="24"/>
                <w:szCs w:val="24"/>
                <w:highlight w:val="none"/>
                <w:lang w:val="en-US" w:eastAsia="zh-CN"/>
              </w:rPr>
              <w:t>大学</w:t>
            </w:r>
            <w:r>
              <w:rPr>
                <w:rFonts w:hint="eastAsia" w:asciiTheme="minorEastAsia" w:hAnsiTheme="minorEastAsia" w:eastAsiaTheme="minorEastAsia" w:cstheme="minorEastAsia"/>
                <w:sz w:val="24"/>
                <w:szCs w:val="24"/>
                <w:highlight w:val="none"/>
                <w:lang w:eastAsia="zh-CN"/>
              </w:rPr>
              <w:t>本科</w:t>
            </w:r>
            <w:r>
              <w:rPr>
                <w:rFonts w:hint="eastAsia" w:asciiTheme="minorEastAsia" w:hAnsiTheme="minorEastAsia" w:eastAsiaTheme="minorEastAsia" w:cstheme="minorEastAsia"/>
                <w:sz w:val="24"/>
                <w:szCs w:val="24"/>
                <w:highlight w:val="none"/>
                <w:lang w:val="en-US" w:eastAsia="zh-CN"/>
              </w:rPr>
              <w:t>及</w:t>
            </w:r>
            <w:r>
              <w:rPr>
                <w:rFonts w:hint="eastAsia" w:asciiTheme="minorEastAsia" w:hAnsiTheme="minorEastAsia" w:eastAsiaTheme="minorEastAsia" w:cstheme="minorEastAsia"/>
                <w:sz w:val="24"/>
                <w:szCs w:val="24"/>
                <w:highlight w:val="none"/>
                <w:lang w:eastAsia="zh-CN"/>
              </w:rPr>
              <w:t>以上学历；</w:t>
            </w:r>
          </w:p>
          <w:p w14:paraId="315ACD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具备安全工程专业中级及以上职称</w:t>
            </w:r>
            <w:r>
              <w:rPr>
                <w:rFonts w:hint="eastAsia" w:asciiTheme="minorEastAsia" w:hAnsiTheme="minorEastAsia" w:eastAsiaTheme="minorEastAsia" w:cstheme="minorEastAsia"/>
                <w:sz w:val="24"/>
                <w:szCs w:val="24"/>
                <w:highlight w:val="none"/>
                <w:lang w:eastAsia="zh-CN"/>
              </w:rPr>
              <w:t>；</w:t>
            </w:r>
          </w:p>
          <w:p w14:paraId="22BD2A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具备</w:t>
            </w:r>
            <w:r>
              <w:rPr>
                <w:rFonts w:hint="eastAsia" w:asciiTheme="minorEastAsia" w:hAnsiTheme="minorEastAsia" w:eastAsiaTheme="minorEastAsia" w:cstheme="minorEastAsia"/>
                <w:sz w:val="24"/>
                <w:szCs w:val="24"/>
                <w:highlight w:val="none"/>
                <w:lang w:val="en-US" w:eastAsia="zh-CN"/>
              </w:rPr>
              <w:t>特种设备安全管理A证；</w:t>
            </w:r>
          </w:p>
          <w:p w14:paraId="66D623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4.具备</w:t>
            </w:r>
            <w:r>
              <w:rPr>
                <w:rFonts w:hint="eastAsia" w:asciiTheme="minorEastAsia" w:hAnsiTheme="minorEastAsia" w:eastAsiaTheme="minorEastAsia" w:cstheme="minorEastAsia"/>
                <w:sz w:val="24"/>
                <w:szCs w:val="24"/>
                <w:highlight w:val="none"/>
              </w:rPr>
              <w:t>建（构）筑物消防员</w:t>
            </w:r>
            <w:r>
              <w:rPr>
                <w:rFonts w:hint="eastAsia" w:asciiTheme="minorEastAsia" w:hAnsiTheme="minorEastAsia" w:eastAsiaTheme="minorEastAsia" w:cstheme="minorEastAsia"/>
                <w:sz w:val="24"/>
                <w:szCs w:val="24"/>
                <w:highlight w:val="none"/>
                <w:lang w:val="en-US" w:eastAsia="zh-CN"/>
              </w:rPr>
              <w:t>证书</w:t>
            </w:r>
            <w:r>
              <w:rPr>
                <w:rFonts w:hint="eastAsia" w:asciiTheme="minorEastAsia" w:hAnsiTheme="minorEastAsia" w:eastAsiaTheme="minorEastAsia" w:cstheme="minorEastAsia"/>
                <w:sz w:val="24"/>
                <w:szCs w:val="24"/>
                <w:highlight w:val="none"/>
                <w:lang w:eastAsia="zh-CN"/>
              </w:rPr>
              <w:t>或</w:t>
            </w:r>
            <w:r>
              <w:rPr>
                <w:rFonts w:hint="eastAsia" w:asciiTheme="minorEastAsia" w:hAnsiTheme="minorEastAsia" w:eastAsiaTheme="minorEastAsia" w:cstheme="minorEastAsia"/>
                <w:sz w:val="24"/>
                <w:szCs w:val="24"/>
                <w:highlight w:val="none"/>
                <w:lang w:val="en-US" w:eastAsia="zh-CN"/>
              </w:rPr>
              <w:t>消防设施操作员证书；</w:t>
            </w:r>
          </w:p>
          <w:p w14:paraId="29011E87">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iCs w:val="0"/>
                <w:color w:val="000000"/>
                <w:sz w:val="24"/>
                <w:szCs w:val="24"/>
                <w:highlight w:val="none"/>
                <w:u w:val="none"/>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具有</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lang w:eastAsia="zh-CN"/>
              </w:rPr>
              <w:t>及</w:t>
            </w:r>
            <w:r>
              <w:rPr>
                <w:rFonts w:hint="eastAsia" w:asciiTheme="minorEastAsia" w:hAnsiTheme="minorEastAsia" w:eastAsiaTheme="minorEastAsia" w:cstheme="minorEastAsia"/>
                <w:sz w:val="24"/>
                <w:szCs w:val="24"/>
                <w:highlight w:val="none"/>
              </w:rPr>
              <w:t>以上同类型项目管理经验</w:t>
            </w:r>
            <w:r>
              <w:rPr>
                <w:rFonts w:hint="eastAsia" w:asciiTheme="minorEastAsia" w:hAnsiTheme="minorEastAsia" w:eastAsiaTheme="minorEastAsia" w:cstheme="minorEastAsia"/>
                <w:sz w:val="24"/>
                <w:szCs w:val="24"/>
                <w:highlight w:val="none"/>
                <w:lang w:eastAsia="zh-CN"/>
              </w:rPr>
              <w:t>。</w:t>
            </w:r>
          </w:p>
        </w:tc>
      </w:tr>
      <w:tr w14:paraId="3636F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F3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32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highlight w:val="none"/>
                <w:u w:val="none"/>
                <w:lang w:val="en-US" w:eastAsia="zh-CN" w:bidi="ar"/>
              </w:rPr>
              <w:t>会议主管</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84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77B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具备</w:t>
            </w:r>
            <w:r>
              <w:rPr>
                <w:rFonts w:hint="eastAsia" w:asciiTheme="minorEastAsia" w:hAnsiTheme="minorEastAsia" w:eastAsiaTheme="minorEastAsia" w:cstheme="minorEastAsia"/>
                <w:sz w:val="24"/>
                <w:szCs w:val="24"/>
                <w:highlight w:val="none"/>
                <w:lang w:val="en-US" w:eastAsia="zh-CN"/>
              </w:rPr>
              <w:t>全日制大学</w:t>
            </w:r>
            <w:r>
              <w:rPr>
                <w:rFonts w:hint="eastAsia" w:asciiTheme="minorEastAsia" w:hAnsiTheme="minorEastAsia" w:eastAsiaTheme="minorEastAsia" w:cstheme="minorEastAsia"/>
                <w:sz w:val="24"/>
                <w:szCs w:val="24"/>
                <w:highlight w:val="none"/>
                <w:lang w:eastAsia="zh-CN"/>
              </w:rPr>
              <w:t>本科</w:t>
            </w:r>
            <w:r>
              <w:rPr>
                <w:rFonts w:hint="eastAsia" w:asciiTheme="minorEastAsia" w:hAnsiTheme="minorEastAsia" w:eastAsiaTheme="minorEastAsia" w:cstheme="minorEastAsia"/>
                <w:sz w:val="24"/>
                <w:szCs w:val="24"/>
                <w:highlight w:val="none"/>
              </w:rPr>
              <w:t>及以上学历</w:t>
            </w:r>
            <w:r>
              <w:rPr>
                <w:rFonts w:hint="eastAsia" w:asciiTheme="minorEastAsia" w:hAnsiTheme="minorEastAsia" w:eastAsiaTheme="minorEastAsia" w:cstheme="minorEastAsia"/>
                <w:sz w:val="24"/>
                <w:szCs w:val="24"/>
                <w:highlight w:val="none"/>
                <w:lang w:eastAsia="zh-CN"/>
              </w:rPr>
              <w:t>；</w:t>
            </w:r>
          </w:p>
          <w:p w14:paraId="1D4EBF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具备</w:t>
            </w:r>
            <w:r>
              <w:rPr>
                <w:rFonts w:hint="eastAsia" w:asciiTheme="minorEastAsia" w:hAnsiTheme="minorEastAsia" w:eastAsiaTheme="minorEastAsia" w:cstheme="minorEastAsia"/>
                <w:sz w:val="24"/>
                <w:szCs w:val="24"/>
                <w:highlight w:val="none"/>
                <w:lang w:val="en-US" w:eastAsia="zh-CN"/>
              </w:rPr>
              <w:t>国家大学英语四级及以上证书</w:t>
            </w:r>
            <w:r>
              <w:rPr>
                <w:rFonts w:hint="eastAsia" w:asciiTheme="minorEastAsia" w:hAnsiTheme="minorEastAsia" w:eastAsiaTheme="minorEastAsia" w:cstheme="minorEastAsia"/>
                <w:sz w:val="24"/>
                <w:szCs w:val="24"/>
                <w:highlight w:val="none"/>
                <w:lang w:eastAsia="zh-CN"/>
              </w:rPr>
              <w:t>；</w:t>
            </w:r>
          </w:p>
          <w:p w14:paraId="1E732F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具备</w:t>
            </w:r>
            <w:r>
              <w:rPr>
                <w:rFonts w:hint="eastAsia" w:asciiTheme="minorEastAsia" w:hAnsiTheme="minorEastAsia" w:eastAsiaTheme="minorEastAsia" w:cstheme="minorEastAsia"/>
                <w:sz w:val="24"/>
                <w:szCs w:val="24"/>
                <w:highlight w:val="none"/>
                <w:lang w:val="en-US" w:eastAsia="zh-CN"/>
              </w:rPr>
              <w:t>普通话水平测试二级及以上证书</w:t>
            </w:r>
            <w:r>
              <w:rPr>
                <w:rFonts w:hint="eastAsia" w:asciiTheme="minorEastAsia" w:hAnsiTheme="minorEastAsia" w:eastAsiaTheme="minorEastAsia" w:cstheme="minorEastAsia"/>
                <w:sz w:val="24"/>
                <w:szCs w:val="24"/>
                <w:highlight w:val="none"/>
                <w:lang w:eastAsia="zh-CN"/>
              </w:rPr>
              <w:t>；</w:t>
            </w:r>
          </w:p>
          <w:p w14:paraId="0A3DB4A5">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eastAsiaTheme="minorEastAsia"/>
                <w:i w:val="0"/>
                <w:iCs w:val="0"/>
                <w:color w:val="000000"/>
                <w:sz w:val="24"/>
                <w:szCs w:val="24"/>
                <w:highlight w:val="none"/>
                <w:u w:val="none"/>
                <w:lang w:eastAsia="zh-CN"/>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具有</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lang w:eastAsia="zh-CN"/>
              </w:rPr>
              <w:t>及</w:t>
            </w:r>
            <w:r>
              <w:rPr>
                <w:rFonts w:hint="eastAsia" w:asciiTheme="minorEastAsia" w:hAnsiTheme="minorEastAsia" w:eastAsiaTheme="minorEastAsia" w:cstheme="minorEastAsia"/>
                <w:sz w:val="24"/>
                <w:szCs w:val="24"/>
                <w:highlight w:val="none"/>
              </w:rPr>
              <w:t>以上同类型项目管理经验</w:t>
            </w:r>
            <w:r>
              <w:rPr>
                <w:rFonts w:hint="eastAsia" w:asciiTheme="minorEastAsia" w:hAnsiTheme="minorEastAsia" w:eastAsiaTheme="minorEastAsia" w:cstheme="minorEastAsia"/>
                <w:sz w:val="24"/>
                <w:szCs w:val="24"/>
                <w:highlight w:val="none"/>
                <w:lang w:eastAsia="zh-CN"/>
              </w:rPr>
              <w:t>。</w:t>
            </w:r>
          </w:p>
        </w:tc>
      </w:tr>
      <w:tr w14:paraId="2FEF0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57F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41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sz w:val="24"/>
                <w:szCs w:val="24"/>
                <w:highlight w:val="none"/>
              </w:rPr>
              <w:t>会议服务人员</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A0C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2E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1.年龄35岁及以下；</w:t>
            </w:r>
          </w:p>
          <w:p w14:paraId="72352823">
            <w:pPr>
              <w:keepNext w:val="0"/>
              <w:keepLines w:val="0"/>
              <w:pageBreakBefore w:val="0"/>
              <w:kinsoku/>
              <w:wordWrap/>
              <w:overflowPunct/>
              <w:topLinePunct w:val="0"/>
              <w:autoSpaceDE/>
              <w:autoSpaceDN/>
              <w:bidi w:val="0"/>
              <w:adjustRightInd/>
              <w:snapToGrid/>
              <w:spacing w:line="360" w:lineRule="auto"/>
              <w:jc w:val="left"/>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2.具有3年及以上类似项目服务经验。</w:t>
            </w:r>
          </w:p>
        </w:tc>
      </w:tr>
      <w:tr w14:paraId="220D0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AF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67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工程主管</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7B1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DF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具备</w:t>
            </w:r>
            <w:r>
              <w:rPr>
                <w:rFonts w:hint="eastAsia" w:asciiTheme="minorEastAsia" w:hAnsiTheme="minorEastAsia" w:eastAsiaTheme="minorEastAsia" w:cstheme="minorEastAsia"/>
                <w:sz w:val="24"/>
                <w:szCs w:val="24"/>
                <w:highlight w:val="none"/>
                <w:lang w:val="en-US" w:eastAsia="zh-CN"/>
              </w:rPr>
              <w:t>全日制大学</w:t>
            </w:r>
            <w:r>
              <w:rPr>
                <w:rFonts w:hint="eastAsia" w:asciiTheme="minorEastAsia" w:hAnsiTheme="minorEastAsia" w:eastAsiaTheme="minorEastAsia" w:cstheme="minorEastAsia"/>
                <w:sz w:val="24"/>
                <w:szCs w:val="24"/>
                <w:highlight w:val="none"/>
                <w:lang w:eastAsia="zh-CN"/>
              </w:rPr>
              <w:t>本科</w:t>
            </w:r>
            <w:r>
              <w:rPr>
                <w:rFonts w:hint="eastAsia" w:asciiTheme="minorEastAsia" w:hAnsiTheme="minorEastAsia" w:eastAsiaTheme="minorEastAsia" w:cstheme="minorEastAsia"/>
                <w:sz w:val="24"/>
                <w:szCs w:val="24"/>
                <w:highlight w:val="none"/>
              </w:rPr>
              <w:t>及以上学历</w:t>
            </w:r>
            <w:r>
              <w:rPr>
                <w:rFonts w:hint="eastAsia" w:asciiTheme="minorEastAsia" w:hAnsiTheme="minorEastAsia" w:eastAsiaTheme="minorEastAsia" w:cstheme="minorEastAsia"/>
                <w:sz w:val="24"/>
                <w:szCs w:val="24"/>
                <w:highlight w:val="none"/>
                <w:lang w:eastAsia="zh-CN"/>
              </w:rPr>
              <w:t>；</w:t>
            </w:r>
          </w:p>
          <w:p w14:paraId="2CFF21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具备</w:t>
            </w:r>
            <w:r>
              <w:rPr>
                <w:rFonts w:hint="eastAsia" w:asciiTheme="minorEastAsia" w:hAnsiTheme="minorEastAsia" w:eastAsiaTheme="minorEastAsia" w:cstheme="minorEastAsia"/>
                <w:sz w:val="24"/>
                <w:szCs w:val="24"/>
                <w:highlight w:val="none"/>
                <w:lang w:val="en-US" w:eastAsia="zh-CN"/>
              </w:rPr>
              <w:t>电气设计专业</w:t>
            </w:r>
            <w:r>
              <w:rPr>
                <w:rFonts w:hint="eastAsia" w:asciiTheme="minorEastAsia" w:hAnsiTheme="minorEastAsia" w:eastAsiaTheme="minorEastAsia" w:cstheme="minorEastAsia"/>
                <w:sz w:val="24"/>
                <w:szCs w:val="24"/>
                <w:highlight w:val="none"/>
              </w:rPr>
              <w:t>中级及以上职称</w:t>
            </w:r>
            <w:r>
              <w:rPr>
                <w:rFonts w:hint="eastAsia" w:asciiTheme="minorEastAsia" w:hAnsiTheme="minorEastAsia" w:eastAsiaTheme="minorEastAsia" w:cstheme="minorEastAsia"/>
                <w:sz w:val="24"/>
                <w:szCs w:val="24"/>
                <w:highlight w:val="none"/>
                <w:lang w:eastAsia="zh-CN"/>
              </w:rPr>
              <w:t>；</w:t>
            </w:r>
          </w:p>
          <w:p w14:paraId="07F1839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iCs w:val="0"/>
                <w:color w:val="000000"/>
                <w:sz w:val="24"/>
                <w:szCs w:val="24"/>
                <w:highlight w:val="none"/>
                <w:u w:val="none"/>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具有</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lang w:eastAsia="zh-CN"/>
              </w:rPr>
              <w:t>及</w:t>
            </w:r>
            <w:r>
              <w:rPr>
                <w:rFonts w:hint="eastAsia" w:asciiTheme="minorEastAsia" w:hAnsiTheme="minorEastAsia" w:eastAsiaTheme="minorEastAsia" w:cstheme="minorEastAsia"/>
                <w:sz w:val="24"/>
                <w:szCs w:val="24"/>
                <w:highlight w:val="none"/>
              </w:rPr>
              <w:t>以上同类型项目管理经验</w:t>
            </w:r>
            <w:r>
              <w:rPr>
                <w:rFonts w:hint="eastAsia" w:asciiTheme="minorEastAsia" w:hAnsiTheme="minorEastAsia" w:eastAsiaTheme="minorEastAsia" w:cstheme="minorEastAsia"/>
                <w:sz w:val="24"/>
                <w:szCs w:val="24"/>
                <w:highlight w:val="none"/>
                <w:lang w:eastAsia="zh-CN"/>
              </w:rPr>
              <w:t>。</w:t>
            </w:r>
          </w:p>
        </w:tc>
      </w:tr>
      <w:tr w14:paraId="28C6E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D9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AA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highlight w:val="none"/>
                <w:u w:val="none"/>
              </w:rPr>
            </w:pPr>
            <w:r>
              <w:rPr>
                <w:rFonts w:hint="eastAsia" w:asciiTheme="minorEastAsia" w:hAnsiTheme="minorEastAsia" w:eastAsiaTheme="minorEastAsia" w:cstheme="minorEastAsia"/>
                <w:sz w:val="24"/>
                <w:szCs w:val="24"/>
                <w:highlight w:val="none"/>
                <w:lang w:val="en-US" w:eastAsia="zh-CN"/>
              </w:rPr>
              <w:t>维修人员</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6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E36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1.具备高压电工作业证；</w:t>
            </w:r>
          </w:p>
          <w:p w14:paraId="08C337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olor w:val="000000"/>
                <w:sz w:val="24"/>
                <w:szCs w:val="24"/>
                <w:highlight w:val="none"/>
                <w:u w:val="none"/>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具有</w:t>
            </w:r>
            <w:r>
              <w:rPr>
                <w:rFonts w:hint="eastAsia" w:asciiTheme="minorEastAsia" w:hAnsiTheme="minorEastAsia" w:eastAsiaTheme="minorEastAsia" w:cstheme="minorEastAsia"/>
                <w:sz w:val="24"/>
                <w:szCs w:val="24"/>
                <w:highlight w:val="none"/>
              </w:rPr>
              <w:t>3年</w:t>
            </w:r>
            <w:r>
              <w:rPr>
                <w:rFonts w:hint="eastAsia" w:asciiTheme="minorEastAsia" w:hAnsiTheme="minorEastAsia" w:eastAsiaTheme="minorEastAsia" w:cstheme="minorEastAsia"/>
                <w:sz w:val="24"/>
                <w:szCs w:val="24"/>
                <w:highlight w:val="none"/>
                <w:lang w:eastAsia="zh-CN"/>
              </w:rPr>
              <w:t>及</w:t>
            </w:r>
            <w:r>
              <w:rPr>
                <w:rFonts w:hint="eastAsia" w:asciiTheme="minorEastAsia" w:hAnsiTheme="minorEastAsia" w:eastAsiaTheme="minorEastAsia" w:cstheme="minorEastAsia"/>
                <w:sz w:val="24"/>
                <w:szCs w:val="24"/>
                <w:highlight w:val="none"/>
              </w:rPr>
              <w:t>以上类似项目</w:t>
            </w:r>
            <w:r>
              <w:rPr>
                <w:rFonts w:hint="eastAsia" w:asciiTheme="minorEastAsia" w:hAnsiTheme="minorEastAsia" w:eastAsiaTheme="minorEastAsia" w:cstheme="minorEastAsia"/>
                <w:sz w:val="24"/>
                <w:szCs w:val="24"/>
                <w:highlight w:val="none"/>
                <w:lang w:val="en-US" w:eastAsia="zh-CN"/>
              </w:rPr>
              <w:t>服务</w:t>
            </w:r>
            <w:r>
              <w:rPr>
                <w:rFonts w:hint="eastAsia" w:asciiTheme="minorEastAsia" w:hAnsiTheme="minorEastAsia" w:eastAsiaTheme="minorEastAsia" w:cstheme="minorEastAsia"/>
                <w:sz w:val="24"/>
                <w:szCs w:val="24"/>
                <w:highlight w:val="none"/>
              </w:rPr>
              <w:t>经验。</w:t>
            </w:r>
          </w:p>
        </w:tc>
      </w:tr>
      <w:tr w14:paraId="09DCE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7C4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14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保洁员</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9BC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94D4">
            <w:pPr>
              <w:keepNext w:val="0"/>
              <w:keepLines w:val="0"/>
              <w:pageBreakBefore w:val="0"/>
              <w:kinsoku/>
              <w:wordWrap/>
              <w:overflowPunct/>
              <w:topLinePunct w:val="0"/>
              <w:autoSpaceDE/>
              <w:autoSpaceDN/>
              <w:bidi w:val="0"/>
              <w:adjustRightInd/>
              <w:snapToGrid/>
              <w:spacing w:line="360" w:lineRule="auto"/>
              <w:jc w:val="left"/>
              <w:rPr>
                <w:rFonts w:hint="default"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具有保洁相关工作经验，吃苦耐劳，工作责任心强</w:t>
            </w:r>
          </w:p>
        </w:tc>
      </w:tr>
      <w:tr w14:paraId="0761C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33DC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合计</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C0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bCs/>
                <w:i w:val="0"/>
                <w:iCs w:val="0"/>
                <w:color w:val="000000"/>
                <w:sz w:val="24"/>
                <w:szCs w:val="24"/>
                <w:highlight w:val="none"/>
                <w:u w:val="none"/>
                <w:lang w:val="en-US"/>
              </w:rPr>
            </w:pPr>
            <w:r>
              <w:rPr>
                <w:rFonts w:hint="eastAsia" w:ascii="宋体" w:hAnsi="宋体" w:eastAsia="宋体" w:cs="宋体"/>
                <w:b/>
                <w:bCs/>
                <w:i w:val="0"/>
                <w:iCs w:val="0"/>
                <w:color w:val="000000"/>
                <w:kern w:val="0"/>
                <w:sz w:val="24"/>
                <w:szCs w:val="24"/>
                <w:highlight w:val="none"/>
                <w:u w:val="none"/>
                <w:lang w:val="en-US" w:eastAsia="zh-CN" w:bidi="ar"/>
              </w:rPr>
              <w:t>17</w:t>
            </w:r>
          </w:p>
        </w:tc>
        <w:tc>
          <w:tcPr>
            <w:tcW w:w="6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AB72">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iCs w:val="0"/>
                <w:color w:val="000000"/>
                <w:sz w:val="22"/>
                <w:szCs w:val="22"/>
                <w:highlight w:val="none"/>
                <w:u w:val="none"/>
              </w:rPr>
            </w:pPr>
          </w:p>
        </w:tc>
      </w:tr>
    </w:tbl>
    <w:p w14:paraId="76E3B13E">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p>
    <w:p w14:paraId="010B9043">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b/>
          <w:bCs/>
          <w:sz w:val="24"/>
          <w:szCs w:val="24"/>
          <w:highlight w:val="none"/>
          <w:lang w:val="zh-CN"/>
        </w:rPr>
      </w:pPr>
      <w:r>
        <w:rPr>
          <w:rFonts w:hint="eastAsia" w:asciiTheme="minorEastAsia" w:hAnsiTheme="minorEastAsia" w:eastAsiaTheme="minorEastAsia" w:cstheme="minorEastAsia"/>
          <w:b/>
          <w:bCs/>
          <w:sz w:val="24"/>
          <w:szCs w:val="24"/>
          <w:highlight w:val="none"/>
          <w:lang w:val="en-US" w:eastAsia="zh-CN"/>
        </w:rPr>
        <w:t>五</w:t>
      </w:r>
      <w:r>
        <w:rPr>
          <w:rFonts w:hint="eastAsia" w:asciiTheme="minorEastAsia" w:hAnsiTheme="minorEastAsia" w:eastAsiaTheme="minorEastAsia" w:cstheme="minorEastAsia"/>
          <w:b/>
          <w:bCs/>
          <w:sz w:val="24"/>
          <w:szCs w:val="24"/>
          <w:highlight w:val="none"/>
          <w:lang w:val="zh-CN"/>
        </w:rPr>
        <w:t>、其他相关要求</w:t>
      </w:r>
    </w:p>
    <w:p w14:paraId="1C411D1F">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1.采购人提供物业管理办公用房、值班室、库房</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工作人员休息室，自费三餐</w:t>
      </w:r>
      <w:r>
        <w:rPr>
          <w:rFonts w:hint="eastAsia" w:asciiTheme="minorEastAsia" w:hAnsiTheme="minorEastAsia" w:eastAsiaTheme="minorEastAsia" w:cstheme="minorEastAsia"/>
          <w:sz w:val="24"/>
          <w:szCs w:val="24"/>
          <w:highlight w:val="none"/>
        </w:rPr>
        <w:t>。</w:t>
      </w:r>
    </w:p>
    <w:p w14:paraId="2E6C1674">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2.采购人负责能源费用。</w:t>
      </w:r>
    </w:p>
    <w:p w14:paraId="35282768">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.允许中标人视情况分包的范围：电梯维保和检测、垃圾清运</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消防维保</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其中</w:t>
      </w:r>
      <w:r>
        <w:rPr>
          <w:rFonts w:hint="eastAsia" w:asciiTheme="minorEastAsia" w:hAnsiTheme="minorEastAsia" w:eastAsiaTheme="minorEastAsia" w:cstheme="minorEastAsia"/>
          <w:sz w:val="24"/>
          <w:szCs w:val="24"/>
          <w:highlight w:val="none"/>
        </w:rPr>
        <w:t>电梯维保及检测费用最高限价</w:t>
      </w:r>
      <w:r>
        <w:rPr>
          <w:rFonts w:hint="eastAsia" w:asciiTheme="minorEastAsia" w:hAnsiTheme="minorEastAsia" w:eastAsiaTheme="minorEastAsia" w:cstheme="minorEastAsia"/>
          <w:sz w:val="24"/>
          <w:szCs w:val="24"/>
          <w:highlight w:val="none"/>
          <w:lang w:val="en-US" w:eastAsia="zh-CN"/>
        </w:rPr>
        <w:t>2.8</w:t>
      </w:r>
      <w:r>
        <w:rPr>
          <w:rFonts w:hint="eastAsia" w:asciiTheme="minorEastAsia" w:hAnsiTheme="minorEastAsia" w:eastAsiaTheme="minorEastAsia" w:cstheme="minorEastAsia"/>
          <w:sz w:val="24"/>
          <w:szCs w:val="24"/>
          <w:highlight w:val="none"/>
        </w:rPr>
        <w:t>万元，垃圾清运最高限价2.2万元</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消防检测最高限价3万元</w:t>
      </w:r>
      <w:r>
        <w:rPr>
          <w:rFonts w:hint="eastAsia" w:asciiTheme="minorEastAsia" w:hAnsiTheme="minorEastAsia" w:eastAsiaTheme="minorEastAsia" w:cstheme="minorEastAsia"/>
          <w:sz w:val="24"/>
          <w:szCs w:val="24"/>
          <w:highlight w:val="none"/>
        </w:rPr>
        <w:t>。</w:t>
      </w:r>
    </w:p>
    <w:p w14:paraId="0D7C5A76">
      <w:pPr>
        <w:keepNext w:val="0"/>
        <w:keepLines w:val="0"/>
        <w:pageBreakBefore w:val="0"/>
        <w:kinsoku/>
        <w:wordWrap/>
        <w:overflowPunct/>
        <w:topLinePunct w:val="0"/>
        <w:autoSpaceDE/>
        <w:autoSpaceDN/>
        <w:bidi w:val="0"/>
        <w:snapToGrid/>
        <w:spacing w:line="360" w:lineRule="auto"/>
        <w:ind w:left="0" w:leftChars="0" w:firstLine="420" w:firstLineChars="175"/>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4.中标人</w:t>
      </w:r>
      <w:r>
        <w:rPr>
          <w:rFonts w:ascii="宋体" w:hAnsi="宋体" w:eastAsia="宋体" w:cs="宋体"/>
          <w:sz w:val="24"/>
          <w:szCs w:val="24"/>
        </w:rPr>
        <w:t>须落实市机关事务局、市发改委、市财政局相关指导意见要求，推进节约型公共机构建设。强化水电能耗日常巡检管控，建立能耗台账，落实垃圾分类、绿色保洁要求；优先选用节能环保物资，主动采取节能举措，杜绝资源浪费，配合</w:t>
      </w:r>
      <w:r>
        <w:rPr>
          <w:rFonts w:hint="eastAsia" w:ascii="宋体" w:hAnsi="宋体" w:cs="宋体"/>
          <w:sz w:val="24"/>
          <w:szCs w:val="24"/>
          <w:lang w:val="en-US" w:eastAsia="zh-CN"/>
        </w:rPr>
        <w:t>采购人</w:t>
      </w:r>
      <w:r>
        <w:rPr>
          <w:rFonts w:ascii="宋体" w:hAnsi="宋体" w:eastAsia="宋体" w:cs="宋体"/>
          <w:sz w:val="24"/>
          <w:szCs w:val="24"/>
        </w:rPr>
        <w:t>开展节能宣传、能耗统计及节约型机关创建工作。</w:t>
      </w:r>
    </w:p>
    <w:p w14:paraId="46C5E6B3">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sz w:val="24"/>
          <w:highlight w:val="none"/>
          <w:lang w:val="en-US" w:eastAsia="zh-CN"/>
        </w:rPr>
        <w:t xml:space="preserve"> 机关事务局 市发展改革委 市财政局关于印发《关于在物业管理服务政府采购项目中增加节约型公共机构建设相关要求的指导意见》的通知。</w:t>
      </w:r>
    </w:p>
    <w:p w14:paraId="0303D1C5">
      <w:pPr>
        <w:keepNext w:val="0"/>
        <w:keepLines w:val="0"/>
        <w:pageBreakBefore w:val="0"/>
        <w:kinsoku/>
        <w:wordWrap/>
        <w:overflowPunct/>
        <w:topLinePunct w:val="0"/>
        <w:autoSpaceDE/>
        <w:autoSpaceDN/>
        <w:bidi w:val="0"/>
        <w:snapToGrid/>
        <w:spacing w:line="360" w:lineRule="auto"/>
        <w:ind w:firstLine="0"/>
        <w:rPr>
          <w:rFonts w:hint="eastAsia" w:asciiTheme="minorEastAsia" w:hAnsiTheme="minorEastAsia" w:eastAsiaTheme="minorEastAsia" w:cstheme="minorEastAsia"/>
          <w:sz w:val="24"/>
          <w:szCs w:val="24"/>
          <w:highlight w:val="none"/>
        </w:rPr>
      </w:pPr>
    </w:p>
    <w:p w14:paraId="4BE552D1">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b/>
          <w:bCs/>
          <w:sz w:val="24"/>
          <w:szCs w:val="24"/>
          <w:highlight w:val="none"/>
          <w:lang w:val="zh-CN"/>
        </w:rPr>
      </w:pPr>
      <w:r>
        <w:rPr>
          <w:rFonts w:hint="eastAsia" w:asciiTheme="minorEastAsia" w:hAnsiTheme="minorEastAsia" w:eastAsiaTheme="minorEastAsia" w:cstheme="minorEastAsia"/>
          <w:b/>
          <w:bCs/>
          <w:sz w:val="24"/>
          <w:szCs w:val="24"/>
          <w:highlight w:val="none"/>
          <w:lang w:val="en-US" w:eastAsia="zh-CN"/>
        </w:rPr>
        <w:t>六</w:t>
      </w:r>
      <w:r>
        <w:rPr>
          <w:rFonts w:hint="eastAsia" w:asciiTheme="minorEastAsia" w:hAnsiTheme="minorEastAsia" w:eastAsiaTheme="minorEastAsia" w:cstheme="minorEastAsia"/>
          <w:b/>
          <w:bCs/>
          <w:sz w:val="24"/>
          <w:szCs w:val="24"/>
          <w:highlight w:val="none"/>
          <w:lang w:val="zh-CN"/>
        </w:rPr>
        <w:t>、物业管理费用构成</w:t>
      </w:r>
    </w:p>
    <w:p w14:paraId="37339621">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1.人员费用包括：工资、社会保险费、加班费、工装费用等。对因人员辞职、辞退等原因而缺岗的，应在15日内补齐人员；超过15日的，从缺岗之日期起算，按公司相应岗位日工资标准核算，从当月物业费中扣除</w:t>
      </w:r>
      <w:r>
        <w:rPr>
          <w:rFonts w:hint="eastAsia" w:asciiTheme="minorEastAsia" w:hAnsiTheme="minorEastAsia" w:eastAsiaTheme="minorEastAsia" w:cstheme="minorEastAsia"/>
          <w:sz w:val="24"/>
          <w:szCs w:val="24"/>
          <w:highlight w:val="none"/>
          <w:lang w:eastAsia="zh-CN"/>
        </w:rPr>
        <w:t>。</w:t>
      </w:r>
    </w:p>
    <w:p w14:paraId="29FDE756">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2.保洁服务工具及保洁</w:t>
      </w:r>
      <w:r>
        <w:rPr>
          <w:rFonts w:hint="eastAsia" w:asciiTheme="minorEastAsia" w:hAnsiTheme="minorEastAsia" w:eastAsiaTheme="minorEastAsia" w:cstheme="minorEastAsia"/>
          <w:sz w:val="24"/>
          <w:szCs w:val="24"/>
          <w:highlight w:val="none"/>
          <w:lang w:val="en-US" w:eastAsia="zh-CN"/>
        </w:rPr>
        <w:t>耗材费</w:t>
      </w:r>
      <w:r>
        <w:rPr>
          <w:rFonts w:hint="eastAsia" w:asciiTheme="minorEastAsia" w:hAnsiTheme="minorEastAsia" w:eastAsiaTheme="minorEastAsia" w:cstheme="minorEastAsia"/>
          <w:sz w:val="24"/>
          <w:szCs w:val="24"/>
          <w:highlight w:val="none"/>
        </w:rPr>
        <w:t>，设备设施运行维护费、五金电料维修</w:t>
      </w:r>
      <w:r>
        <w:rPr>
          <w:rFonts w:hint="eastAsia" w:asciiTheme="minorEastAsia" w:hAnsiTheme="minorEastAsia" w:eastAsiaTheme="minorEastAsia" w:cstheme="minorEastAsia"/>
          <w:sz w:val="24"/>
          <w:szCs w:val="24"/>
          <w:highlight w:val="none"/>
          <w:lang w:val="en-US" w:eastAsia="zh-CN"/>
        </w:rPr>
        <w:t>耗材费等</w:t>
      </w:r>
      <w:r>
        <w:rPr>
          <w:rFonts w:hint="eastAsia" w:asciiTheme="minorEastAsia" w:hAnsiTheme="minorEastAsia" w:eastAsiaTheme="minorEastAsia" w:cstheme="minorEastAsia"/>
          <w:sz w:val="24"/>
          <w:szCs w:val="24"/>
          <w:highlight w:val="none"/>
        </w:rPr>
        <w:t>（详见</w:t>
      </w:r>
      <w:r>
        <w:rPr>
          <w:rFonts w:hint="eastAsia" w:asciiTheme="minorEastAsia" w:hAnsiTheme="minorEastAsia" w:eastAsiaTheme="minorEastAsia" w:cstheme="minorEastAsia"/>
          <w:sz w:val="24"/>
          <w:szCs w:val="24"/>
          <w:highlight w:val="none"/>
          <w:lang w:val="en-US" w:eastAsia="zh-CN"/>
        </w:rPr>
        <w:t>附件：</w:t>
      </w:r>
      <w:r>
        <w:rPr>
          <w:rFonts w:hint="eastAsia" w:asciiTheme="minorEastAsia" w:hAnsiTheme="minorEastAsia" w:eastAsiaTheme="minorEastAsia" w:cstheme="minorEastAsia"/>
          <w:sz w:val="24"/>
          <w:szCs w:val="24"/>
          <w:highlight w:val="none"/>
        </w:rPr>
        <w:t>运行项目需求）。</w:t>
      </w:r>
    </w:p>
    <w:p w14:paraId="4BBB7034">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.企业管理费。</w:t>
      </w:r>
    </w:p>
    <w:p w14:paraId="060632EE">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.税费。</w:t>
      </w:r>
    </w:p>
    <w:p w14:paraId="17B0EEF7">
      <w:pPr>
        <w:keepNext w:val="0"/>
        <w:keepLines w:val="0"/>
        <w:pageBreakBefore w:val="0"/>
        <w:kinsoku/>
        <w:wordWrap/>
        <w:overflowPunct/>
        <w:topLinePunct w:val="0"/>
        <w:autoSpaceDE/>
        <w:autoSpaceDN/>
        <w:bidi w:val="0"/>
        <w:snapToGrid/>
        <w:spacing w:line="360" w:lineRule="auto"/>
        <w:ind w:left="0" w:leftChars="0" w:firstLine="420" w:firstLineChars="1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br w:type="page"/>
      </w:r>
    </w:p>
    <w:p w14:paraId="3BF1D4C8">
      <w:pPr>
        <w:keepNext w:val="0"/>
        <w:keepLines w:val="0"/>
        <w:pageBreakBefore w:val="0"/>
        <w:kinsoku/>
        <w:wordWrap/>
        <w:overflowPunct/>
        <w:topLinePunct w:val="0"/>
        <w:autoSpaceDE/>
        <w:autoSpaceDN/>
        <w:bidi w:val="0"/>
        <w:adjustRightInd w:val="0"/>
        <w:snapToGrid/>
        <w:spacing w:line="360" w:lineRule="auto"/>
        <w:ind w:firstLine="0"/>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附</w:t>
      </w:r>
      <w:r>
        <w:rPr>
          <w:rFonts w:hint="eastAsia" w:asciiTheme="minorEastAsia" w:hAnsiTheme="minorEastAsia" w:eastAsiaTheme="minorEastAsia" w:cstheme="minorEastAsia"/>
          <w:b/>
          <w:bCs/>
          <w:sz w:val="24"/>
          <w:szCs w:val="24"/>
          <w:highlight w:val="none"/>
          <w:lang w:val="en-US" w:eastAsia="zh-CN"/>
        </w:rPr>
        <w:t>件</w:t>
      </w:r>
      <w:r>
        <w:rPr>
          <w:rFonts w:hint="eastAsia" w:asciiTheme="minorEastAsia" w:hAnsiTheme="minorEastAsia" w:eastAsiaTheme="minorEastAsia" w:cstheme="minorEastAsia"/>
          <w:b/>
          <w:bCs/>
          <w:sz w:val="24"/>
          <w:szCs w:val="24"/>
          <w:highlight w:val="none"/>
        </w:rPr>
        <w:t>：运行项目需求</w:t>
      </w:r>
    </w:p>
    <w:tbl>
      <w:tblPr>
        <w:tblStyle w:val="2"/>
        <w:tblW w:w="8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6421"/>
        <w:gridCol w:w="1199"/>
      </w:tblGrid>
      <w:tr w14:paraId="5D08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69" w:type="dxa"/>
            <w:noWrap w:val="0"/>
            <w:vAlign w:val="center"/>
          </w:tcPr>
          <w:p w14:paraId="3A0A10B2">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项目名称</w:t>
            </w:r>
          </w:p>
        </w:tc>
        <w:tc>
          <w:tcPr>
            <w:tcW w:w="6421" w:type="dxa"/>
            <w:noWrap w:val="0"/>
            <w:vAlign w:val="center"/>
          </w:tcPr>
          <w:p w14:paraId="47D365B9">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项目构成</w:t>
            </w:r>
          </w:p>
        </w:tc>
        <w:tc>
          <w:tcPr>
            <w:tcW w:w="1199" w:type="dxa"/>
            <w:noWrap w:val="0"/>
            <w:vAlign w:val="center"/>
          </w:tcPr>
          <w:p w14:paraId="0162676F">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保养频次</w:t>
            </w:r>
          </w:p>
        </w:tc>
      </w:tr>
      <w:tr w14:paraId="1BBF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69" w:type="dxa"/>
            <w:vMerge w:val="restart"/>
            <w:noWrap w:val="0"/>
            <w:vAlign w:val="center"/>
          </w:tcPr>
          <w:p w14:paraId="7FB61585">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rPr>
              <w:t>保洁</w:t>
            </w:r>
            <w:r>
              <w:rPr>
                <w:rFonts w:hint="eastAsia" w:asciiTheme="minorEastAsia" w:hAnsiTheme="minorEastAsia" w:eastAsiaTheme="minorEastAsia" w:cstheme="minorEastAsia"/>
                <w:b w:val="0"/>
                <w:bCs w:val="0"/>
                <w:sz w:val="24"/>
                <w:szCs w:val="24"/>
                <w:highlight w:val="none"/>
                <w:lang w:val="en-US" w:eastAsia="zh-CN"/>
              </w:rPr>
              <w:t>服务</w:t>
            </w:r>
          </w:p>
        </w:tc>
        <w:tc>
          <w:tcPr>
            <w:tcW w:w="6421" w:type="dxa"/>
            <w:noWrap w:val="0"/>
            <w:vAlign w:val="center"/>
          </w:tcPr>
          <w:p w14:paraId="3530F1DB">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lang w:val="en-US" w:eastAsia="zh-CN"/>
              </w:rPr>
              <w:t>保洁</w:t>
            </w:r>
            <w:r>
              <w:rPr>
                <w:rFonts w:hint="eastAsia" w:asciiTheme="minorEastAsia" w:hAnsiTheme="minorEastAsia" w:eastAsiaTheme="minorEastAsia" w:cstheme="minorEastAsia"/>
                <w:b w:val="0"/>
                <w:bCs w:val="0"/>
                <w:sz w:val="24"/>
                <w:szCs w:val="24"/>
                <w:highlight w:val="none"/>
              </w:rPr>
              <w:t>耗材（消毒用品、洗手液、一次性手套、卫生间用品、备勤间用品、垃圾袋等）</w:t>
            </w:r>
          </w:p>
        </w:tc>
        <w:tc>
          <w:tcPr>
            <w:tcW w:w="1199" w:type="dxa"/>
            <w:noWrap w:val="0"/>
            <w:vAlign w:val="center"/>
          </w:tcPr>
          <w:p w14:paraId="39936990">
            <w:pPr>
              <w:keepNext w:val="0"/>
              <w:keepLines w:val="0"/>
              <w:pageBreakBefore w:val="0"/>
              <w:kinsoku/>
              <w:wordWrap/>
              <w:overflowPunct/>
              <w:topLinePunct w:val="0"/>
              <w:autoSpaceDE/>
              <w:autoSpaceDN/>
              <w:bidi w:val="0"/>
              <w:snapToGrid/>
              <w:spacing w:line="360" w:lineRule="auto"/>
              <w:ind w:firstLine="0"/>
              <w:jc w:val="center"/>
              <w:rPr>
                <w:rFonts w:hint="default"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按需</w:t>
            </w:r>
          </w:p>
        </w:tc>
      </w:tr>
      <w:tr w14:paraId="1051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69" w:type="dxa"/>
            <w:vMerge w:val="continue"/>
            <w:noWrap w:val="0"/>
            <w:vAlign w:val="center"/>
          </w:tcPr>
          <w:p w14:paraId="688AF86A">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p>
        </w:tc>
        <w:tc>
          <w:tcPr>
            <w:tcW w:w="6421" w:type="dxa"/>
            <w:noWrap w:val="0"/>
            <w:vAlign w:val="center"/>
          </w:tcPr>
          <w:p w14:paraId="5516E832">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垃圾清运</w:t>
            </w:r>
          </w:p>
        </w:tc>
        <w:tc>
          <w:tcPr>
            <w:tcW w:w="1199" w:type="dxa"/>
            <w:noWrap w:val="0"/>
            <w:vAlign w:val="center"/>
          </w:tcPr>
          <w:p w14:paraId="3930AD3E">
            <w:pPr>
              <w:keepNext w:val="0"/>
              <w:keepLines w:val="0"/>
              <w:pageBreakBefore w:val="0"/>
              <w:kinsoku/>
              <w:wordWrap/>
              <w:overflowPunct/>
              <w:topLinePunct w:val="0"/>
              <w:autoSpaceDE/>
              <w:autoSpaceDN/>
              <w:bidi w:val="0"/>
              <w:snapToGrid/>
              <w:spacing w:line="360" w:lineRule="auto"/>
              <w:ind w:firstLine="0"/>
              <w:jc w:val="center"/>
              <w:rPr>
                <w:rFonts w:hint="default"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每日</w:t>
            </w:r>
          </w:p>
        </w:tc>
      </w:tr>
      <w:tr w14:paraId="7EE4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69" w:type="dxa"/>
            <w:vMerge w:val="continue"/>
            <w:noWrap w:val="0"/>
            <w:vAlign w:val="center"/>
          </w:tcPr>
          <w:p w14:paraId="043E302D">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p>
        </w:tc>
        <w:tc>
          <w:tcPr>
            <w:tcW w:w="6421" w:type="dxa"/>
            <w:noWrap w:val="0"/>
            <w:vAlign w:val="center"/>
          </w:tcPr>
          <w:p w14:paraId="3D14923F">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lang w:val="en-US" w:eastAsia="zh-CN"/>
              </w:rPr>
              <w:t>会议室</w:t>
            </w:r>
            <w:r>
              <w:rPr>
                <w:rFonts w:hint="eastAsia" w:asciiTheme="minorEastAsia" w:hAnsiTheme="minorEastAsia" w:eastAsiaTheme="minorEastAsia" w:cstheme="minorEastAsia"/>
                <w:b w:val="0"/>
                <w:bCs w:val="0"/>
                <w:sz w:val="24"/>
                <w:szCs w:val="24"/>
                <w:highlight w:val="none"/>
              </w:rPr>
              <w:t>地毯清洗</w:t>
            </w:r>
          </w:p>
        </w:tc>
        <w:tc>
          <w:tcPr>
            <w:tcW w:w="1199" w:type="dxa"/>
            <w:noWrap w:val="0"/>
            <w:vAlign w:val="center"/>
          </w:tcPr>
          <w:p w14:paraId="18E06475">
            <w:pPr>
              <w:keepNext w:val="0"/>
              <w:keepLines w:val="0"/>
              <w:pageBreakBefore w:val="0"/>
              <w:kinsoku/>
              <w:wordWrap/>
              <w:overflowPunct/>
              <w:topLinePunct w:val="0"/>
              <w:autoSpaceDE/>
              <w:autoSpaceDN/>
              <w:bidi w:val="0"/>
              <w:snapToGrid/>
              <w:spacing w:line="360" w:lineRule="auto"/>
              <w:ind w:firstLine="0"/>
              <w:jc w:val="center"/>
              <w:rPr>
                <w:rFonts w:hint="default"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rPr>
              <w:t>4</w:t>
            </w:r>
            <w:r>
              <w:rPr>
                <w:rFonts w:hint="eastAsia" w:asciiTheme="minorEastAsia" w:hAnsiTheme="minorEastAsia" w:eastAsiaTheme="minorEastAsia" w:cstheme="minorEastAsia"/>
                <w:b w:val="0"/>
                <w:bCs w:val="0"/>
                <w:sz w:val="24"/>
                <w:szCs w:val="24"/>
                <w:highlight w:val="none"/>
                <w:lang w:val="en-US" w:eastAsia="zh-CN"/>
              </w:rPr>
              <w:t>次/年</w:t>
            </w:r>
          </w:p>
        </w:tc>
      </w:tr>
      <w:tr w14:paraId="4BEA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69" w:type="dxa"/>
            <w:vMerge w:val="continue"/>
            <w:noWrap w:val="0"/>
            <w:vAlign w:val="center"/>
          </w:tcPr>
          <w:p w14:paraId="00908D68">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p>
        </w:tc>
        <w:tc>
          <w:tcPr>
            <w:tcW w:w="6421" w:type="dxa"/>
            <w:noWrap w:val="0"/>
            <w:vAlign w:val="center"/>
          </w:tcPr>
          <w:p w14:paraId="47A5CA81">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lang w:val="en-US" w:eastAsia="zh-CN"/>
              </w:rPr>
              <w:t>大理石地面</w:t>
            </w:r>
            <w:r>
              <w:rPr>
                <w:rFonts w:hint="eastAsia" w:asciiTheme="minorEastAsia" w:hAnsiTheme="minorEastAsia" w:eastAsiaTheme="minorEastAsia" w:cstheme="minorEastAsia"/>
                <w:b w:val="0"/>
                <w:bCs w:val="0"/>
                <w:sz w:val="24"/>
                <w:szCs w:val="24"/>
                <w:highlight w:val="none"/>
              </w:rPr>
              <w:t>石材养护</w:t>
            </w:r>
          </w:p>
        </w:tc>
        <w:tc>
          <w:tcPr>
            <w:tcW w:w="1199" w:type="dxa"/>
            <w:noWrap w:val="0"/>
            <w:vAlign w:val="center"/>
          </w:tcPr>
          <w:p w14:paraId="34488EF9">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4</w:t>
            </w:r>
            <w:r>
              <w:rPr>
                <w:rFonts w:hint="eastAsia" w:asciiTheme="minorEastAsia" w:hAnsiTheme="minorEastAsia" w:eastAsiaTheme="minorEastAsia" w:cstheme="minorEastAsia"/>
                <w:b w:val="0"/>
                <w:bCs w:val="0"/>
                <w:sz w:val="24"/>
                <w:szCs w:val="24"/>
                <w:highlight w:val="none"/>
                <w:lang w:val="en-US" w:eastAsia="zh-CN"/>
              </w:rPr>
              <w:t>次/年</w:t>
            </w:r>
          </w:p>
        </w:tc>
      </w:tr>
      <w:tr w14:paraId="69BF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69" w:type="dxa"/>
            <w:vMerge w:val="continue"/>
            <w:noWrap w:val="0"/>
            <w:vAlign w:val="center"/>
          </w:tcPr>
          <w:p w14:paraId="4DAAED1C">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p>
        </w:tc>
        <w:tc>
          <w:tcPr>
            <w:tcW w:w="6421" w:type="dxa"/>
            <w:noWrap w:val="0"/>
            <w:vAlign w:val="center"/>
          </w:tcPr>
          <w:p w14:paraId="52FD2CA4">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四害环境消杀</w:t>
            </w:r>
          </w:p>
        </w:tc>
        <w:tc>
          <w:tcPr>
            <w:tcW w:w="1199" w:type="dxa"/>
            <w:noWrap w:val="0"/>
            <w:vAlign w:val="center"/>
          </w:tcPr>
          <w:p w14:paraId="4E2CF738">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按需</w:t>
            </w:r>
          </w:p>
        </w:tc>
      </w:tr>
      <w:tr w14:paraId="45E8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69" w:type="dxa"/>
            <w:vMerge w:val="continue"/>
            <w:noWrap w:val="0"/>
            <w:vAlign w:val="center"/>
          </w:tcPr>
          <w:p w14:paraId="3D7D0E35">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p>
        </w:tc>
        <w:tc>
          <w:tcPr>
            <w:tcW w:w="6421" w:type="dxa"/>
            <w:noWrap w:val="0"/>
            <w:vAlign w:val="center"/>
          </w:tcPr>
          <w:p w14:paraId="201589CA">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隔油池和化粪池清掏</w:t>
            </w:r>
          </w:p>
        </w:tc>
        <w:tc>
          <w:tcPr>
            <w:tcW w:w="1199" w:type="dxa"/>
            <w:noWrap w:val="0"/>
            <w:vAlign w:val="center"/>
          </w:tcPr>
          <w:p w14:paraId="449CC58F">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12次/年</w:t>
            </w:r>
          </w:p>
        </w:tc>
      </w:tr>
      <w:tr w14:paraId="5256D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69" w:type="dxa"/>
            <w:vMerge w:val="continue"/>
            <w:noWrap w:val="0"/>
            <w:vAlign w:val="center"/>
          </w:tcPr>
          <w:p w14:paraId="66627FA9">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p>
        </w:tc>
        <w:tc>
          <w:tcPr>
            <w:tcW w:w="6421" w:type="dxa"/>
            <w:noWrap w:val="0"/>
            <w:vAlign w:val="center"/>
          </w:tcPr>
          <w:p w14:paraId="30951876">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厨房烟道防火清洗</w:t>
            </w:r>
          </w:p>
        </w:tc>
        <w:tc>
          <w:tcPr>
            <w:tcW w:w="1199" w:type="dxa"/>
            <w:noWrap w:val="0"/>
            <w:vAlign w:val="center"/>
          </w:tcPr>
          <w:p w14:paraId="1E3E422C">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6次/年</w:t>
            </w:r>
          </w:p>
        </w:tc>
      </w:tr>
      <w:tr w14:paraId="663D7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69" w:type="dxa"/>
            <w:vMerge w:val="continue"/>
            <w:noWrap w:val="0"/>
            <w:vAlign w:val="center"/>
          </w:tcPr>
          <w:p w14:paraId="36B2730D">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p>
        </w:tc>
        <w:tc>
          <w:tcPr>
            <w:tcW w:w="6421" w:type="dxa"/>
            <w:noWrap w:val="0"/>
            <w:vAlign w:val="center"/>
          </w:tcPr>
          <w:p w14:paraId="7C05A76F">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绿化养护</w:t>
            </w:r>
          </w:p>
        </w:tc>
        <w:tc>
          <w:tcPr>
            <w:tcW w:w="1199" w:type="dxa"/>
            <w:noWrap w:val="0"/>
            <w:vAlign w:val="center"/>
          </w:tcPr>
          <w:p w14:paraId="3800BF75">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按需</w:t>
            </w:r>
          </w:p>
        </w:tc>
      </w:tr>
      <w:tr w14:paraId="1FF1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69" w:type="dxa"/>
            <w:vMerge w:val="restart"/>
            <w:noWrap w:val="0"/>
            <w:vAlign w:val="center"/>
          </w:tcPr>
          <w:p w14:paraId="32758361">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维修</w:t>
            </w:r>
            <w:r>
              <w:rPr>
                <w:rFonts w:hint="eastAsia" w:asciiTheme="minorEastAsia" w:hAnsiTheme="minorEastAsia" w:eastAsiaTheme="minorEastAsia" w:cstheme="minorEastAsia"/>
                <w:b w:val="0"/>
                <w:bCs w:val="0"/>
                <w:sz w:val="24"/>
                <w:szCs w:val="24"/>
                <w:highlight w:val="none"/>
                <w:lang w:val="en-US" w:eastAsia="zh-CN"/>
              </w:rPr>
              <w:t>服务</w:t>
            </w:r>
          </w:p>
        </w:tc>
        <w:tc>
          <w:tcPr>
            <w:tcW w:w="6421" w:type="dxa"/>
            <w:noWrap w:val="0"/>
            <w:vAlign w:val="center"/>
          </w:tcPr>
          <w:p w14:paraId="4F966938">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维修</w:t>
            </w:r>
            <w:r>
              <w:rPr>
                <w:rFonts w:hint="eastAsia" w:asciiTheme="minorEastAsia" w:hAnsiTheme="minorEastAsia" w:eastAsiaTheme="minorEastAsia" w:cstheme="minorEastAsia"/>
                <w:b w:val="0"/>
                <w:bCs w:val="0"/>
                <w:sz w:val="24"/>
                <w:szCs w:val="24"/>
                <w:highlight w:val="none"/>
              </w:rPr>
              <w:t>五金电料</w:t>
            </w:r>
            <w:r>
              <w:rPr>
                <w:rFonts w:hint="eastAsia" w:asciiTheme="minorEastAsia" w:hAnsiTheme="minorEastAsia" w:eastAsiaTheme="minorEastAsia" w:cstheme="minorEastAsia"/>
                <w:b w:val="0"/>
                <w:bCs w:val="0"/>
                <w:sz w:val="24"/>
                <w:szCs w:val="24"/>
                <w:highlight w:val="none"/>
                <w:lang w:val="en-US" w:eastAsia="zh-CN"/>
              </w:rPr>
              <w:t>耗材</w:t>
            </w:r>
          </w:p>
        </w:tc>
        <w:tc>
          <w:tcPr>
            <w:tcW w:w="1199" w:type="dxa"/>
            <w:noWrap w:val="0"/>
            <w:vAlign w:val="center"/>
          </w:tcPr>
          <w:p w14:paraId="03AF176F">
            <w:pPr>
              <w:keepNext w:val="0"/>
              <w:keepLines w:val="0"/>
              <w:pageBreakBefore w:val="0"/>
              <w:kinsoku/>
              <w:wordWrap/>
              <w:overflowPunct/>
              <w:topLinePunct w:val="0"/>
              <w:autoSpaceDE/>
              <w:autoSpaceDN/>
              <w:bidi w:val="0"/>
              <w:snapToGrid/>
              <w:spacing w:line="360" w:lineRule="auto"/>
              <w:ind w:firstLine="0"/>
              <w:jc w:val="center"/>
              <w:rPr>
                <w:rFonts w:hint="default"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按需</w:t>
            </w:r>
          </w:p>
        </w:tc>
      </w:tr>
      <w:tr w14:paraId="675A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69" w:type="dxa"/>
            <w:vMerge w:val="continue"/>
            <w:noWrap w:val="0"/>
            <w:vAlign w:val="center"/>
          </w:tcPr>
          <w:p w14:paraId="1364BF07">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p>
        </w:tc>
        <w:tc>
          <w:tcPr>
            <w:tcW w:w="6421" w:type="dxa"/>
            <w:noWrap w:val="0"/>
            <w:vAlign w:val="center"/>
          </w:tcPr>
          <w:p w14:paraId="292166C9">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rPr>
              <w:t>电梯维保</w:t>
            </w:r>
            <w:r>
              <w:rPr>
                <w:rFonts w:hint="eastAsia" w:asciiTheme="minorEastAsia" w:hAnsiTheme="minorEastAsia" w:eastAsiaTheme="minorEastAsia" w:cstheme="minorEastAsia"/>
                <w:b w:val="0"/>
                <w:bCs w:val="0"/>
                <w:sz w:val="24"/>
                <w:szCs w:val="24"/>
                <w:highlight w:val="none"/>
                <w:lang w:val="en-US" w:eastAsia="zh-CN"/>
              </w:rPr>
              <w:t>检测</w:t>
            </w:r>
          </w:p>
        </w:tc>
        <w:tc>
          <w:tcPr>
            <w:tcW w:w="1199" w:type="dxa"/>
            <w:noWrap w:val="0"/>
            <w:vAlign w:val="center"/>
          </w:tcPr>
          <w:p w14:paraId="348099BB">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12</w:t>
            </w:r>
            <w:r>
              <w:rPr>
                <w:rFonts w:hint="eastAsia" w:asciiTheme="minorEastAsia" w:hAnsiTheme="minorEastAsia" w:eastAsiaTheme="minorEastAsia" w:cstheme="minorEastAsia"/>
                <w:b w:val="0"/>
                <w:bCs w:val="0"/>
                <w:sz w:val="24"/>
                <w:szCs w:val="24"/>
                <w:highlight w:val="none"/>
                <w:lang w:val="en-US" w:eastAsia="zh-CN"/>
              </w:rPr>
              <w:t>次/年</w:t>
            </w:r>
          </w:p>
        </w:tc>
      </w:tr>
      <w:tr w14:paraId="01F8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69" w:type="dxa"/>
            <w:vMerge w:val="continue"/>
            <w:noWrap w:val="0"/>
            <w:vAlign w:val="center"/>
          </w:tcPr>
          <w:p w14:paraId="3471A81C">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p>
        </w:tc>
        <w:tc>
          <w:tcPr>
            <w:tcW w:w="6421" w:type="dxa"/>
            <w:noWrap w:val="0"/>
            <w:vAlign w:val="center"/>
          </w:tcPr>
          <w:p w14:paraId="24FDCD86">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rPr>
              <w:t>消防</w:t>
            </w:r>
            <w:r>
              <w:rPr>
                <w:rFonts w:hint="eastAsia" w:asciiTheme="minorEastAsia" w:hAnsiTheme="minorEastAsia" w:eastAsiaTheme="minorEastAsia" w:cstheme="minorEastAsia"/>
                <w:b w:val="0"/>
                <w:bCs w:val="0"/>
                <w:sz w:val="24"/>
                <w:szCs w:val="24"/>
                <w:highlight w:val="none"/>
                <w:lang w:val="en-US" w:eastAsia="zh-CN"/>
              </w:rPr>
              <w:t>检测</w:t>
            </w:r>
          </w:p>
        </w:tc>
        <w:tc>
          <w:tcPr>
            <w:tcW w:w="1199" w:type="dxa"/>
            <w:noWrap w:val="0"/>
            <w:vAlign w:val="center"/>
          </w:tcPr>
          <w:p w14:paraId="10B4A4A9">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12</w:t>
            </w:r>
            <w:r>
              <w:rPr>
                <w:rFonts w:hint="eastAsia" w:asciiTheme="minorEastAsia" w:hAnsiTheme="minorEastAsia" w:eastAsiaTheme="minorEastAsia" w:cstheme="minorEastAsia"/>
                <w:b w:val="0"/>
                <w:bCs w:val="0"/>
                <w:sz w:val="24"/>
                <w:szCs w:val="24"/>
                <w:highlight w:val="none"/>
                <w:lang w:val="en-US" w:eastAsia="zh-CN"/>
              </w:rPr>
              <w:t>次/年</w:t>
            </w:r>
          </w:p>
        </w:tc>
      </w:tr>
      <w:tr w14:paraId="3835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69" w:type="dxa"/>
            <w:vMerge w:val="continue"/>
            <w:noWrap w:val="0"/>
            <w:vAlign w:val="center"/>
          </w:tcPr>
          <w:p w14:paraId="74EB68D4">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p>
        </w:tc>
        <w:tc>
          <w:tcPr>
            <w:tcW w:w="6421" w:type="dxa"/>
            <w:noWrap w:val="0"/>
            <w:vAlign w:val="center"/>
          </w:tcPr>
          <w:p w14:paraId="78226173">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饮水机维保及滤芯更换</w:t>
            </w:r>
          </w:p>
        </w:tc>
        <w:tc>
          <w:tcPr>
            <w:tcW w:w="1199" w:type="dxa"/>
            <w:noWrap w:val="0"/>
            <w:vAlign w:val="center"/>
          </w:tcPr>
          <w:p w14:paraId="08EA3930">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4</w:t>
            </w:r>
            <w:r>
              <w:rPr>
                <w:rFonts w:hint="eastAsia" w:asciiTheme="minorEastAsia" w:hAnsiTheme="minorEastAsia" w:eastAsiaTheme="minorEastAsia" w:cstheme="minorEastAsia"/>
                <w:b w:val="0"/>
                <w:bCs w:val="0"/>
                <w:sz w:val="24"/>
                <w:szCs w:val="24"/>
                <w:highlight w:val="none"/>
                <w:lang w:val="en-US" w:eastAsia="zh-CN"/>
              </w:rPr>
              <w:t>次/年</w:t>
            </w:r>
          </w:p>
        </w:tc>
      </w:tr>
      <w:tr w14:paraId="0F6E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69" w:type="dxa"/>
            <w:vMerge w:val="continue"/>
            <w:noWrap w:val="0"/>
            <w:vAlign w:val="center"/>
          </w:tcPr>
          <w:p w14:paraId="1AD6799F">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p>
        </w:tc>
        <w:tc>
          <w:tcPr>
            <w:tcW w:w="6421" w:type="dxa"/>
            <w:noWrap w:val="0"/>
            <w:vAlign w:val="center"/>
          </w:tcPr>
          <w:p w14:paraId="287767E8">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避雷检测</w:t>
            </w:r>
          </w:p>
        </w:tc>
        <w:tc>
          <w:tcPr>
            <w:tcW w:w="1199" w:type="dxa"/>
            <w:noWrap w:val="0"/>
            <w:vAlign w:val="center"/>
          </w:tcPr>
          <w:p w14:paraId="017DD0B4">
            <w:pPr>
              <w:keepNext w:val="0"/>
              <w:keepLines w:val="0"/>
              <w:pageBreakBefore w:val="0"/>
              <w:kinsoku/>
              <w:wordWrap/>
              <w:overflowPunct/>
              <w:topLinePunct w:val="0"/>
              <w:autoSpaceDE/>
              <w:autoSpaceDN/>
              <w:bidi w:val="0"/>
              <w:snapToGrid/>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lang w:val="en-US" w:eastAsia="zh-CN"/>
              </w:rPr>
              <w:t>次/年</w:t>
            </w:r>
          </w:p>
        </w:tc>
      </w:tr>
    </w:tbl>
    <w:p w14:paraId="6D6EB28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B3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2026-08-05T08:20:14Z</dcterms:created>
  <dc:creator>luozhao</dc:creator>
  <cp:lastModifiedBy>LZ</cp:lastModifiedBy>
  <dcterms:modified xsi:type="dcterms:W3CDTF">2026-08-05T08:29:25Z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eyJoZGlkIjoiYWYwMGRlZTcyOWNjODRjYzgxOTBkZGNlN2RkNzY1MGEiLCJ1c2VySWQiOiIxNTUxNTE4MDk2In0=</vt:lpwstr>
  </property>
  <property fmtid="{D5CDD505-2E9C-101B-9397-08002B2CF9AE}" pid="4" name="ICV">
    <vt:lpwstr>0270757DB55E41B186341CF60E237C33_12</vt:lpwstr>
  </property>
</Properties>
</file>