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2B71E">
      <w:pPr>
        <w:spacing w:line="360" w:lineRule="auto"/>
        <w:jc w:val="center"/>
        <w:outlineLvl w:val="0"/>
        <w:rPr>
          <w:b/>
          <w:sz w:val="36"/>
          <w:szCs w:val="36"/>
        </w:rPr>
      </w:pPr>
      <w:r>
        <w:rPr>
          <w:b/>
          <w:sz w:val="36"/>
          <w:szCs w:val="36"/>
        </w:rPr>
        <w:t>采购需求</w:t>
      </w:r>
    </w:p>
    <w:p w14:paraId="4E97B3E4">
      <w:pPr>
        <w:pStyle w:val="16"/>
        <w:numPr>
          <w:ilvl w:val="0"/>
          <w:numId w:val="1"/>
        </w:numPr>
        <w:spacing w:line="360" w:lineRule="auto"/>
        <w:ind w:firstLine="482"/>
        <w:contextualSpacing/>
        <w:jc w:val="left"/>
        <w:rPr>
          <w:rFonts w:asciiTheme="minorEastAsia" w:hAnsiTheme="minorEastAsia" w:eastAsiaTheme="minorEastAsia"/>
          <w:b/>
          <w:sz w:val="24"/>
          <w:szCs w:val="24"/>
        </w:rPr>
      </w:pPr>
      <w:r>
        <w:rPr>
          <w:rFonts w:asciiTheme="minorEastAsia" w:hAnsiTheme="minorEastAsia" w:eastAsiaTheme="minorEastAsia"/>
          <w:b/>
          <w:sz w:val="24"/>
          <w:szCs w:val="24"/>
        </w:rPr>
        <w:t>采购标的</w:t>
      </w:r>
      <w:r>
        <w:rPr>
          <w:rFonts w:hint="eastAsia" w:asciiTheme="minorEastAsia" w:hAnsiTheme="minorEastAsia" w:eastAsiaTheme="minorEastAsia"/>
          <w:b/>
          <w:sz w:val="24"/>
          <w:szCs w:val="24"/>
        </w:rPr>
        <w:t>：北京采供血机构综合保险</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4207"/>
        <w:gridCol w:w="2843"/>
      </w:tblGrid>
      <w:tr w14:paraId="2C04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tcPr>
          <w:p w14:paraId="2CDD224D">
            <w:pPr>
              <w:pStyle w:val="16"/>
              <w:spacing w:line="360" w:lineRule="auto"/>
              <w:ind w:firstLine="0" w:firstLineChars="0"/>
              <w:contextualSpacing/>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4207" w:type="dxa"/>
          </w:tcPr>
          <w:p w14:paraId="3A79A0BD">
            <w:pPr>
              <w:pStyle w:val="16"/>
              <w:spacing w:line="360" w:lineRule="auto"/>
              <w:ind w:firstLine="0" w:firstLineChars="0"/>
              <w:contextualSpacing/>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险种</w:t>
            </w:r>
          </w:p>
        </w:tc>
        <w:tc>
          <w:tcPr>
            <w:tcW w:w="2843" w:type="dxa"/>
          </w:tcPr>
          <w:p w14:paraId="67185869">
            <w:pPr>
              <w:pStyle w:val="16"/>
              <w:spacing w:line="360" w:lineRule="auto"/>
              <w:ind w:firstLine="0" w:firstLineChars="0"/>
              <w:contextualSpacing/>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分项预算金额（万元）</w:t>
            </w:r>
          </w:p>
        </w:tc>
      </w:tr>
      <w:tr w14:paraId="1D8C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tcPr>
          <w:p w14:paraId="499EE1FD">
            <w:pPr>
              <w:pStyle w:val="16"/>
              <w:spacing w:line="360" w:lineRule="auto"/>
              <w:ind w:firstLine="0" w:firstLineChars="0"/>
              <w:contextualSpacing/>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4207" w:type="dxa"/>
          </w:tcPr>
          <w:p w14:paraId="6F508A56">
            <w:pPr>
              <w:pStyle w:val="16"/>
              <w:spacing w:line="360" w:lineRule="auto"/>
              <w:ind w:firstLine="0" w:firstLineChars="0"/>
              <w:contextualSpacing/>
              <w:jc w:val="center"/>
              <w:rPr>
                <w:rFonts w:asciiTheme="minorEastAsia" w:hAnsiTheme="minorEastAsia" w:eastAsiaTheme="minorEastAsia"/>
                <w:b/>
                <w:sz w:val="24"/>
                <w:szCs w:val="24"/>
              </w:rPr>
            </w:pPr>
            <w:r>
              <w:rPr>
                <w:rFonts w:hint="eastAsia" w:ascii="宋体" w:hAnsi="宋体" w:cs="宋体"/>
                <w:bCs/>
                <w:sz w:val="24"/>
              </w:rPr>
              <w:t>献血者意外险</w:t>
            </w:r>
          </w:p>
        </w:tc>
        <w:tc>
          <w:tcPr>
            <w:tcW w:w="2843" w:type="dxa"/>
          </w:tcPr>
          <w:p w14:paraId="7FD806DD">
            <w:pPr>
              <w:pStyle w:val="16"/>
              <w:spacing w:line="360" w:lineRule="auto"/>
              <w:ind w:firstLine="0" w:firstLineChars="0"/>
              <w:contextualSpacing/>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135</w:t>
            </w:r>
          </w:p>
        </w:tc>
      </w:tr>
      <w:tr w14:paraId="71F9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tcPr>
          <w:p w14:paraId="2BC3991F">
            <w:pPr>
              <w:pStyle w:val="16"/>
              <w:spacing w:line="360" w:lineRule="auto"/>
              <w:ind w:firstLine="0" w:firstLineChars="0"/>
              <w:contextualSpacing/>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2</w:t>
            </w:r>
          </w:p>
        </w:tc>
        <w:tc>
          <w:tcPr>
            <w:tcW w:w="4207" w:type="dxa"/>
          </w:tcPr>
          <w:p w14:paraId="09D60E56">
            <w:pPr>
              <w:pStyle w:val="16"/>
              <w:spacing w:line="360" w:lineRule="auto"/>
              <w:ind w:firstLine="0" w:firstLineChars="0"/>
              <w:contextualSpacing/>
              <w:jc w:val="center"/>
              <w:rPr>
                <w:rFonts w:asciiTheme="minorEastAsia" w:hAnsiTheme="minorEastAsia" w:eastAsiaTheme="minorEastAsia"/>
                <w:b/>
                <w:sz w:val="24"/>
                <w:szCs w:val="24"/>
              </w:rPr>
            </w:pPr>
            <w:r>
              <w:rPr>
                <w:rFonts w:hint="eastAsia" w:ascii="宋体" w:hAnsi="宋体" w:cs="宋体"/>
                <w:bCs/>
                <w:sz w:val="24"/>
              </w:rPr>
              <w:t>血站采供血责任险</w:t>
            </w:r>
          </w:p>
        </w:tc>
        <w:tc>
          <w:tcPr>
            <w:tcW w:w="2843" w:type="dxa"/>
          </w:tcPr>
          <w:p w14:paraId="73F0A513">
            <w:pPr>
              <w:pStyle w:val="16"/>
              <w:spacing w:line="360" w:lineRule="auto"/>
              <w:ind w:firstLine="0" w:firstLineChars="0"/>
              <w:contextualSpacing/>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20</w:t>
            </w:r>
          </w:p>
        </w:tc>
      </w:tr>
      <w:tr w14:paraId="249A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tcPr>
          <w:p w14:paraId="1289D07F">
            <w:pPr>
              <w:pStyle w:val="16"/>
              <w:spacing w:line="360" w:lineRule="auto"/>
              <w:ind w:firstLine="0" w:firstLineChars="0"/>
              <w:contextualSpacing/>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3</w:t>
            </w:r>
          </w:p>
        </w:tc>
        <w:tc>
          <w:tcPr>
            <w:tcW w:w="4207" w:type="dxa"/>
          </w:tcPr>
          <w:p w14:paraId="4C106696">
            <w:pPr>
              <w:pStyle w:val="16"/>
              <w:spacing w:line="360" w:lineRule="auto"/>
              <w:ind w:firstLine="0" w:firstLineChars="0"/>
              <w:contextualSpacing/>
              <w:jc w:val="center"/>
              <w:rPr>
                <w:rFonts w:asciiTheme="minorEastAsia" w:hAnsiTheme="minorEastAsia" w:eastAsiaTheme="minorEastAsia"/>
                <w:b/>
                <w:sz w:val="24"/>
                <w:szCs w:val="24"/>
              </w:rPr>
            </w:pPr>
            <w:r>
              <w:rPr>
                <w:rFonts w:hint="eastAsia" w:ascii="宋体" w:hAnsi="宋体" w:cs="宋体"/>
                <w:bCs/>
                <w:sz w:val="24"/>
              </w:rPr>
              <w:t>公共管理责任险</w:t>
            </w:r>
          </w:p>
        </w:tc>
        <w:tc>
          <w:tcPr>
            <w:tcW w:w="2843" w:type="dxa"/>
          </w:tcPr>
          <w:p w14:paraId="2C3C6927">
            <w:pPr>
              <w:pStyle w:val="16"/>
              <w:spacing w:line="360" w:lineRule="auto"/>
              <w:ind w:firstLine="0" w:firstLineChars="0"/>
              <w:contextualSpacing/>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5</w:t>
            </w:r>
          </w:p>
        </w:tc>
      </w:tr>
    </w:tbl>
    <w:p w14:paraId="5F4926A9">
      <w:pPr>
        <w:pStyle w:val="16"/>
        <w:spacing w:line="360" w:lineRule="auto"/>
        <w:ind w:firstLine="482"/>
        <w:contextualSpacing/>
        <w:jc w:val="left"/>
        <w:rPr>
          <w:rFonts w:asciiTheme="minorEastAsia" w:hAnsiTheme="minorEastAsia" w:eastAsiaTheme="minorEastAsia"/>
          <w:b/>
          <w:sz w:val="24"/>
          <w:szCs w:val="24"/>
        </w:rPr>
      </w:pPr>
      <w:r>
        <w:rPr>
          <w:rFonts w:asciiTheme="minorEastAsia" w:hAnsiTheme="minorEastAsia" w:eastAsiaTheme="minorEastAsia"/>
          <w:b/>
          <w:sz w:val="24"/>
          <w:szCs w:val="24"/>
        </w:rPr>
        <w:t>二、商务要求</w:t>
      </w:r>
    </w:p>
    <w:p w14:paraId="145D11B7">
      <w:pPr>
        <w:pStyle w:val="16"/>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（一）服务期限和地点</w:t>
      </w:r>
    </w:p>
    <w:p w14:paraId="517D57AC">
      <w:pPr>
        <w:pStyle w:val="16"/>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1.服务期限：2027年1月1日—2027年12月31日。</w:t>
      </w:r>
    </w:p>
    <w:p w14:paraId="5099322E">
      <w:pPr>
        <w:pStyle w:val="16"/>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2.服务地点：采购人指定地点</w:t>
      </w:r>
    </w:p>
    <w:p w14:paraId="2027009B">
      <w:pPr>
        <w:pStyle w:val="16"/>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（二）付款条件（进度和方式）：详见第六章《拟签订的合同文本》</w:t>
      </w:r>
    </w:p>
    <w:p w14:paraId="134EF162">
      <w:pPr>
        <w:pStyle w:val="16"/>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（三）服务要求：认真履行合同。由专人负责项目跟进。对于献血不良反应的赔付应保证献血者在现场就可以拿到赔付款。</w:t>
      </w:r>
    </w:p>
    <w:p w14:paraId="568F037C">
      <w:pPr>
        <w:pStyle w:val="16"/>
        <w:spacing w:line="360" w:lineRule="auto"/>
        <w:ind w:firstLine="482"/>
        <w:contextualSpacing/>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三、基本要求</w:t>
      </w:r>
    </w:p>
    <w:p w14:paraId="47857F71">
      <w:pPr>
        <w:pStyle w:val="16"/>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（一）采购标的需实现的功能或者目标</w:t>
      </w:r>
    </w:p>
    <w:p w14:paraId="6776F242">
      <w:pPr>
        <w:pStyle w:val="7"/>
        <w:tabs>
          <w:tab w:val="right" w:leader="dot" w:pos="8937"/>
        </w:tabs>
        <w:spacing w:line="360" w:lineRule="auto"/>
        <w:ind w:left="0" w:leftChars="0" w:firstLine="480" w:firstLineChars="200"/>
        <w:rPr>
          <w:rFonts w:asciiTheme="minorEastAsia" w:hAnsiTheme="minorEastAsia" w:eastAsiaTheme="minorEastAsia"/>
          <w:bCs/>
          <w:sz w:val="24"/>
        </w:rPr>
      </w:pPr>
      <w:r>
        <w:rPr>
          <w:rFonts w:hint="eastAsia" w:ascii="宋体" w:hAnsi="宋体" w:cs="宋体"/>
          <w:sz w:val="24"/>
        </w:rPr>
        <w:t>本次招标采购是</w:t>
      </w:r>
      <w:r>
        <w:rPr>
          <w:rFonts w:hint="eastAsia" w:ascii="宋体" w:hAnsi="宋体"/>
          <w:sz w:val="24"/>
          <w:u w:val="single"/>
        </w:rPr>
        <w:t>北京采供血机构综合保险</w:t>
      </w:r>
      <w:r>
        <w:rPr>
          <w:rFonts w:hint="eastAsia" w:asciiTheme="minorEastAsia" w:hAnsiTheme="minorEastAsia" w:eastAsiaTheme="minorEastAsia"/>
          <w:bCs/>
          <w:sz w:val="24"/>
        </w:rPr>
        <w:t>，</w:t>
      </w:r>
      <w:r>
        <w:rPr>
          <w:rFonts w:hint="eastAsia" w:ascii="宋体" w:hAnsi="宋体" w:cs="宋体" w:eastAsiaTheme="minorEastAsia"/>
          <w:sz w:val="24"/>
        </w:rPr>
        <w:t>供应商</w:t>
      </w:r>
      <w:r>
        <w:rPr>
          <w:rFonts w:hint="eastAsia" w:ascii="宋体" w:hAnsi="宋体" w:cs="宋体"/>
          <w:sz w:val="24"/>
        </w:rPr>
        <w:t>应根据招标文件所提出的服务要求，以优良的服务和优惠的价格，充分显示自己的竞争实力。</w:t>
      </w:r>
    </w:p>
    <w:p w14:paraId="5938B082">
      <w:pPr>
        <w:pStyle w:val="16"/>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（二）需执行的国家相关标准、行业标准、地方标准或者其他标准、规范：</w:t>
      </w:r>
    </w:p>
    <w:p w14:paraId="6ED83F98">
      <w:pPr>
        <w:pStyle w:val="16"/>
        <w:spacing w:line="360" w:lineRule="auto"/>
        <w:ind w:firstLine="480"/>
        <w:contextualSpacing/>
        <w:jc w:val="left"/>
        <w:rPr>
          <w:rFonts w:ascii="宋体" w:hAnsi="宋体" w:cs="宋体"/>
          <w:bCs/>
          <w:sz w:val="24"/>
        </w:rPr>
      </w:pPr>
      <w:r>
        <w:rPr>
          <w:rFonts w:hint="eastAsia" w:ascii="宋体" w:hAnsi="宋体" w:cs="宋体"/>
          <w:bCs/>
          <w:sz w:val="24"/>
        </w:rPr>
        <w:t>供应商所提供的服务应符合国家有关部门规定的相应技术法规及标准要求。</w:t>
      </w:r>
    </w:p>
    <w:p w14:paraId="790C9849">
      <w:pPr>
        <w:pStyle w:val="16"/>
        <w:spacing w:line="360" w:lineRule="auto"/>
        <w:ind w:firstLine="482"/>
        <w:contextualSpacing/>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四、服务要求</w:t>
      </w:r>
    </w:p>
    <w:p w14:paraId="733B2246">
      <w:pPr>
        <w:pStyle w:val="16"/>
        <w:spacing w:line="360" w:lineRule="auto"/>
        <w:ind w:firstLine="480"/>
        <w:contextualSpacing/>
        <w:jc w:val="left"/>
        <w:rPr>
          <w:rFonts w:ascii="宋体" w:hAnsi="宋体" w:cs="宋体"/>
          <w:bCs/>
          <w:sz w:val="24"/>
        </w:rPr>
      </w:pPr>
      <w:r>
        <w:rPr>
          <w:rFonts w:hint="eastAsia" w:ascii="宋体" w:hAnsi="宋体" w:cs="宋体"/>
          <w:bCs/>
          <w:sz w:val="24"/>
        </w:rPr>
        <w:t>1.保险险种：</w:t>
      </w:r>
    </w:p>
    <w:p w14:paraId="3E9EDE14">
      <w:pPr>
        <w:pStyle w:val="16"/>
        <w:spacing w:line="360" w:lineRule="auto"/>
        <w:ind w:firstLine="480"/>
        <w:contextualSpacing/>
        <w:jc w:val="left"/>
        <w:rPr>
          <w:rFonts w:ascii="宋体" w:hAnsi="宋体" w:cs="宋体"/>
          <w:bCs/>
          <w:sz w:val="24"/>
        </w:rPr>
      </w:pPr>
      <w:r>
        <w:rPr>
          <w:rFonts w:hint="eastAsia" w:ascii="宋体" w:hAnsi="宋体" w:cs="宋体"/>
          <w:bCs/>
          <w:sz w:val="24"/>
        </w:rPr>
        <w:t>1.1献血者意外险；</w:t>
      </w:r>
    </w:p>
    <w:p w14:paraId="6FBA6879">
      <w:pPr>
        <w:pStyle w:val="16"/>
        <w:spacing w:line="360" w:lineRule="auto"/>
        <w:ind w:firstLine="480"/>
        <w:contextualSpacing/>
        <w:jc w:val="left"/>
        <w:rPr>
          <w:rFonts w:ascii="宋体" w:hAnsi="宋体" w:cs="宋体"/>
          <w:bCs/>
          <w:sz w:val="24"/>
        </w:rPr>
      </w:pPr>
      <w:r>
        <w:rPr>
          <w:rFonts w:hint="eastAsia" w:ascii="宋体" w:hAnsi="宋体" w:cs="宋体"/>
          <w:bCs/>
          <w:sz w:val="24"/>
        </w:rPr>
        <w:t>1.2血站采供血责任险；</w:t>
      </w:r>
    </w:p>
    <w:p w14:paraId="5D46E789">
      <w:pPr>
        <w:pStyle w:val="16"/>
        <w:spacing w:line="360" w:lineRule="auto"/>
        <w:ind w:firstLine="480"/>
        <w:contextualSpacing/>
        <w:jc w:val="left"/>
        <w:rPr>
          <w:rFonts w:ascii="宋体" w:hAnsi="宋体" w:cs="宋体"/>
          <w:bCs/>
          <w:sz w:val="24"/>
        </w:rPr>
      </w:pPr>
      <w:r>
        <w:rPr>
          <w:rFonts w:hint="eastAsia" w:ascii="宋体" w:hAnsi="宋体" w:cs="宋体"/>
          <w:bCs/>
          <w:sz w:val="24"/>
        </w:rPr>
        <w:t>1.3公共管理责任险。</w:t>
      </w:r>
    </w:p>
    <w:p w14:paraId="042D5D19">
      <w:pPr>
        <w:pStyle w:val="16"/>
        <w:spacing w:line="360" w:lineRule="auto"/>
        <w:ind w:firstLine="480"/>
        <w:contextualSpacing/>
        <w:jc w:val="left"/>
        <w:rPr>
          <w:rFonts w:ascii="宋体" w:hAnsi="宋体" w:cs="宋体"/>
          <w:bCs/>
          <w:sz w:val="24"/>
        </w:rPr>
      </w:pPr>
      <w:r>
        <w:rPr>
          <w:rFonts w:hint="eastAsia" w:ascii="宋体" w:hAnsi="宋体" w:cs="宋体"/>
          <w:bCs/>
          <w:sz w:val="24"/>
        </w:rPr>
        <w:t>2.投保期限：2027年1月1日—2027年12月31日。</w:t>
      </w:r>
    </w:p>
    <w:p w14:paraId="5B5931E4">
      <w:pPr>
        <w:pStyle w:val="16"/>
        <w:spacing w:line="360" w:lineRule="auto"/>
        <w:ind w:firstLine="480"/>
        <w:contextualSpacing/>
        <w:jc w:val="left"/>
        <w:rPr>
          <w:rFonts w:ascii="宋体" w:hAnsi="宋体" w:cs="宋体"/>
          <w:bCs/>
          <w:sz w:val="24"/>
        </w:rPr>
      </w:pPr>
      <w:r>
        <w:rPr>
          <w:rFonts w:hint="eastAsia" w:ascii="宋体" w:hAnsi="宋体" w:cs="宋体"/>
          <w:bCs/>
          <w:sz w:val="24"/>
        </w:rPr>
        <w:t>3.保险内容：</w:t>
      </w:r>
    </w:p>
    <w:p w14:paraId="07DBDF4F">
      <w:pPr>
        <w:pStyle w:val="16"/>
        <w:spacing w:line="360" w:lineRule="auto"/>
        <w:ind w:firstLine="480"/>
        <w:contextualSpacing/>
        <w:jc w:val="left"/>
        <w:rPr>
          <w:rFonts w:ascii="宋体" w:hAnsi="宋体" w:cs="宋体"/>
          <w:bCs/>
          <w:sz w:val="24"/>
        </w:rPr>
      </w:pPr>
      <w:r>
        <w:rPr>
          <w:rFonts w:hint="eastAsia" w:ascii="宋体" w:hAnsi="宋体" w:cs="宋体"/>
          <w:bCs/>
          <w:sz w:val="24"/>
        </w:rPr>
        <w:t>3.1献血者意外险</w:t>
      </w:r>
    </w:p>
    <w:p w14:paraId="19128742">
      <w:pPr>
        <w:pStyle w:val="16"/>
        <w:spacing w:line="360" w:lineRule="auto"/>
        <w:ind w:firstLine="480"/>
        <w:contextualSpacing/>
        <w:jc w:val="left"/>
        <w:rPr>
          <w:rFonts w:ascii="宋体" w:hAnsi="宋体" w:cs="宋体"/>
          <w:bCs/>
          <w:sz w:val="24"/>
        </w:rPr>
        <w:sectPr>
          <w:headerReference r:id="rId3" w:type="default"/>
          <w:footerReference r:id="rId4" w:type="default"/>
          <w:pgSz w:w="11907" w:h="16840"/>
          <w:pgMar w:top="1417" w:right="1134" w:bottom="1417" w:left="1701" w:header="851" w:footer="850" w:gutter="0"/>
          <w:cols w:space="720" w:num="1"/>
          <w:docGrid w:linePitch="462" w:charSpace="0"/>
        </w:sectPr>
      </w:pPr>
      <w:r>
        <w:rPr>
          <w:rFonts w:hint="eastAsia" w:ascii="宋体" w:hAnsi="宋体" w:cs="宋体"/>
          <w:bCs/>
          <w:sz w:val="24"/>
        </w:rPr>
        <w:t>3.1.1献血者预估数量60万人，以实际为准。</w:t>
      </w:r>
    </w:p>
    <w:p w14:paraId="76DBB33C">
      <w:pPr>
        <w:pStyle w:val="16"/>
        <w:spacing w:line="360" w:lineRule="auto"/>
        <w:ind w:firstLine="480"/>
        <w:contextualSpacing/>
        <w:jc w:val="left"/>
        <w:rPr>
          <w:rFonts w:ascii="宋体" w:hAnsi="宋体" w:cs="宋体"/>
          <w:bCs/>
          <w:sz w:val="24"/>
        </w:rPr>
      </w:pPr>
      <w:r>
        <w:rPr>
          <w:rFonts w:hint="eastAsia" w:ascii="宋体" w:hAnsi="宋体" w:cs="宋体"/>
          <w:bCs/>
          <w:sz w:val="24"/>
        </w:rPr>
        <w:t>3.1.2献血者意外险保险要求：</w:t>
      </w:r>
    </w:p>
    <w:p w14:paraId="6577F0D7">
      <w:pPr>
        <w:pStyle w:val="16"/>
        <w:spacing w:line="360" w:lineRule="auto"/>
        <w:ind w:firstLine="480"/>
        <w:contextualSpacing/>
        <w:jc w:val="left"/>
        <w:rPr>
          <w:rFonts w:ascii="宋体" w:hAnsi="宋体" w:cs="宋体"/>
          <w:bCs/>
          <w:sz w:val="24"/>
        </w:rPr>
      </w:pPr>
      <w:r>
        <w:rPr>
          <w:rFonts w:hint="eastAsia" w:ascii="宋体" w:hAnsi="宋体" w:cs="宋体"/>
          <w:bCs/>
          <w:sz w:val="24"/>
        </w:rPr>
        <w:t>3.1.2.1基本要求</w:t>
      </w:r>
    </w:p>
    <w:tbl>
      <w:tblPr>
        <w:tblStyle w:val="10"/>
        <w:tblW w:w="13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800"/>
        <w:gridCol w:w="2784"/>
        <w:gridCol w:w="9162"/>
      </w:tblGrid>
      <w:tr w14:paraId="5BE0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780" w:type="dxa"/>
            <w:gridSpan w:val="3"/>
            <w:vMerge w:val="restart"/>
            <w:vAlign w:val="center"/>
          </w:tcPr>
          <w:p w14:paraId="455F659C">
            <w:pPr>
              <w:wordWrap w:val="0"/>
              <w:topLinePunct/>
              <w:ind w:right="480"/>
              <w:rPr>
                <w:rFonts w:ascii="宋体" w:hAnsi="宋体" w:cs="宋体"/>
                <w:sz w:val="24"/>
              </w:rPr>
            </w:pPr>
            <w:r>
              <w:rPr>
                <w:rFonts w:hint="eastAsia" w:ascii="宋体" w:hAnsi="宋体" w:cs="宋体"/>
                <w:sz w:val="24"/>
              </w:rPr>
              <w:t>献血者意外险</w:t>
            </w:r>
          </w:p>
          <w:p w14:paraId="77C9F506">
            <w:pPr>
              <w:pStyle w:val="9"/>
              <w:wordWrap w:val="0"/>
              <w:topLinePunct/>
              <w:ind w:firstLine="480"/>
              <w:rPr>
                <w:rFonts w:ascii="宋体" w:hAnsi="宋体" w:cs="宋体"/>
                <w:szCs w:val="24"/>
              </w:rPr>
            </w:pPr>
          </w:p>
          <w:p w14:paraId="19C9E1D7">
            <w:pPr>
              <w:pStyle w:val="9"/>
              <w:wordWrap w:val="0"/>
              <w:topLinePunct/>
              <w:ind w:firstLine="480"/>
              <w:rPr>
                <w:rFonts w:ascii="宋体" w:hAnsi="宋体" w:cs="宋体"/>
                <w:szCs w:val="24"/>
              </w:rPr>
            </w:pPr>
          </w:p>
          <w:p w14:paraId="70E9B5EA">
            <w:pPr>
              <w:pStyle w:val="9"/>
              <w:wordWrap w:val="0"/>
              <w:topLinePunct/>
              <w:ind w:firstLine="480"/>
              <w:rPr>
                <w:rFonts w:ascii="宋体" w:hAnsi="宋体" w:cs="宋体"/>
                <w:szCs w:val="24"/>
              </w:rPr>
            </w:pPr>
          </w:p>
        </w:tc>
        <w:tc>
          <w:tcPr>
            <w:tcW w:w="9162" w:type="dxa"/>
            <w:vAlign w:val="center"/>
          </w:tcPr>
          <w:p w14:paraId="50F4D6C8">
            <w:pPr>
              <w:wordWrap w:val="0"/>
              <w:topLinePunct/>
              <w:rPr>
                <w:rFonts w:ascii="宋体" w:hAnsi="宋体" w:cs="宋体"/>
                <w:sz w:val="24"/>
              </w:rPr>
            </w:pPr>
            <w:r>
              <w:rPr>
                <w:rFonts w:hint="eastAsia" w:ascii="宋体" w:hAnsi="宋体" w:cs="宋体"/>
                <w:sz w:val="24"/>
              </w:rPr>
              <w:t xml:space="preserve">人身意外伤害保险 </w:t>
            </w:r>
          </w:p>
        </w:tc>
      </w:tr>
      <w:tr w14:paraId="3EDA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780" w:type="dxa"/>
            <w:gridSpan w:val="3"/>
            <w:vMerge w:val="continue"/>
            <w:vAlign w:val="center"/>
          </w:tcPr>
          <w:p w14:paraId="5050B29A">
            <w:pPr>
              <w:wordWrap w:val="0"/>
              <w:topLinePunct/>
              <w:rPr>
                <w:rFonts w:ascii="宋体" w:hAnsi="宋体" w:cs="宋体"/>
                <w:sz w:val="24"/>
              </w:rPr>
            </w:pPr>
          </w:p>
        </w:tc>
        <w:tc>
          <w:tcPr>
            <w:tcW w:w="9162" w:type="dxa"/>
            <w:vAlign w:val="center"/>
          </w:tcPr>
          <w:p w14:paraId="42E0A306">
            <w:pPr>
              <w:wordWrap w:val="0"/>
              <w:topLinePunct/>
              <w:rPr>
                <w:rFonts w:ascii="宋体" w:hAnsi="宋体" w:cs="宋体"/>
                <w:sz w:val="24"/>
              </w:rPr>
            </w:pPr>
            <w:r>
              <w:rPr>
                <w:rFonts w:hint="eastAsia" w:ascii="宋体" w:hAnsi="宋体" w:cs="宋体"/>
                <w:sz w:val="24"/>
              </w:rPr>
              <w:t xml:space="preserve">附加意外伤害医疗保险 </w:t>
            </w:r>
          </w:p>
        </w:tc>
      </w:tr>
      <w:tr w14:paraId="2EA0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780" w:type="dxa"/>
            <w:gridSpan w:val="3"/>
            <w:vMerge w:val="continue"/>
            <w:vAlign w:val="center"/>
          </w:tcPr>
          <w:p w14:paraId="71742A49">
            <w:pPr>
              <w:wordWrap w:val="0"/>
              <w:topLinePunct/>
              <w:rPr>
                <w:rFonts w:ascii="宋体" w:hAnsi="宋体" w:cs="宋体"/>
                <w:sz w:val="24"/>
              </w:rPr>
            </w:pPr>
          </w:p>
        </w:tc>
        <w:tc>
          <w:tcPr>
            <w:tcW w:w="9162" w:type="dxa"/>
            <w:vAlign w:val="center"/>
          </w:tcPr>
          <w:p w14:paraId="108738F2">
            <w:pPr>
              <w:wordWrap w:val="0"/>
              <w:topLinePunct/>
              <w:rPr>
                <w:rFonts w:ascii="宋体" w:hAnsi="宋体" w:cs="宋体"/>
                <w:sz w:val="24"/>
              </w:rPr>
            </w:pPr>
            <w:r>
              <w:rPr>
                <w:rFonts w:hint="eastAsia" w:ascii="宋体" w:hAnsi="宋体" w:cs="宋体"/>
                <w:sz w:val="24"/>
              </w:rPr>
              <w:t>附加住院津贴</w:t>
            </w:r>
          </w:p>
        </w:tc>
      </w:tr>
      <w:tr w14:paraId="3C7B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780" w:type="dxa"/>
            <w:gridSpan w:val="3"/>
            <w:vMerge w:val="continue"/>
            <w:vAlign w:val="center"/>
          </w:tcPr>
          <w:p w14:paraId="564F09CB">
            <w:pPr>
              <w:wordWrap w:val="0"/>
              <w:topLinePunct/>
              <w:rPr>
                <w:rFonts w:ascii="宋体" w:hAnsi="宋体" w:cs="宋体"/>
                <w:sz w:val="24"/>
              </w:rPr>
            </w:pPr>
          </w:p>
        </w:tc>
        <w:tc>
          <w:tcPr>
            <w:tcW w:w="9162" w:type="dxa"/>
            <w:vAlign w:val="center"/>
          </w:tcPr>
          <w:p w14:paraId="313795D3">
            <w:pPr>
              <w:wordWrap w:val="0"/>
              <w:topLinePunct/>
              <w:rPr>
                <w:rFonts w:ascii="宋体" w:hAnsi="宋体" w:cs="宋体"/>
                <w:sz w:val="24"/>
              </w:rPr>
            </w:pPr>
            <w:r>
              <w:rPr>
                <w:rFonts w:hint="eastAsia" w:ascii="宋体" w:hAnsi="宋体" w:cs="宋体"/>
                <w:sz w:val="24"/>
              </w:rPr>
              <w:t>附加紧急医疗救援</w:t>
            </w:r>
          </w:p>
        </w:tc>
      </w:tr>
      <w:tr w14:paraId="1D7C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Align w:val="center"/>
          </w:tcPr>
          <w:p w14:paraId="6CED263F">
            <w:pPr>
              <w:wordWrap w:val="0"/>
              <w:topLinePunct/>
              <w:rPr>
                <w:rFonts w:ascii="宋体" w:hAnsi="宋体" w:cs="宋体"/>
                <w:sz w:val="24"/>
              </w:rPr>
            </w:pPr>
            <w:r>
              <w:rPr>
                <w:rFonts w:hint="eastAsia" w:ascii="宋体" w:hAnsi="宋体" w:cs="宋体"/>
                <w:sz w:val="24"/>
              </w:rPr>
              <w:t>类别</w:t>
            </w:r>
          </w:p>
        </w:tc>
        <w:tc>
          <w:tcPr>
            <w:tcW w:w="800" w:type="dxa"/>
            <w:vAlign w:val="center"/>
          </w:tcPr>
          <w:p w14:paraId="60E11EF1">
            <w:pPr>
              <w:wordWrap w:val="0"/>
              <w:topLinePunct/>
              <w:rPr>
                <w:rFonts w:ascii="宋体" w:hAnsi="宋体" w:cs="宋体"/>
                <w:sz w:val="24"/>
              </w:rPr>
            </w:pPr>
            <w:r>
              <w:rPr>
                <w:rFonts w:hint="eastAsia" w:ascii="宋体" w:hAnsi="宋体" w:cs="宋体"/>
                <w:sz w:val="24"/>
              </w:rPr>
              <w:t>序号</w:t>
            </w:r>
          </w:p>
        </w:tc>
        <w:tc>
          <w:tcPr>
            <w:tcW w:w="2784" w:type="dxa"/>
            <w:vAlign w:val="center"/>
          </w:tcPr>
          <w:p w14:paraId="376CFEA9">
            <w:pPr>
              <w:wordWrap w:val="0"/>
              <w:topLinePunct/>
              <w:rPr>
                <w:rFonts w:ascii="宋体" w:hAnsi="宋体" w:cs="宋体"/>
                <w:sz w:val="24"/>
              </w:rPr>
            </w:pPr>
            <w:r>
              <w:rPr>
                <w:rFonts w:hint="eastAsia" w:ascii="宋体" w:hAnsi="宋体" w:cs="宋体"/>
                <w:sz w:val="24"/>
              </w:rPr>
              <w:t>内容</w:t>
            </w:r>
          </w:p>
        </w:tc>
        <w:tc>
          <w:tcPr>
            <w:tcW w:w="9162" w:type="dxa"/>
            <w:vAlign w:val="center"/>
          </w:tcPr>
          <w:p w14:paraId="6B725D94">
            <w:pPr>
              <w:wordWrap w:val="0"/>
              <w:topLinePunct/>
              <w:rPr>
                <w:rFonts w:ascii="宋体" w:hAnsi="宋体" w:cs="宋体"/>
                <w:sz w:val="24"/>
              </w:rPr>
            </w:pPr>
            <w:r>
              <w:rPr>
                <w:rFonts w:hint="eastAsia" w:ascii="宋体" w:hAnsi="宋体" w:cs="宋体"/>
                <w:sz w:val="24"/>
              </w:rPr>
              <w:t>最低要求</w:t>
            </w:r>
          </w:p>
        </w:tc>
      </w:tr>
      <w:tr w14:paraId="419C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restart"/>
            <w:vAlign w:val="center"/>
          </w:tcPr>
          <w:p w14:paraId="5A0AC8A8">
            <w:pPr>
              <w:wordWrap w:val="0"/>
              <w:topLinePunct/>
              <w:rPr>
                <w:rFonts w:ascii="宋体" w:hAnsi="宋体" w:cs="宋体"/>
                <w:sz w:val="24"/>
              </w:rPr>
            </w:pPr>
            <w:r>
              <w:rPr>
                <w:rFonts w:hint="eastAsia" w:ascii="宋体" w:hAnsi="宋体" w:cs="宋体"/>
                <w:sz w:val="24"/>
              </w:rPr>
              <w:t>保险金额要求</w:t>
            </w:r>
          </w:p>
        </w:tc>
        <w:tc>
          <w:tcPr>
            <w:tcW w:w="800" w:type="dxa"/>
            <w:vMerge w:val="restart"/>
            <w:vAlign w:val="center"/>
          </w:tcPr>
          <w:p w14:paraId="6AC0B10A">
            <w:pPr>
              <w:wordWrap w:val="0"/>
              <w:topLinePunct/>
              <w:rPr>
                <w:rFonts w:ascii="宋体" w:hAnsi="宋体" w:cs="宋体"/>
                <w:sz w:val="24"/>
              </w:rPr>
            </w:pPr>
            <w:r>
              <w:rPr>
                <w:rFonts w:hint="eastAsia" w:ascii="宋体" w:hAnsi="宋体" w:cs="宋体"/>
                <w:sz w:val="24"/>
              </w:rPr>
              <w:t>1</w:t>
            </w:r>
          </w:p>
        </w:tc>
        <w:tc>
          <w:tcPr>
            <w:tcW w:w="2784" w:type="dxa"/>
            <w:vAlign w:val="center"/>
          </w:tcPr>
          <w:p w14:paraId="7D54CEEE">
            <w:pPr>
              <w:wordWrap w:val="0"/>
              <w:topLinePunct/>
              <w:rPr>
                <w:rFonts w:ascii="宋体" w:hAnsi="宋体" w:cs="宋体"/>
                <w:sz w:val="24"/>
              </w:rPr>
            </w:pPr>
            <w:r>
              <w:rPr>
                <w:rFonts w:hint="eastAsia" w:ascii="宋体" w:hAnsi="宋体" w:cs="宋体"/>
                <w:sz w:val="24"/>
              </w:rPr>
              <w:t>意外身故、残疾</w:t>
            </w:r>
          </w:p>
          <w:p w14:paraId="39937BCB">
            <w:pPr>
              <w:wordWrap w:val="0"/>
              <w:topLinePunct/>
              <w:rPr>
                <w:rFonts w:ascii="宋体" w:hAnsi="宋体" w:cs="宋体"/>
                <w:sz w:val="24"/>
              </w:rPr>
            </w:pPr>
            <w:r>
              <w:rPr>
                <w:rFonts w:hint="eastAsia" w:ascii="宋体" w:hAnsi="宋体" w:cs="宋体"/>
                <w:sz w:val="24"/>
              </w:rPr>
              <w:t>（与献血无关）</w:t>
            </w:r>
          </w:p>
        </w:tc>
        <w:tc>
          <w:tcPr>
            <w:tcW w:w="9162" w:type="dxa"/>
            <w:vAlign w:val="center"/>
          </w:tcPr>
          <w:p w14:paraId="6A00F3FC">
            <w:pPr>
              <w:wordWrap w:val="0"/>
              <w:topLinePunct/>
              <w:rPr>
                <w:rFonts w:ascii="宋体" w:hAnsi="宋体" w:cs="宋体"/>
                <w:sz w:val="24"/>
              </w:rPr>
            </w:pPr>
            <w:r>
              <w:rPr>
                <w:rFonts w:hint="eastAsia" w:ascii="宋体" w:hAnsi="宋体" w:cs="宋体"/>
                <w:sz w:val="24"/>
              </w:rPr>
              <w:t>12万元/人</w:t>
            </w:r>
          </w:p>
        </w:tc>
      </w:tr>
      <w:tr w14:paraId="5001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3CDE0586">
            <w:pPr>
              <w:wordWrap w:val="0"/>
              <w:topLinePunct/>
              <w:rPr>
                <w:rFonts w:ascii="宋体" w:hAnsi="宋体" w:cs="宋体"/>
                <w:sz w:val="24"/>
              </w:rPr>
            </w:pPr>
          </w:p>
        </w:tc>
        <w:tc>
          <w:tcPr>
            <w:tcW w:w="800" w:type="dxa"/>
            <w:vMerge w:val="continue"/>
            <w:vAlign w:val="center"/>
          </w:tcPr>
          <w:p w14:paraId="2C86B0E9">
            <w:pPr>
              <w:wordWrap w:val="0"/>
              <w:topLinePunct/>
              <w:rPr>
                <w:rFonts w:ascii="宋体" w:hAnsi="宋体" w:cs="宋体"/>
                <w:sz w:val="24"/>
              </w:rPr>
            </w:pPr>
          </w:p>
        </w:tc>
        <w:tc>
          <w:tcPr>
            <w:tcW w:w="2784" w:type="dxa"/>
            <w:vAlign w:val="center"/>
          </w:tcPr>
          <w:p w14:paraId="463D9C35">
            <w:pPr>
              <w:wordWrap w:val="0"/>
              <w:topLinePunct/>
              <w:rPr>
                <w:rFonts w:ascii="宋体" w:hAnsi="宋体" w:cs="宋体"/>
                <w:sz w:val="24"/>
              </w:rPr>
            </w:pPr>
            <w:r>
              <w:rPr>
                <w:rFonts w:hint="eastAsia" w:ascii="宋体" w:hAnsi="宋体" w:cs="宋体"/>
                <w:sz w:val="24"/>
              </w:rPr>
              <w:t>意外身故、残疾</w:t>
            </w:r>
          </w:p>
          <w:p w14:paraId="449E749F">
            <w:pPr>
              <w:wordWrap w:val="0"/>
              <w:topLinePunct/>
              <w:rPr>
                <w:rFonts w:ascii="宋体" w:hAnsi="宋体" w:cs="宋体"/>
                <w:sz w:val="24"/>
              </w:rPr>
            </w:pPr>
            <w:r>
              <w:rPr>
                <w:rFonts w:hint="eastAsia" w:ascii="宋体" w:hAnsi="宋体" w:cs="宋体"/>
                <w:sz w:val="24"/>
              </w:rPr>
              <w:t>（与献血有关）</w:t>
            </w:r>
          </w:p>
        </w:tc>
        <w:tc>
          <w:tcPr>
            <w:tcW w:w="9162" w:type="dxa"/>
            <w:vAlign w:val="center"/>
          </w:tcPr>
          <w:p w14:paraId="0DECC9A9">
            <w:pPr>
              <w:wordWrap w:val="0"/>
              <w:topLinePunct/>
              <w:rPr>
                <w:rFonts w:ascii="宋体" w:hAnsi="宋体" w:cs="宋体"/>
                <w:sz w:val="24"/>
              </w:rPr>
            </w:pPr>
            <w:r>
              <w:rPr>
                <w:rFonts w:hint="eastAsia" w:ascii="宋体" w:hAnsi="宋体" w:cs="宋体"/>
                <w:sz w:val="24"/>
              </w:rPr>
              <w:t>《人身保险伤残评定标准》（中保协发〔2013〕88号）</w:t>
            </w:r>
          </w:p>
        </w:tc>
      </w:tr>
      <w:tr w14:paraId="18AB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5641F860">
            <w:pPr>
              <w:wordWrap w:val="0"/>
              <w:topLinePunct/>
              <w:rPr>
                <w:rFonts w:ascii="宋体" w:hAnsi="宋体" w:cs="宋体"/>
                <w:sz w:val="24"/>
              </w:rPr>
            </w:pPr>
          </w:p>
        </w:tc>
        <w:tc>
          <w:tcPr>
            <w:tcW w:w="800" w:type="dxa"/>
            <w:vAlign w:val="center"/>
          </w:tcPr>
          <w:p w14:paraId="3BE26E1E">
            <w:pPr>
              <w:wordWrap w:val="0"/>
              <w:topLinePunct/>
              <w:rPr>
                <w:rFonts w:ascii="宋体" w:hAnsi="宋体" w:cs="宋体"/>
                <w:sz w:val="24"/>
              </w:rPr>
            </w:pPr>
            <w:r>
              <w:rPr>
                <w:rFonts w:hint="eastAsia" w:ascii="宋体" w:hAnsi="宋体" w:cs="宋体"/>
                <w:sz w:val="24"/>
              </w:rPr>
              <w:t>2</w:t>
            </w:r>
          </w:p>
        </w:tc>
        <w:tc>
          <w:tcPr>
            <w:tcW w:w="2784" w:type="dxa"/>
            <w:vAlign w:val="center"/>
          </w:tcPr>
          <w:p w14:paraId="78A7364F">
            <w:pPr>
              <w:wordWrap w:val="0"/>
              <w:topLinePunct/>
              <w:rPr>
                <w:rFonts w:ascii="宋体" w:hAnsi="宋体" w:cs="宋体"/>
                <w:sz w:val="24"/>
              </w:rPr>
            </w:pPr>
            <w:r>
              <w:rPr>
                <w:rFonts w:hint="eastAsia" w:ascii="宋体" w:hAnsi="宋体" w:cs="宋体"/>
                <w:sz w:val="24"/>
              </w:rPr>
              <w:t>献血不良反应</w:t>
            </w:r>
          </w:p>
        </w:tc>
        <w:tc>
          <w:tcPr>
            <w:tcW w:w="9162" w:type="dxa"/>
            <w:vAlign w:val="center"/>
          </w:tcPr>
          <w:p w14:paraId="41DB647E">
            <w:pPr>
              <w:wordWrap w:val="0"/>
              <w:topLinePunct/>
              <w:rPr>
                <w:rFonts w:ascii="宋体" w:hAnsi="宋体" w:cs="宋体"/>
                <w:sz w:val="24"/>
              </w:rPr>
            </w:pPr>
            <w:r>
              <w:rPr>
                <w:rFonts w:hint="eastAsia" w:ascii="宋体" w:hAnsi="宋体" w:cs="宋体"/>
                <w:sz w:val="24"/>
              </w:rPr>
              <w:t>100元—1万元/人次（由血站根据献血不良反应具体情况确定赔付金额，最高不超过1万元/人份）</w:t>
            </w:r>
          </w:p>
        </w:tc>
      </w:tr>
      <w:tr w14:paraId="5CC9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758E4B30">
            <w:pPr>
              <w:wordWrap w:val="0"/>
              <w:topLinePunct/>
              <w:rPr>
                <w:rFonts w:ascii="宋体" w:hAnsi="宋体" w:cs="宋体"/>
                <w:sz w:val="24"/>
              </w:rPr>
            </w:pPr>
          </w:p>
        </w:tc>
        <w:tc>
          <w:tcPr>
            <w:tcW w:w="800" w:type="dxa"/>
            <w:vMerge w:val="restart"/>
            <w:vAlign w:val="center"/>
          </w:tcPr>
          <w:p w14:paraId="6EE75FB4">
            <w:pPr>
              <w:wordWrap w:val="0"/>
              <w:topLinePunct/>
              <w:rPr>
                <w:rFonts w:ascii="宋体" w:hAnsi="宋体" w:cs="宋体"/>
                <w:sz w:val="24"/>
              </w:rPr>
            </w:pPr>
            <w:r>
              <w:rPr>
                <w:rFonts w:hint="eastAsia" w:ascii="宋体" w:hAnsi="宋体" w:cs="宋体"/>
                <w:sz w:val="24"/>
              </w:rPr>
              <w:t>3</w:t>
            </w:r>
          </w:p>
        </w:tc>
        <w:tc>
          <w:tcPr>
            <w:tcW w:w="2784" w:type="dxa"/>
            <w:vMerge w:val="restart"/>
            <w:vAlign w:val="center"/>
          </w:tcPr>
          <w:p w14:paraId="3D4F728E">
            <w:pPr>
              <w:wordWrap w:val="0"/>
              <w:topLinePunct/>
              <w:rPr>
                <w:rFonts w:ascii="宋体" w:hAnsi="宋体" w:cs="宋体"/>
                <w:sz w:val="24"/>
              </w:rPr>
            </w:pPr>
            <w:r>
              <w:rPr>
                <w:rFonts w:hint="eastAsia" w:ascii="宋体" w:hAnsi="宋体" w:cs="宋体"/>
                <w:sz w:val="24"/>
              </w:rPr>
              <w:t>附加意外伤害医疗</w:t>
            </w:r>
          </w:p>
        </w:tc>
        <w:tc>
          <w:tcPr>
            <w:tcW w:w="9162" w:type="dxa"/>
            <w:vAlign w:val="center"/>
          </w:tcPr>
          <w:p w14:paraId="2BEA764C">
            <w:pPr>
              <w:wordWrap w:val="0"/>
              <w:topLinePunct/>
              <w:rPr>
                <w:rFonts w:ascii="宋体" w:hAnsi="宋体" w:cs="宋体"/>
                <w:sz w:val="24"/>
              </w:rPr>
            </w:pPr>
            <w:r>
              <w:rPr>
                <w:rFonts w:hint="eastAsia" w:ascii="宋体" w:hAnsi="宋体" w:cs="宋体"/>
                <w:sz w:val="24"/>
              </w:rPr>
              <w:t>1万-10万元/人</w:t>
            </w:r>
          </w:p>
        </w:tc>
      </w:tr>
      <w:tr w14:paraId="3DC8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196" w:type="dxa"/>
            <w:vMerge w:val="continue"/>
            <w:vAlign w:val="center"/>
          </w:tcPr>
          <w:p w14:paraId="27ADD94A">
            <w:pPr>
              <w:wordWrap w:val="0"/>
              <w:topLinePunct/>
              <w:rPr>
                <w:rFonts w:ascii="宋体" w:hAnsi="宋体" w:cs="宋体"/>
                <w:sz w:val="24"/>
              </w:rPr>
            </w:pPr>
          </w:p>
        </w:tc>
        <w:tc>
          <w:tcPr>
            <w:tcW w:w="800" w:type="dxa"/>
            <w:vMerge w:val="continue"/>
            <w:vAlign w:val="center"/>
          </w:tcPr>
          <w:p w14:paraId="5375C38C">
            <w:pPr>
              <w:wordWrap w:val="0"/>
              <w:topLinePunct/>
              <w:rPr>
                <w:rFonts w:ascii="宋体" w:hAnsi="宋体" w:cs="宋体"/>
                <w:sz w:val="24"/>
              </w:rPr>
            </w:pPr>
          </w:p>
        </w:tc>
        <w:tc>
          <w:tcPr>
            <w:tcW w:w="2784" w:type="dxa"/>
            <w:vMerge w:val="continue"/>
            <w:vAlign w:val="center"/>
          </w:tcPr>
          <w:p w14:paraId="67DBBFA1">
            <w:pPr>
              <w:wordWrap w:val="0"/>
              <w:topLinePunct/>
              <w:rPr>
                <w:rFonts w:ascii="宋体" w:hAnsi="宋体" w:cs="宋体"/>
                <w:sz w:val="24"/>
              </w:rPr>
            </w:pPr>
          </w:p>
        </w:tc>
        <w:tc>
          <w:tcPr>
            <w:tcW w:w="9162" w:type="dxa"/>
            <w:vAlign w:val="center"/>
          </w:tcPr>
          <w:p w14:paraId="7453614C">
            <w:pPr>
              <w:wordWrap w:val="0"/>
              <w:topLinePunct/>
              <w:rPr>
                <w:rFonts w:ascii="宋体" w:hAnsi="宋体" w:cs="宋体"/>
                <w:sz w:val="24"/>
              </w:rPr>
            </w:pPr>
            <w:r>
              <w:rPr>
                <w:rFonts w:hint="eastAsia" w:ascii="宋体" w:hAnsi="宋体" w:cs="宋体"/>
                <w:sz w:val="24"/>
              </w:rPr>
              <w:t>中标人按照0免赔、100%的标准（含自费项目以及由献血不良反应导致的医疗费用、紧急医疗费用）向被保险人给付意外伤害医疗保险金，就诊医院为中国大陆医保定点医院普通部。</w:t>
            </w:r>
          </w:p>
        </w:tc>
      </w:tr>
      <w:tr w14:paraId="325C0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516FC41B">
            <w:pPr>
              <w:wordWrap w:val="0"/>
              <w:topLinePunct/>
              <w:rPr>
                <w:rFonts w:ascii="宋体" w:hAnsi="宋体" w:cs="宋体"/>
                <w:sz w:val="24"/>
              </w:rPr>
            </w:pPr>
          </w:p>
        </w:tc>
        <w:tc>
          <w:tcPr>
            <w:tcW w:w="800" w:type="dxa"/>
            <w:vMerge w:val="restart"/>
            <w:vAlign w:val="center"/>
          </w:tcPr>
          <w:p w14:paraId="47C328DC">
            <w:pPr>
              <w:wordWrap w:val="0"/>
              <w:topLinePunct/>
              <w:rPr>
                <w:rFonts w:ascii="宋体" w:hAnsi="宋体" w:cs="宋体"/>
                <w:sz w:val="24"/>
              </w:rPr>
            </w:pPr>
            <w:r>
              <w:rPr>
                <w:rFonts w:hint="eastAsia" w:ascii="宋体" w:hAnsi="宋体" w:cs="宋体"/>
                <w:sz w:val="24"/>
              </w:rPr>
              <w:t>4</w:t>
            </w:r>
          </w:p>
        </w:tc>
        <w:tc>
          <w:tcPr>
            <w:tcW w:w="2784" w:type="dxa"/>
            <w:vMerge w:val="restart"/>
            <w:vAlign w:val="center"/>
          </w:tcPr>
          <w:p w14:paraId="25034CBA">
            <w:pPr>
              <w:wordWrap w:val="0"/>
              <w:topLinePunct/>
              <w:rPr>
                <w:rFonts w:ascii="宋体" w:hAnsi="宋体" w:cs="宋体"/>
                <w:sz w:val="24"/>
              </w:rPr>
            </w:pPr>
            <w:r>
              <w:rPr>
                <w:rFonts w:hint="eastAsia" w:ascii="宋体" w:hAnsi="宋体" w:cs="宋体"/>
                <w:sz w:val="24"/>
              </w:rPr>
              <w:t>附加住院津贴</w:t>
            </w:r>
          </w:p>
        </w:tc>
        <w:tc>
          <w:tcPr>
            <w:tcW w:w="9162" w:type="dxa"/>
            <w:vAlign w:val="center"/>
          </w:tcPr>
          <w:p w14:paraId="0AA33605">
            <w:pPr>
              <w:wordWrap w:val="0"/>
              <w:topLinePunct/>
              <w:rPr>
                <w:rFonts w:ascii="宋体" w:hAnsi="宋体" w:cs="宋体"/>
                <w:sz w:val="24"/>
              </w:rPr>
            </w:pPr>
            <w:r>
              <w:rPr>
                <w:rFonts w:hint="eastAsia" w:ascii="宋体" w:hAnsi="宋体" w:cs="宋体"/>
                <w:sz w:val="24"/>
              </w:rPr>
              <w:t>50元/天/人</w:t>
            </w:r>
          </w:p>
        </w:tc>
      </w:tr>
      <w:tr w14:paraId="03C2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0F38D121">
            <w:pPr>
              <w:wordWrap w:val="0"/>
              <w:topLinePunct/>
              <w:rPr>
                <w:rFonts w:ascii="宋体" w:hAnsi="宋体" w:cs="宋体"/>
                <w:sz w:val="24"/>
              </w:rPr>
            </w:pPr>
          </w:p>
        </w:tc>
        <w:tc>
          <w:tcPr>
            <w:tcW w:w="800" w:type="dxa"/>
            <w:vMerge w:val="continue"/>
            <w:vAlign w:val="center"/>
          </w:tcPr>
          <w:p w14:paraId="11BBA9B2">
            <w:pPr>
              <w:wordWrap w:val="0"/>
              <w:topLinePunct/>
              <w:rPr>
                <w:rFonts w:ascii="宋体" w:hAnsi="宋体" w:cs="宋体"/>
                <w:sz w:val="24"/>
              </w:rPr>
            </w:pPr>
          </w:p>
        </w:tc>
        <w:tc>
          <w:tcPr>
            <w:tcW w:w="2784" w:type="dxa"/>
            <w:vMerge w:val="continue"/>
            <w:vAlign w:val="center"/>
          </w:tcPr>
          <w:p w14:paraId="6769C8CF">
            <w:pPr>
              <w:wordWrap w:val="0"/>
              <w:topLinePunct/>
              <w:rPr>
                <w:rFonts w:ascii="宋体" w:hAnsi="宋体" w:cs="宋体"/>
                <w:sz w:val="24"/>
              </w:rPr>
            </w:pPr>
          </w:p>
        </w:tc>
        <w:tc>
          <w:tcPr>
            <w:tcW w:w="9162" w:type="dxa"/>
            <w:vAlign w:val="center"/>
          </w:tcPr>
          <w:p w14:paraId="6049A169">
            <w:pPr>
              <w:wordWrap w:val="0"/>
              <w:topLinePunct/>
              <w:rPr>
                <w:rFonts w:ascii="宋体" w:hAnsi="宋体" w:cs="宋体"/>
                <w:sz w:val="24"/>
              </w:rPr>
            </w:pPr>
            <w:r>
              <w:rPr>
                <w:rFonts w:hint="eastAsia" w:ascii="宋体" w:hAnsi="宋体" w:cs="宋体"/>
                <w:sz w:val="24"/>
              </w:rPr>
              <w:t>中标人按照每次累计60天的标准向被保险人给付住院津贴。</w:t>
            </w:r>
          </w:p>
        </w:tc>
      </w:tr>
      <w:tr w14:paraId="2D76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96" w:type="dxa"/>
            <w:vMerge w:val="continue"/>
            <w:vAlign w:val="center"/>
          </w:tcPr>
          <w:p w14:paraId="4B898F3D">
            <w:pPr>
              <w:wordWrap w:val="0"/>
              <w:topLinePunct/>
              <w:rPr>
                <w:rFonts w:ascii="宋体" w:hAnsi="宋体" w:cs="宋体"/>
                <w:sz w:val="24"/>
              </w:rPr>
            </w:pPr>
          </w:p>
        </w:tc>
        <w:tc>
          <w:tcPr>
            <w:tcW w:w="800" w:type="dxa"/>
            <w:vMerge w:val="restart"/>
            <w:vAlign w:val="center"/>
          </w:tcPr>
          <w:p w14:paraId="7748F62B">
            <w:pPr>
              <w:wordWrap w:val="0"/>
              <w:topLinePunct/>
              <w:rPr>
                <w:rFonts w:ascii="宋体" w:hAnsi="宋体" w:cs="宋体"/>
                <w:sz w:val="24"/>
              </w:rPr>
            </w:pPr>
            <w:r>
              <w:rPr>
                <w:rFonts w:hint="eastAsia" w:ascii="宋体" w:hAnsi="宋体" w:cs="宋体"/>
                <w:sz w:val="24"/>
              </w:rPr>
              <w:t>5</w:t>
            </w:r>
          </w:p>
        </w:tc>
        <w:tc>
          <w:tcPr>
            <w:tcW w:w="2784" w:type="dxa"/>
            <w:vMerge w:val="restart"/>
            <w:vAlign w:val="center"/>
          </w:tcPr>
          <w:p w14:paraId="4518B5C0">
            <w:pPr>
              <w:wordWrap w:val="0"/>
              <w:topLinePunct/>
              <w:rPr>
                <w:rFonts w:ascii="宋体" w:hAnsi="宋体" w:cs="宋体"/>
                <w:sz w:val="24"/>
              </w:rPr>
            </w:pPr>
            <w:r>
              <w:rPr>
                <w:rFonts w:hint="eastAsia" w:ascii="宋体" w:hAnsi="宋体" w:cs="宋体"/>
                <w:sz w:val="24"/>
              </w:rPr>
              <w:t>附加意外伤害紧急医疗救援</w:t>
            </w:r>
          </w:p>
        </w:tc>
        <w:tc>
          <w:tcPr>
            <w:tcW w:w="9162" w:type="dxa"/>
            <w:vAlign w:val="center"/>
          </w:tcPr>
          <w:p w14:paraId="60015067">
            <w:pPr>
              <w:wordWrap w:val="0"/>
              <w:topLinePunct/>
              <w:rPr>
                <w:rFonts w:ascii="宋体" w:hAnsi="宋体" w:cs="宋体"/>
                <w:sz w:val="24"/>
              </w:rPr>
            </w:pPr>
            <w:r>
              <w:rPr>
                <w:rFonts w:hint="eastAsia" w:ascii="宋体" w:hAnsi="宋体" w:cs="宋体"/>
                <w:sz w:val="24"/>
              </w:rPr>
              <w:t>因意外事故发生的救护车费用：根据实际发生金额给付。</w:t>
            </w:r>
          </w:p>
        </w:tc>
      </w:tr>
      <w:tr w14:paraId="5361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96" w:type="dxa"/>
            <w:vMerge w:val="continue"/>
            <w:vAlign w:val="center"/>
          </w:tcPr>
          <w:p w14:paraId="3378860D">
            <w:pPr>
              <w:wordWrap w:val="0"/>
              <w:topLinePunct/>
              <w:rPr>
                <w:rFonts w:ascii="宋体" w:hAnsi="宋体" w:cs="宋体"/>
                <w:sz w:val="24"/>
              </w:rPr>
            </w:pPr>
          </w:p>
        </w:tc>
        <w:tc>
          <w:tcPr>
            <w:tcW w:w="800" w:type="dxa"/>
            <w:vMerge w:val="continue"/>
            <w:vAlign w:val="center"/>
          </w:tcPr>
          <w:p w14:paraId="31BB6AC1">
            <w:pPr>
              <w:wordWrap w:val="0"/>
              <w:topLinePunct/>
              <w:rPr>
                <w:rFonts w:ascii="宋体" w:hAnsi="宋体" w:cs="宋体"/>
                <w:sz w:val="24"/>
              </w:rPr>
            </w:pPr>
          </w:p>
        </w:tc>
        <w:tc>
          <w:tcPr>
            <w:tcW w:w="2784" w:type="dxa"/>
            <w:vMerge w:val="continue"/>
            <w:vAlign w:val="center"/>
          </w:tcPr>
          <w:p w14:paraId="7DFB3345">
            <w:pPr>
              <w:wordWrap w:val="0"/>
              <w:topLinePunct/>
              <w:rPr>
                <w:rFonts w:ascii="宋体" w:hAnsi="宋体" w:cs="宋体"/>
                <w:sz w:val="24"/>
              </w:rPr>
            </w:pPr>
          </w:p>
        </w:tc>
        <w:tc>
          <w:tcPr>
            <w:tcW w:w="9162" w:type="dxa"/>
            <w:vAlign w:val="center"/>
          </w:tcPr>
          <w:p w14:paraId="28EAD102">
            <w:pPr>
              <w:wordWrap w:val="0"/>
              <w:topLinePunct/>
              <w:rPr>
                <w:rFonts w:ascii="宋体" w:hAnsi="宋体" w:cs="宋体"/>
                <w:sz w:val="24"/>
              </w:rPr>
            </w:pPr>
            <w:r>
              <w:rPr>
                <w:rFonts w:hint="eastAsia" w:ascii="宋体" w:hAnsi="宋体" w:cs="宋体"/>
                <w:sz w:val="24"/>
              </w:rPr>
              <w:t>中标人须对因意外事故（包括献血不良反应）紧急救援产生的费用进行垫付，包括但不限于院前施救费用、医疗费用及其他费用，以“附加意外伤害医疗”的保险金额为限。</w:t>
            </w:r>
          </w:p>
        </w:tc>
      </w:tr>
      <w:tr w14:paraId="6CA7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96" w:type="dxa"/>
            <w:vMerge w:val="continue"/>
            <w:vAlign w:val="center"/>
          </w:tcPr>
          <w:p w14:paraId="4C278B25">
            <w:pPr>
              <w:wordWrap w:val="0"/>
              <w:topLinePunct/>
              <w:rPr>
                <w:rFonts w:ascii="宋体" w:hAnsi="宋体" w:cs="宋体"/>
                <w:sz w:val="24"/>
              </w:rPr>
            </w:pPr>
          </w:p>
        </w:tc>
        <w:tc>
          <w:tcPr>
            <w:tcW w:w="800" w:type="dxa"/>
            <w:vMerge w:val="restart"/>
            <w:vAlign w:val="center"/>
          </w:tcPr>
          <w:p w14:paraId="2411DAD7">
            <w:pPr>
              <w:wordWrap w:val="0"/>
              <w:topLinePunct/>
              <w:rPr>
                <w:rFonts w:ascii="宋体" w:hAnsi="宋体" w:cs="宋体"/>
                <w:sz w:val="24"/>
              </w:rPr>
            </w:pPr>
            <w:r>
              <w:rPr>
                <w:rFonts w:hint="eastAsia" w:ascii="宋体" w:hAnsi="宋体" w:cs="宋体"/>
                <w:sz w:val="24"/>
              </w:rPr>
              <w:t>6</w:t>
            </w:r>
          </w:p>
        </w:tc>
        <w:tc>
          <w:tcPr>
            <w:tcW w:w="2784" w:type="dxa"/>
            <w:vMerge w:val="restart"/>
            <w:vAlign w:val="center"/>
          </w:tcPr>
          <w:p w14:paraId="5C05401F">
            <w:pPr>
              <w:wordWrap w:val="0"/>
              <w:topLinePunct/>
              <w:rPr>
                <w:rFonts w:ascii="宋体" w:hAnsi="宋体" w:cs="宋体"/>
                <w:sz w:val="24"/>
              </w:rPr>
            </w:pPr>
            <w:r>
              <w:rPr>
                <w:rFonts w:hint="eastAsia" w:ascii="宋体" w:hAnsi="宋体" w:cs="宋体"/>
                <w:sz w:val="24"/>
              </w:rPr>
              <w:t>意外骨折、关节脱位保险</w:t>
            </w:r>
          </w:p>
        </w:tc>
        <w:tc>
          <w:tcPr>
            <w:tcW w:w="9162" w:type="dxa"/>
            <w:vAlign w:val="center"/>
          </w:tcPr>
          <w:p w14:paraId="5079D32E">
            <w:pPr>
              <w:wordWrap w:val="0"/>
              <w:topLinePunct/>
              <w:rPr>
                <w:rFonts w:ascii="宋体" w:hAnsi="宋体" w:cs="宋体"/>
                <w:sz w:val="24"/>
              </w:rPr>
            </w:pPr>
            <w:r>
              <w:rPr>
                <w:rFonts w:hint="eastAsia" w:ascii="宋体" w:hAnsi="宋体" w:cs="宋体"/>
                <w:sz w:val="24"/>
              </w:rPr>
              <w:t>5000元/人次</w:t>
            </w:r>
          </w:p>
        </w:tc>
      </w:tr>
      <w:tr w14:paraId="5B3C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96" w:type="dxa"/>
            <w:vMerge w:val="continue"/>
            <w:vAlign w:val="center"/>
          </w:tcPr>
          <w:p w14:paraId="6F9EA4FC">
            <w:pPr>
              <w:wordWrap w:val="0"/>
              <w:topLinePunct/>
              <w:rPr>
                <w:rFonts w:ascii="宋体" w:hAnsi="宋体" w:cs="宋体"/>
                <w:sz w:val="24"/>
              </w:rPr>
            </w:pPr>
          </w:p>
        </w:tc>
        <w:tc>
          <w:tcPr>
            <w:tcW w:w="800" w:type="dxa"/>
            <w:vMerge w:val="continue"/>
            <w:vAlign w:val="center"/>
          </w:tcPr>
          <w:p w14:paraId="342C3D86">
            <w:pPr>
              <w:wordWrap w:val="0"/>
              <w:topLinePunct/>
              <w:rPr>
                <w:rFonts w:ascii="宋体" w:hAnsi="宋体" w:cs="宋体"/>
                <w:sz w:val="24"/>
              </w:rPr>
            </w:pPr>
          </w:p>
        </w:tc>
        <w:tc>
          <w:tcPr>
            <w:tcW w:w="2784" w:type="dxa"/>
            <w:vMerge w:val="continue"/>
            <w:vAlign w:val="center"/>
          </w:tcPr>
          <w:p w14:paraId="20411FC3">
            <w:pPr>
              <w:wordWrap w:val="0"/>
              <w:topLinePunct/>
              <w:rPr>
                <w:rFonts w:ascii="宋体" w:hAnsi="宋体" w:cs="宋体"/>
                <w:sz w:val="24"/>
              </w:rPr>
            </w:pPr>
          </w:p>
        </w:tc>
        <w:tc>
          <w:tcPr>
            <w:tcW w:w="9162" w:type="dxa"/>
            <w:vAlign w:val="center"/>
          </w:tcPr>
          <w:p w14:paraId="7D6C4CC2">
            <w:pPr>
              <w:wordWrap w:val="0"/>
              <w:topLinePunct/>
              <w:rPr>
                <w:rFonts w:ascii="宋体" w:hAnsi="宋体" w:cs="宋体"/>
                <w:sz w:val="24"/>
              </w:rPr>
            </w:pPr>
            <w:r>
              <w:rPr>
                <w:rFonts w:hint="eastAsia" w:ascii="宋体" w:hAnsi="宋体" w:cs="宋体"/>
                <w:sz w:val="24"/>
              </w:rPr>
              <w:t>按照《骨折或关节脱位给付比例表》所列给付比例乘以意外骨折、关节脱位保险金额给付“意外伤害骨折、关节脱位保险金”。</w:t>
            </w:r>
          </w:p>
          <w:p w14:paraId="3EC9B546">
            <w:pPr>
              <w:wordWrap w:val="0"/>
              <w:topLinePunct/>
              <w:rPr>
                <w:rFonts w:ascii="宋体" w:hAnsi="宋体" w:cs="宋体"/>
                <w:sz w:val="24"/>
              </w:rPr>
            </w:pPr>
            <w:r>
              <w:rPr>
                <w:rFonts w:hint="eastAsia" w:ascii="宋体" w:hAnsi="宋体" w:cs="宋体"/>
                <w:sz w:val="24"/>
              </w:rPr>
              <w:t>除椎骨骨折外，《给付表》中所列骨折均指开放性骨折，如为闭合性骨折并住院施行切开复位手术，按《给付表》中对应的闭合性骨折给付比例乘以75%的比例给付；如为闭合性骨折住院但未施行切开复位手术，则按《给付表》中该骨折对应的给付比例乘以25%的比例给付；如为闭合性骨折门诊治疗，则按《给付表》中该骨折对应给付比例乘以10%的比例给付。</w:t>
            </w:r>
          </w:p>
        </w:tc>
      </w:tr>
      <w:tr w14:paraId="2B60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1196" w:type="dxa"/>
            <w:vMerge w:val="restart"/>
            <w:vAlign w:val="center"/>
          </w:tcPr>
          <w:p w14:paraId="2A2E6FBE">
            <w:pPr>
              <w:wordWrap w:val="0"/>
              <w:topLinePunct/>
              <w:rPr>
                <w:rFonts w:ascii="宋体" w:hAnsi="宋体" w:cs="宋体"/>
                <w:sz w:val="24"/>
              </w:rPr>
            </w:pPr>
            <w:r>
              <w:rPr>
                <w:rFonts w:hint="eastAsia" w:ascii="宋体" w:hAnsi="宋体" w:cs="宋体"/>
                <w:sz w:val="24"/>
              </w:rPr>
              <w:t>保险责任要求</w:t>
            </w:r>
          </w:p>
        </w:tc>
        <w:tc>
          <w:tcPr>
            <w:tcW w:w="800" w:type="dxa"/>
            <w:vAlign w:val="center"/>
          </w:tcPr>
          <w:p w14:paraId="528190BB">
            <w:pPr>
              <w:wordWrap w:val="0"/>
              <w:topLinePunct/>
              <w:rPr>
                <w:rFonts w:ascii="宋体" w:hAnsi="宋体" w:cs="宋体"/>
                <w:sz w:val="24"/>
              </w:rPr>
            </w:pPr>
            <w:r>
              <w:rPr>
                <w:rFonts w:hint="eastAsia" w:ascii="宋体" w:hAnsi="宋体" w:cs="宋体"/>
                <w:sz w:val="24"/>
              </w:rPr>
              <w:t>7</w:t>
            </w:r>
          </w:p>
        </w:tc>
        <w:tc>
          <w:tcPr>
            <w:tcW w:w="2784" w:type="dxa"/>
            <w:vAlign w:val="center"/>
          </w:tcPr>
          <w:p w14:paraId="4F9A456D">
            <w:pPr>
              <w:wordWrap w:val="0"/>
              <w:topLinePunct/>
              <w:rPr>
                <w:rFonts w:ascii="宋体" w:hAnsi="宋体" w:cs="宋体"/>
                <w:sz w:val="24"/>
              </w:rPr>
            </w:pPr>
            <w:r>
              <w:rPr>
                <w:rFonts w:hint="eastAsia" w:ascii="宋体" w:hAnsi="宋体" w:cs="宋体"/>
                <w:sz w:val="24"/>
              </w:rPr>
              <w:t>保险责任范围</w:t>
            </w:r>
          </w:p>
        </w:tc>
        <w:tc>
          <w:tcPr>
            <w:tcW w:w="9162" w:type="dxa"/>
            <w:vAlign w:val="center"/>
          </w:tcPr>
          <w:p w14:paraId="6C664B39">
            <w:pPr>
              <w:wordWrap w:val="0"/>
              <w:topLinePunct/>
              <w:rPr>
                <w:rFonts w:ascii="宋体" w:hAnsi="宋体" w:cs="宋体"/>
                <w:sz w:val="24"/>
              </w:rPr>
            </w:pPr>
            <w:r>
              <w:rPr>
                <w:rFonts w:hint="eastAsia" w:ascii="宋体" w:hAnsi="宋体" w:cs="宋体"/>
                <w:sz w:val="24"/>
              </w:rPr>
              <w:t>在北京地区范围内献血者，被保险人每捐献全血一次，或捐献机采血小板一次，献血后14天内发生的意外伤害。</w:t>
            </w:r>
          </w:p>
        </w:tc>
      </w:tr>
      <w:tr w14:paraId="5948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96" w:type="dxa"/>
            <w:vMerge w:val="continue"/>
            <w:vAlign w:val="center"/>
          </w:tcPr>
          <w:p w14:paraId="3ADB6538">
            <w:pPr>
              <w:wordWrap w:val="0"/>
              <w:topLinePunct/>
              <w:rPr>
                <w:rFonts w:ascii="宋体" w:hAnsi="宋体" w:cs="宋体"/>
                <w:sz w:val="24"/>
              </w:rPr>
            </w:pPr>
          </w:p>
        </w:tc>
        <w:tc>
          <w:tcPr>
            <w:tcW w:w="800" w:type="dxa"/>
            <w:vAlign w:val="center"/>
          </w:tcPr>
          <w:p w14:paraId="0DC6DABB">
            <w:pPr>
              <w:wordWrap w:val="0"/>
              <w:topLinePunct/>
              <w:rPr>
                <w:rFonts w:ascii="宋体" w:hAnsi="宋体" w:cs="宋体"/>
                <w:sz w:val="24"/>
              </w:rPr>
            </w:pPr>
            <w:r>
              <w:rPr>
                <w:rFonts w:hint="eastAsia" w:ascii="宋体" w:hAnsi="宋体" w:cs="宋体"/>
                <w:sz w:val="24"/>
              </w:rPr>
              <w:t>8</w:t>
            </w:r>
          </w:p>
        </w:tc>
        <w:tc>
          <w:tcPr>
            <w:tcW w:w="2784" w:type="dxa"/>
            <w:vAlign w:val="center"/>
          </w:tcPr>
          <w:p w14:paraId="20C1F30E">
            <w:pPr>
              <w:wordWrap w:val="0"/>
              <w:topLinePunct/>
              <w:rPr>
                <w:rFonts w:ascii="宋体" w:hAnsi="宋体" w:cs="宋体"/>
                <w:sz w:val="24"/>
              </w:rPr>
            </w:pPr>
            <w:r>
              <w:rPr>
                <w:rFonts w:hint="eastAsia" w:ascii="宋体" w:hAnsi="宋体" w:cs="宋体"/>
                <w:sz w:val="24"/>
              </w:rPr>
              <w:t>保险责任认定条件</w:t>
            </w:r>
          </w:p>
        </w:tc>
        <w:tc>
          <w:tcPr>
            <w:tcW w:w="9162" w:type="dxa"/>
            <w:vAlign w:val="center"/>
          </w:tcPr>
          <w:p w14:paraId="4B961FA0">
            <w:pPr>
              <w:wordWrap w:val="0"/>
              <w:topLinePunct/>
              <w:rPr>
                <w:rFonts w:ascii="宋体" w:hAnsi="宋体" w:cs="宋体"/>
                <w:sz w:val="24"/>
              </w:rPr>
            </w:pPr>
            <w:r>
              <w:rPr>
                <w:rFonts w:hint="eastAsia" w:ascii="宋体" w:hAnsi="宋体" w:cs="宋体"/>
                <w:sz w:val="24"/>
              </w:rPr>
              <w:t>献血者本人身份证、献血证或血站出具的证明。</w:t>
            </w:r>
          </w:p>
        </w:tc>
      </w:tr>
      <w:tr w14:paraId="4F3C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3DD3D155">
            <w:pPr>
              <w:wordWrap w:val="0"/>
              <w:topLinePunct/>
              <w:rPr>
                <w:rFonts w:ascii="宋体" w:hAnsi="宋体" w:cs="宋体"/>
                <w:sz w:val="24"/>
              </w:rPr>
            </w:pPr>
          </w:p>
        </w:tc>
        <w:tc>
          <w:tcPr>
            <w:tcW w:w="800" w:type="dxa"/>
            <w:vAlign w:val="center"/>
          </w:tcPr>
          <w:p w14:paraId="02128E10">
            <w:pPr>
              <w:wordWrap w:val="0"/>
              <w:topLinePunct/>
              <w:rPr>
                <w:rFonts w:ascii="宋体" w:hAnsi="宋体" w:cs="宋体"/>
                <w:sz w:val="24"/>
              </w:rPr>
            </w:pPr>
            <w:r>
              <w:rPr>
                <w:rFonts w:hint="eastAsia" w:ascii="宋体" w:hAnsi="宋体" w:cs="宋体"/>
                <w:sz w:val="24"/>
              </w:rPr>
              <w:t>9</w:t>
            </w:r>
          </w:p>
        </w:tc>
        <w:tc>
          <w:tcPr>
            <w:tcW w:w="2784" w:type="dxa"/>
            <w:vAlign w:val="center"/>
          </w:tcPr>
          <w:p w14:paraId="1CE0A9AC">
            <w:pPr>
              <w:wordWrap w:val="0"/>
              <w:topLinePunct/>
              <w:rPr>
                <w:rFonts w:ascii="宋体" w:hAnsi="宋体" w:cs="宋体"/>
                <w:sz w:val="24"/>
              </w:rPr>
            </w:pPr>
            <w:r>
              <w:rPr>
                <w:rFonts w:hint="eastAsia" w:ascii="宋体" w:hAnsi="宋体" w:cs="宋体"/>
                <w:sz w:val="24"/>
              </w:rPr>
              <w:t>保险责任期限</w:t>
            </w:r>
          </w:p>
        </w:tc>
        <w:tc>
          <w:tcPr>
            <w:tcW w:w="9162" w:type="dxa"/>
            <w:vAlign w:val="center"/>
          </w:tcPr>
          <w:p w14:paraId="71D9E541">
            <w:pPr>
              <w:wordWrap w:val="0"/>
              <w:topLinePunct/>
              <w:rPr>
                <w:rFonts w:ascii="宋体" w:hAnsi="宋体" w:cs="宋体"/>
                <w:sz w:val="24"/>
              </w:rPr>
            </w:pPr>
            <w:r>
              <w:rPr>
                <w:rFonts w:hint="eastAsia" w:ascii="宋体" w:hAnsi="宋体" w:cs="宋体"/>
                <w:sz w:val="24"/>
              </w:rPr>
              <w:t>自被保险人参加无偿献血之日起14天内。计算方式以献血证记录日期或血站登记日期为准。</w:t>
            </w:r>
          </w:p>
        </w:tc>
      </w:tr>
      <w:tr w14:paraId="6921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restart"/>
            <w:vAlign w:val="center"/>
          </w:tcPr>
          <w:p w14:paraId="6D977135">
            <w:pPr>
              <w:wordWrap w:val="0"/>
              <w:topLinePunct/>
              <w:rPr>
                <w:rFonts w:ascii="宋体" w:hAnsi="宋体" w:cs="宋体"/>
                <w:sz w:val="24"/>
              </w:rPr>
            </w:pPr>
            <w:r>
              <w:rPr>
                <w:rFonts w:hint="eastAsia" w:ascii="宋体" w:hAnsi="宋体" w:cs="宋体"/>
                <w:sz w:val="24"/>
              </w:rPr>
              <w:t>服务要求</w:t>
            </w:r>
          </w:p>
        </w:tc>
        <w:tc>
          <w:tcPr>
            <w:tcW w:w="800" w:type="dxa"/>
            <w:vAlign w:val="center"/>
          </w:tcPr>
          <w:p w14:paraId="65DEF3BD">
            <w:pPr>
              <w:wordWrap w:val="0"/>
              <w:topLinePunct/>
              <w:rPr>
                <w:rFonts w:ascii="宋体" w:hAnsi="宋体" w:cs="宋体"/>
                <w:sz w:val="24"/>
              </w:rPr>
            </w:pPr>
            <w:r>
              <w:rPr>
                <w:rFonts w:hint="eastAsia" w:ascii="宋体" w:hAnsi="宋体" w:cs="宋体"/>
                <w:sz w:val="24"/>
              </w:rPr>
              <w:t>10</w:t>
            </w:r>
          </w:p>
        </w:tc>
        <w:tc>
          <w:tcPr>
            <w:tcW w:w="2784" w:type="dxa"/>
            <w:vAlign w:val="center"/>
          </w:tcPr>
          <w:p w14:paraId="353992AC">
            <w:pPr>
              <w:wordWrap w:val="0"/>
              <w:topLinePunct/>
              <w:rPr>
                <w:rFonts w:ascii="宋体" w:hAnsi="宋体" w:cs="宋体"/>
                <w:sz w:val="24"/>
              </w:rPr>
            </w:pPr>
            <w:r>
              <w:rPr>
                <w:rFonts w:hint="eastAsia" w:ascii="宋体" w:hAnsi="宋体" w:cs="宋体"/>
                <w:sz w:val="24"/>
              </w:rPr>
              <w:t>意外身故预付赔款</w:t>
            </w:r>
          </w:p>
        </w:tc>
        <w:tc>
          <w:tcPr>
            <w:tcW w:w="9162" w:type="dxa"/>
            <w:vAlign w:val="center"/>
          </w:tcPr>
          <w:p w14:paraId="7CBC915E">
            <w:pPr>
              <w:wordWrap w:val="0"/>
              <w:topLinePunct/>
              <w:rPr>
                <w:rFonts w:ascii="宋体" w:hAnsi="宋体" w:cs="宋体"/>
                <w:sz w:val="24"/>
              </w:rPr>
            </w:pPr>
            <w:r>
              <w:rPr>
                <w:rFonts w:hint="eastAsia" w:ascii="宋体" w:hAnsi="宋体" w:cs="宋体"/>
                <w:sz w:val="24"/>
              </w:rPr>
              <w:t>被保险人意外身故，无法及时提供完整理赔材料的，可向中标人申请启动预付赔款机制，中标人应在接到申请之日起3个工作日内100%给付保险金；受益人应事后及时向中标人补充完整的理赔材料。</w:t>
            </w:r>
          </w:p>
        </w:tc>
      </w:tr>
      <w:tr w14:paraId="3264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510AD186">
            <w:pPr>
              <w:wordWrap w:val="0"/>
              <w:topLinePunct/>
              <w:rPr>
                <w:rFonts w:ascii="宋体" w:hAnsi="宋体" w:cs="宋体"/>
                <w:sz w:val="24"/>
              </w:rPr>
            </w:pPr>
          </w:p>
        </w:tc>
        <w:tc>
          <w:tcPr>
            <w:tcW w:w="800" w:type="dxa"/>
            <w:vAlign w:val="center"/>
          </w:tcPr>
          <w:p w14:paraId="2714F393">
            <w:pPr>
              <w:wordWrap w:val="0"/>
              <w:topLinePunct/>
              <w:rPr>
                <w:rFonts w:ascii="宋体" w:hAnsi="宋体" w:cs="宋体"/>
                <w:sz w:val="24"/>
              </w:rPr>
            </w:pPr>
            <w:r>
              <w:rPr>
                <w:rFonts w:hint="eastAsia" w:ascii="宋体" w:hAnsi="宋体" w:cs="宋体"/>
                <w:sz w:val="24"/>
              </w:rPr>
              <w:t>11</w:t>
            </w:r>
          </w:p>
        </w:tc>
        <w:tc>
          <w:tcPr>
            <w:tcW w:w="2784" w:type="dxa"/>
            <w:vAlign w:val="center"/>
          </w:tcPr>
          <w:p w14:paraId="69D10579">
            <w:pPr>
              <w:wordWrap w:val="0"/>
              <w:topLinePunct/>
              <w:rPr>
                <w:rFonts w:ascii="宋体" w:hAnsi="宋体" w:cs="宋体"/>
                <w:sz w:val="24"/>
              </w:rPr>
            </w:pPr>
            <w:r>
              <w:rPr>
                <w:rFonts w:hint="eastAsia" w:ascii="宋体" w:hAnsi="宋体" w:cs="宋体"/>
                <w:sz w:val="24"/>
              </w:rPr>
              <w:t>建立绿色理赔通道</w:t>
            </w:r>
          </w:p>
        </w:tc>
        <w:tc>
          <w:tcPr>
            <w:tcW w:w="9162" w:type="dxa"/>
            <w:vAlign w:val="center"/>
          </w:tcPr>
          <w:p w14:paraId="12CBE035">
            <w:pPr>
              <w:wordWrap w:val="0"/>
              <w:topLinePunct/>
              <w:rPr>
                <w:rFonts w:ascii="宋体" w:hAnsi="宋体" w:cs="宋体"/>
                <w:sz w:val="24"/>
              </w:rPr>
            </w:pPr>
            <w:r>
              <w:rPr>
                <w:rFonts w:hint="eastAsia" w:ascii="宋体" w:hAnsi="宋体" w:cs="宋体"/>
                <w:sz w:val="24"/>
              </w:rPr>
              <w:t>建立献血轻度不良反应现场赔付制度。献血者发生轻度献血不良反应（参照中华人民共和国卫生行业标准《献血不良反应分类指南》（WS/T 551-2017）），可以获得现场快速赔付，赔付程序为：血站现场工作人员拍照，经血站专家组认定后，出具证明材料，提交保险公司，2小时内赔付到位。</w:t>
            </w:r>
          </w:p>
        </w:tc>
      </w:tr>
      <w:tr w14:paraId="141A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677C16BA">
            <w:pPr>
              <w:wordWrap w:val="0"/>
              <w:topLinePunct/>
              <w:rPr>
                <w:rFonts w:ascii="宋体" w:hAnsi="宋体" w:cs="宋体"/>
                <w:sz w:val="24"/>
              </w:rPr>
            </w:pPr>
          </w:p>
        </w:tc>
        <w:tc>
          <w:tcPr>
            <w:tcW w:w="800" w:type="dxa"/>
            <w:vAlign w:val="center"/>
          </w:tcPr>
          <w:p w14:paraId="1E80C01A">
            <w:pPr>
              <w:wordWrap w:val="0"/>
              <w:topLinePunct/>
              <w:rPr>
                <w:rFonts w:ascii="宋体" w:hAnsi="宋体" w:cs="宋体"/>
                <w:sz w:val="24"/>
              </w:rPr>
            </w:pPr>
            <w:r>
              <w:rPr>
                <w:rFonts w:hint="eastAsia" w:ascii="宋体" w:hAnsi="宋体" w:cs="宋体"/>
                <w:sz w:val="24"/>
              </w:rPr>
              <w:t>12</w:t>
            </w:r>
          </w:p>
        </w:tc>
        <w:tc>
          <w:tcPr>
            <w:tcW w:w="2784" w:type="dxa"/>
            <w:vAlign w:val="center"/>
          </w:tcPr>
          <w:p w14:paraId="4C5679D0">
            <w:pPr>
              <w:wordWrap w:val="0"/>
              <w:topLinePunct/>
              <w:rPr>
                <w:rFonts w:ascii="宋体" w:hAnsi="宋体" w:cs="宋体"/>
                <w:sz w:val="24"/>
              </w:rPr>
            </w:pPr>
            <w:r>
              <w:rPr>
                <w:rFonts w:hint="eastAsia" w:ascii="宋体" w:hAnsi="宋体" w:cs="宋体"/>
                <w:sz w:val="24"/>
              </w:rPr>
              <w:t>专人专线</w:t>
            </w:r>
          </w:p>
        </w:tc>
        <w:tc>
          <w:tcPr>
            <w:tcW w:w="9162" w:type="dxa"/>
            <w:vAlign w:val="center"/>
          </w:tcPr>
          <w:p w14:paraId="2C8C0EA2">
            <w:pPr>
              <w:wordWrap w:val="0"/>
              <w:topLinePunct/>
              <w:rPr>
                <w:rFonts w:ascii="宋体" w:hAnsi="宋体" w:cs="宋体"/>
                <w:sz w:val="24"/>
              </w:rPr>
            </w:pPr>
            <w:r>
              <w:rPr>
                <w:rFonts w:hint="eastAsia" w:ascii="宋体" w:hAnsi="宋体" w:cs="宋体"/>
                <w:sz w:val="24"/>
              </w:rPr>
              <w:t>中标人须开通7×24小时本项目服务专线；建立专项服务团队；具有24小时全天候服务保障能力。</w:t>
            </w:r>
          </w:p>
        </w:tc>
      </w:tr>
      <w:tr w14:paraId="3C57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4BB6E139">
            <w:pPr>
              <w:wordWrap w:val="0"/>
              <w:topLinePunct/>
              <w:rPr>
                <w:rFonts w:ascii="宋体" w:hAnsi="宋体" w:cs="宋体"/>
                <w:sz w:val="24"/>
              </w:rPr>
            </w:pPr>
          </w:p>
        </w:tc>
        <w:tc>
          <w:tcPr>
            <w:tcW w:w="800" w:type="dxa"/>
            <w:vAlign w:val="center"/>
          </w:tcPr>
          <w:p w14:paraId="41EB2E5C">
            <w:pPr>
              <w:wordWrap w:val="0"/>
              <w:topLinePunct/>
              <w:rPr>
                <w:rFonts w:ascii="宋体" w:hAnsi="宋体" w:cs="宋体"/>
                <w:sz w:val="24"/>
              </w:rPr>
            </w:pPr>
            <w:r>
              <w:rPr>
                <w:rFonts w:hint="eastAsia" w:ascii="宋体" w:hAnsi="宋体" w:cs="宋体"/>
                <w:sz w:val="24"/>
              </w:rPr>
              <w:t>13</w:t>
            </w:r>
          </w:p>
        </w:tc>
        <w:tc>
          <w:tcPr>
            <w:tcW w:w="2784" w:type="dxa"/>
            <w:vAlign w:val="center"/>
          </w:tcPr>
          <w:p w14:paraId="765E536A">
            <w:pPr>
              <w:wordWrap w:val="0"/>
              <w:topLinePunct/>
              <w:rPr>
                <w:rFonts w:ascii="宋体" w:hAnsi="宋体" w:cs="宋体"/>
                <w:sz w:val="24"/>
              </w:rPr>
            </w:pPr>
            <w:r>
              <w:rPr>
                <w:rFonts w:hint="eastAsia" w:ascii="宋体" w:hAnsi="宋体" w:cs="宋体"/>
                <w:sz w:val="24"/>
              </w:rPr>
              <w:t>信息安全</w:t>
            </w:r>
          </w:p>
        </w:tc>
        <w:tc>
          <w:tcPr>
            <w:tcW w:w="9162" w:type="dxa"/>
            <w:vAlign w:val="center"/>
          </w:tcPr>
          <w:p w14:paraId="1BB2FB1A">
            <w:pPr>
              <w:wordWrap w:val="0"/>
              <w:topLinePunct/>
              <w:rPr>
                <w:rFonts w:ascii="宋体" w:hAnsi="宋体" w:cs="宋体"/>
                <w:sz w:val="24"/>
              </w:rPr>
            </w:pPr>
            <w:r>
              <w:rPr>
                <w:rFonts w:hint="eastAsia" w:ascii="宋体" w:hAnsi="宋体" w:cs="宋体"/>
                <w:sz w:val="24"/>
              </w:rPr>
              <w:t>中标人必须保证献血者个人信息安全。</w:t>
            </w:r>
          </w:p>
        </w:tc>
      </w:tr>
      <w:tr w14:paraId="2AF2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10B9E219">
            <w:pPr>
              <w:wordWrap w:val="0"/>
              <w:topLinePunct/>
              <w:rPr>
                <w:rFonts w:ascii="宋体" w:hAnsi="宋体" w:cs="宋体"/>
                <w:sz w:val="24"/>
              </w:rPr>
            </w:pPr>
          </w:p>
        </w:tc>
        <w:tc>
          <w:tcPr>
            <w:tcW w:w="800" w:type="dxa"/>
            <w:vAlign w:val="center"/>
          </w:tcPr>
          <w:p w14:paraId="4623849E">
            <w:pPr>
              <w:wordWrap w:val="0"/>
              <w:topLinePunct/>
              <w:rPr>
                <w:rFonts w:ascii="宋体" w:hAnsi="宋体" w:cs="宋体"/>
                <w:sz w:val="24"/>
              </w:rPr>
            </w:pPr>
            <w:r>
              <w:rPr>
                <w:rFonts w:hint="eastAsia" w:ascii="宋体" w:hAnsi="宋体" w:cs="宋体"/>
                <w:sz w:val="24"/>
              </w:rPr>
              <w:t>14</w:t>
            </w:r>
          </w:p>
        </w:tc>
        <w:tc>
          <w:tcPr>
            <w:tcW w:w="2784" w:type="dxa"/>
            <w:vAlign w:val="center"/>
          </w:tcPr>
          <w:p w14:paraId="5BA36954">
            <w:pPr>
              <w:wordWrap w:val="0"/>
              <w:topLinePunct/>
              <w:rPr>
                <w:rFonts w:ascii="宋体" w:hAnsi="宋体" w:cs="宋体"/>
                <w:sz w:val="24"/>
              </w:rPr>
            </w:pPr>
            <w:r>
              <w:rPr>
                <w:rFonts w:hint="eastAsia" w:ascii="宋体" w:hAnsi="宋体" w:cs="宋体"/>
                <w:sz w:val="24"/>
              </w:rPr>
              <w:t>专人上门服务</w:t>
            </w:r>
          </w:p>
        </w:tc>
        <w:tc>
          <w:tcPr>
            <w:tcW w:w="9162" w:type="dxa"/>
            <w:vAlign w:val="center"/>
          </w:tcPr>
          <w:p w14:paraId="270CA3BE">
            <w:pPr>
              <w:wordWrap w:val="0"/>
              <w:topLinePunct/>
              <w:rPr>
                <w:rFonts w:ascii="宋体" w:hAnsi="宋体" w:cs="宋体"/>
                <w:sz w:val="24"/>
              </w:rPr>
            </w:pPr>
            <w:r>
              <w:rPr>
                <w:rFonts w:hint="eastAsia" w:ascii="宋体" w:hAnsi="宋体" w:cs="宋体"/>
                <w:sz w:val="24"/>
              </w:rPr>
              <w:t>应被保险人要求及时提供专人上门的相关理赔服务，包括但不限于协助准备相关索赔资料。</w:t>
            </w:r>
          </w:p>
        </w:tc>
      </w:tr>
      <w:tr w14:paraId="213E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33AE6B55">
            <w:pPr>
              <w:wordWrap w:val="0"/>
              <w:topLinePunct/>
              <w:rPr>
                <w:rFonts w:ascii="宋体" w:hAnsi="宋体" w:cs="宋体"/>
                <w:sz w:val="24"/>
              </w:rPr>
            </w:pPr>
          </w:p>
        </w:tc>
        <w:tc>
          <w:tcPr>
            <w:tcW w:w="800" w:type="dxa"/>
            <w:vAlign w:val="center"/>
          </w:tcPr>
          <w:p w14:paraId="4558654F">
            <w:pPr>
              <w:wordWrap w:val="0"/>
              <w:topLinePunct/>
              <w:rPr>
                <w:rFonts w:ascii="宋体" w:hAnsi="宋体" w:cs="宋体"/>
                <w:sz w:val="24"/>
              </w:rPr>
            </w:pPr>
            <w:r>
              <w:rPr>
                <w:rFonts w:hint="eastAsia" w:ascii="宋体" w:hAnsi="宋体" w:cs="宋体"/>
                <w:sz w:val="24"/>
              </w:rPr>
              <w:t>15</w:t>
            </w:r>
          </w:p>
        </w:tc>
        <w:tc>
          <w:tcPr>
            <w:tcW w:w="2784" w:type="dxa"/>
            <w:vAlign w:val="center"/>
          </w:tcPr>
          <w:p w14:paraId="6B3361D6">
            <w:pPr>
              <w:wordWrap w:val="0"/>
              <w:topLinePunct/>
              <w:rPr>
                <w:rFonts w:ascii="宋体" w:hAnsi="宋体" w:cs="宋体"/>
                <w:sz w:val="24"/>
              </w:rPr>
            </w:pPr>
            <w:r>
              <w:rPr>
                <w:rFonts w:hint="eastAsia" w:ascii="宋体" w:hAnsi="宋体" w:cs="宋体"/>
                <w:sz w:val="24"/>
              </w:rPr>
              <w:t>宣传培训服务</w:t>
            </w:r>
          </w:p>
        </w:tc>
        <w:tc>
          <w:tcPr>
            <w:tcW w:w="9162" w:type="dxa"/>
            <w:vAlign w:val="center"/>
          </w:tcPr>
          <w:p w14:paraId="2D3D3C4A">
            <w:pPr>
              <w:wordWrap w:val="0"/>
              <w:topLinePunct/>
              <w:rPr>
                <w:rFonts w:ascii="宋体" w:hAnsi="宋体" w:cs="宋体"/>
                <w:sz w:val="24"/>
              </w:rPr>
            </w:pPr>
            <w:r>
              <w:rPr>
                <w:rFonts w:hint="eastAsia" w:ascii="宋体" w:hAnsi="宋体" w:cs="宋体"/>
                <w:sz w:val="24"/>
              </w:rPr>
              <w:t>印刷60万份献血知识和保险知识宣传彩页。</w:t>
            </w:r>
          </w:p>
        </w:tc>
      </w:tr>
      <w:tr w14:paraId="0A92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7C56F3D8">
            <w:pPr>
              <w:wordWrap w:val="0"/>
              <w:topLinePunct/>
              <w:rPr>
                <w:rFonts w:ascii="宋体" w:hAnsi="宋体" w:cs="宋体"/>
                <w:sz w:val="24"/>
              </w:rPr>
            </w:pPr>
          </w:p>
        </w:tc>
        <w:tc>
          <w:tcPr>
            <w:tcW w:w="800" w:type="dxa"/>
            <w:vAlign w:val="center"/>
          </w:tcPr>
          <w:p w14:paraId="2ED5A79F">
            <w:pPr>
              <w:wordWrap w:val="0"/>
              <w:topLinePunct/>
              <w:rPr>
                <w:rFonts w:ascii="宋体" w:hAnsi="宋体" w:cs="宋体"/>
                <w:sz w:val="24"/>
              </w:rPr>
            </w:pPr>
            <w:r>
              <w:rPr>
                <w:rFonts w:hint="eastAsia" w:ascii="宋体" w:hAnsi="宋体" w:cs="宋体"/>
                <w:sz w:val="24"/>
              </w:rPr>
              <w:t>16</w:t>
            </w:r>
          </w:p>
        </w:tc>
        <w:tc>
          <w:tcPr>
            <w:tcW w:w="2784" w:type="dxa"/>
            <w:vAlign w:val="center"/>
          </w:tcPr>
          <w:p w14:paraId="558C45DE">
            <w:pPr>
              <w:wordWrap w:val="0"/>
              <w:topLinePunct/>
              <w:rPr>
                <w:rFonts w:ascii="宋体" w:hAnsi="宋体" w:cs="宋体"/>
                <w:sz w:val="24"/>
              </w:rPr>
            </w:pPr>
            <w:r>
              <w:rPr>
                <w:rFonts w:hint="eastAsia" w:ascii="宋体" w:hAnsi="宋体" w:cs="宋体"/>
                <w:sz w:val="24"/>
              </w:rPr>
              <w:t>提供培训</w:t>
            </w:r>
          </w:p>
        </w:tc>
        <w:tc>
          <w:tcPr>
            <w:tcW w:w="9162" w:type="dxa"/>
            <w:vAlign w:val="center"/>
          </w:tcPr>
          <w:p w14:paraId="01613DF4">
            <w:pPr>
              <w:wordWrap w:val="0"/>
              <w:topLinePunct/>
              <w:rPr>
                <w:rFonts w:ascii="宋体" w:hAnsi="宋体" w:cs="宋体"/>
                <w:sz w:val="24"/>
              </w:rPr>
            </w:pPr>
            <w:r>
              <w:rPr>
                <w:rFonts w:hint="eastAsia" w:ascii="宋体" w:hAnsi="宋体" w:cs="宋体"/>
                <w:sz w:val="24"/>
              </w:rPr>
              <w:t>中标人向各血站相关工作人员提供有效的培训服务，确保全面、准确了解本项目保险服务。</w:t>
            </w:r>
          </w:p>
        </w:tc>
      </w:tr>
      <w:tr w14:paraId="11BC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2D8AF3EB">
            <w:pPr>
              <w:wordWrap w:val="0"/>
              <w:topLinePunct/>
              <w:rPr>
                <w:rFonts w:ascii="宋体" w:hAnsi="宋体" w:cs="宋体"/>
                <w:sz w:val="24"/>
              </w:rPr>
            </w:pPr>
          </w:p>
        </w:tc>
        <w:tc>
          <w:tcPr>
            <w:tcW w:w="800" w:type="dxa"/>
            <w:vAlign w:val="center"/>
          </w:tcPr>
          <w:p w14:paraId="46BC53AD">
            <w:pPr>
              <w:wordWrap w:val="0"/>
              <w:topLinePunct/>
              <w:rPr>
                <w:rFonts w:ascii="宋体" w:hAnsi="宋体" w:cs="宋体"/>
                <w:sz w:val="24"/>
              </w:rPr>
            </w:pPr>
            <w:r>
              <w:rPr>
                <w:rFonts w:hint="eastAsia" w:ascii="宋体" w:hAnsi="宋体" w:cs="宋体"/>
                <w:sz w:val="24"/>
              </w:rPr>
              <w:t>17</w:t>
            </w:r>
          </w:p>
        </w:tc>
        <w:tc>
          <w:tcPr>
            <w:tcW w:w="2784" w:type="dxa"/>
            <w:vAlign w:val="center"/>
          </w:tcPr>
          <w:p w14:paraId="41E2F91D">
            <w:pPr>
              <w:wordWrap w:val="0"/>
              <w:topLinePunct/>
              <w:rPr>
                <w:rFonts w:ascii="宋体" w:hAnsi="宋体" w:cs="宋体"/>
                <w:sz w:val="24"/>
              </w:rPr>
            </w:pPr>
            <w:r>
              <w:rPr>
                <w:rFonts w:hint="eastAsia" w:ascii="宋体" w:hAnsi="宋体" w:cs="宋体"/>
                <w:sz w:val="24"/>
              </w:rPr>
              <w:t>赔款支付时效</w:t>
            </w:r>
          </w:p>
        </w:tc>
        <w:tc>
          <w:tcPr>
            <w:tcW w:w="9162" w:type="dxa"/>
            <w:vAlign w:val="center"/>
          </w:tcPr>
          <w:p w14:paraId="3B7BA6DA">
            <w:pPr>
              <w:wordWrap w:val="0"/>
              <w:topLinePunct/>
              <w:rPr>
                <w:rFonts w:ascii="宋体" w:hAnsi="宋体" w:cs="宋体"/>
                <w:sz w:val="24"/>
              </w:rPr>
            </w:pPr>
            <w:r>
              <w:rPr>
                <w:rFonts w:hint="eastAsia" w:ascii="宋体" w:hAnsi="宋体" w:cs="宋体"/>
                <w:sz w:val="24"/>
              </w:rPr>
              <w:t>被保险人提供完整必要的索赔材料后，保险人在3个工作日内支付赔款.</w:t>
            </w:r>
          </w:p>
        </w:tc>
      </w:tr>
      <w:tr w14:paraId="51DD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6" w:type="dxa"/>
            <w:vMerge w:val="continue"/>
            <w:vAlign w:val="center"/>
          </w:tcPr>
          <w:p w14:paraId="112FF204">
            <w:pPr>
              <w:wordWrap w:val="0"/>
              <w:topLinePunct/>
              <w:rPr>
                <w:rFonts w:ascii="宋体" w:hAnsi="宋体" w:cs="宋体"/>
                <w:sz w:val="24"/>
              </w:rPr>
            </w:pPr>
          </w:p>
        </w:tc>
        <w:tc>
          <w:tcPr>
            <w:tcW w:w="800" w:type="dxa"/>
            <w:vAlign w:val="center"/>
          </w:tcPr>
          <w:p w14:paraId="77644F0D">
            <w:pPr>
              <w:wordWrap w:val="0"/>
              <w:topLinePunct/>
              <w:rPr>
                <w:rFonts w:ascii="宋体" w:hAnsi="宋体" w:cs="宋体"/>
                <w:sz w:val="24"/>
              </w:rPr>
            </w:pPr>
            <w:r>
              <w:rPr>
                <w:rFonts w:hint="eastAsia" w:ascii="宋体" w:hAnsi="宋体" w:cs="宋体"/>
                <w:sz w:val="24"/>
              </w:rPr>
              <w:t>18</w:t>
            </w:r>
          </w:p>
        </w:tc>
        <w:tc>
          <w:tcPr>
            <w:tcW w:w="2784" w:type="dxa"/>
            <w:vAlign w:val="center"/>
          </w:tcPr>
          <w:p w14:paraId="5E39B07D">
            <w:pPr>
              <w:wordWrap w:val="0"/>
              <w:topLinePunct/>
              <w:rPr>
                <w:rFonts w:ascii="宋体" w:hAnsi="宋体" w:cs="宋体"/>
                <w:sz w:val="24"/>
              </w:rPr>
            </w:pPr>
            <w:r>
              <w:rPr>
                <w:rFonts w:hint="eastAsia" w:ascii="宋体" w:hAnsi="宋体" w:cs="宋体"/>
                <w:sz w:val="24"/>
              </w:rPr>
              <w:t>业务沟通服务</w:t>
            </w:r>
          </w:p>
        </w:tc>
        <w:tc>
          <w:tcPr>
            <w:tcW w:w="9162" w:type="dxa"/>
            <w:vAlign w:val="center"/>
          </w:tcPr>
          <w:p w14:paraId="66349488">
            <w:pPr>
              <w:wordWrap w:val="0"/>
              <w:topLinePunct/>
              <w:rPr>
                <w:rFonts w:ascii="宋体" w:hAnsi="宋体" w:cs="宋体"/>
                <w:sz w:val="24"/>
              </w:rPr>
            </w:pPr>
            <w:r>
              <w:rPr>
                <w:rFonts w:hint="eastAsia" w:ascii="宋体" w:hAnsi="宋体" w:cs="宋体"/>
                <w:sz w:val="24"/>
              </w:rPr>
              <w:t>1.报表报送：定期汇总承保及理赔数据，并于每季度交承保险及理赔数据。特殊情况下，按照要求临时提供相关数据。</w:t>
            </w:r>
          </w:p>
          <w:p w14:paraId="0A331F8B">
            <w:pPr>
              <w:wordWrap w:val="0"/>
              <w:topLinePunct/>
              <w:rPr>
                <w:rFonts w:ascii="宋体" w:hAnsi="宋体" w:cs="宋体"/>
                <w:sz w:val="24"/>
              </w:rPr>
            </w:pPr>
            <w:r>
              <w:rPr>
                <w:rFonts w:hint="eastAsia" w:ascii="宋体" w:hAnsi="宋体" w:cs="宋体"/>
                <w:sz w:val="24"/>
              </w:rPr>
              <w:t>2.工作例会：不定期召开业务工作协调会，分析通报有关数据及服务中存在问题和建议。</w:t>
            </w:r>
          </w:p>
          <w:p w14:paraId="664DCDD1">
            <w:pPr>
              <w:wordWrap w:val="0"/>
              <w:topLinePunct/>
              <w:rPr>
                <w:rFonts w:ascii="宋体" w:hAnsi="宋体" w:cs="宋体"/>
                <w:sz w:val="24"/>
              </w:rPr>
            </w:pPr>
            <w:r>
              <w:rPr>
                <w:rFonts w:hint="eastAsia" w:ascii="宋体" w:hAnsi="宋体" w:cs="宋体"/>
                <w:sz w:val="24"/>
              </w:rPr>
              <w:t>3.项目结束后提交总结报告和受益人满意度调查报告。</w:t>
            </w:r>
          </w:p>
        </w:tc>
      </w:tr>
    </w:tbl>
    <w:p w14:paraId="42FD7739">
      <w:pPr>
        <w:wordWrap w:val="0"/>
        <w:topLinePunct/>
        <w:rPr>
          <w:rFonts w:ascii="宋体" w:hAnsi="宋体" w:cs="宋体"/>
          <w:bCs/>
          <w:sz w:val="24"/>
        </w:rPr>
      </w:pPr>
    </w:p>
    <w:p w14:paraId="10D3A22C">
      <w:pPr>
        <w:wordWrap w:val="0"/>
        <w:topLinePunct/>
        <w:rPr>
          <w:rFonts w:ascii="宋体" w:hAnsi="宋体" w:cs="宋体"/>
          <w:sz w:val="24"/>
        </w:rPr>
      </w:pPr>
      <w:r>
        <w:rPr>
          <w:rFonts w:hint="eastAsia" w:ascii="宋体" w:hAnsi="宋体" w:cs="宋体"/>
          <w:bCs/>
          <w:sz w:val="24"/>
        </w:rPr>
        <w:t xml:space="preserve">3.1.2.2 </w:t>
      </w:r>
      <w:r>
        <w:rPr>
          <w:rFonts w:hint="eastAsia" w:ascii="宋体" w:hAnsi="宋体" w:cs="宋体"/>
          <w:sz w:val="24"/>
        </w:rPr>
        <w:t>常见献血不良反应</w:t>
      </w:r>
    </w:p>
    <w:tbl>
      <w:tblPr>
        <w:tblStyle w:val="10"/>
        <w:tblW w:w="13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2"/>
        <w:gridCol w:w="2693"/>
        <w:gridCol w:w="2410"/>
        <w:gridCol w:w="1843"/>
        <w:gridCol w:w="1450"/>
        <w:gridCol w:w="1080"/>
      </w:tblGrid>
      <w:tr w14:paraId="021F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4472" w:type="dxa"/>
            <w:vAlign w:val="center"/>
          </w:tcPr>
          <w:p w14:paraId="22012B02">
            <w:pPr>
              <w:wordWrap w:val="0"/>
              <w:topLinePunct/>
              <w:rPr>
                <w:rFonts w:ascii="宋体" w:hAnsi="宋体" w:cs="宋体"/>
                <w:sz w:val="24"/>
              </w:rPr>
            </w:pPr>
            <w:r>
              <w:rPr>
                <w:rFonts w:hint="eastAsia" w:ascii="宋体" w:hAnsi="宋体" w:cs="宋体"/>
                <w:sz w:val="24"/>
              </w:rPr>
              <w:t>症状及可能原因</w:t>
            </w:r>
          </w:p>
        </w:tc>
        <w:tc>
          <w:tcPr>
            <w:tcW w:w="2693" w:type="dxa"/>
            <w:vAlign w:val="center"/>
          </w:tcPr>
          <w:p w14:paraId="21DBA7F9">
            <w:pPr>
              <w:wordWrap w:val="0"/>
              <w:topLinePunct/>
              <w:rPr>
                <w:rFonts w:ascii="宋体" w:hAnsi="宋体" w:cs="宋体"/>
                <w:sz w:val="24"/>
              </w:rPr>
            </w:pPr>
            <w:r>
              <w:rPr>
                <w:rFonts w:hint="eastAsia" w:ascii="宋体" w:hAnsi="宋体" w:cs="宋体"/>
                <w:sz w:val="24"/>
              </w:rPr>
              <w:t>现场处置</w:t>
            </w:r>
          </w:p>
        </w:tc>
        <w:tc>
          <w:tcPr>
            <w:tcW w:w="2410" w:type="dxa"/>
            <w:vAlign w:val="center"/>
          </w:tcPr>
          <w:p w14:paraId="02C7B06F">
            <w:pPr>
              <w:wordWrap w:val="0"/>
              <w:topLinePunct/>
              <w:rPr>
                <w:rFonts w:ascii="宋体" w:hAnsi="宋体" w:cs="宋体"/>
                <w:sz w:val="24"/>
              </w:rPr>
            </w:pPr>
            <w:r>
              <w:rPr>
                <w:rFonts w:hint="eastAsia" w:ascii="宋体" w:hAnsi="宋体" w:cs="宋体"/>
                <w:sz w:val="24"/>
              </w:rPr>
              <w:t>预后及后续处理</w:t>
            </w:r>
          </w:p>
        </w:tc>
        <w:tc>
          <w:tcPr>
            <w:tcW w:w="4373" w:type="dxa"/>
            <w:gridSpan w:val="3"/>
          </w:tcPr>
          <w:p w14:paraId="41C855E9">
            <w:pPr>
              <w:wordWrap w:val="0"/>
              <w:topLinePunct/>
              <w:rPr>
                <w:rFonts w:ascii="宋体" w:hAnsi="宋体" w:cs="宋体"/>
                <w:sz w:val="24"/>
              </w:rPr>
            </w:pPr>
            <w:r>
              <w:rPr>
                <w:rFonts w:hint="eastAsia" w:ascii="宋体" w:hAnsi="宋体" w:cs="宋体"/>
                <w:sz w:val="24"/>
              </w:rPr>
              <w:t>初步判定分类</w:t>
            </w:r>
          </w:p>
          <w:p w14:paraId="3D949F58">
            <w:pPr>
              <w:wordWrap w:val="0"/>
              <w:topLinePunct/>
              <w:rPr>
                <w:rFonts w:ascii="宋体" w:hAnsi="宋体" w:cs="宋体"/>
                <w:sz w:val="24"/>
              </w:rPr>
            </w:pPr>
            <w:r>
              <w:rPr>
                <w:rFonts w:hint="eastAsia" w:ascii="宋体" w:hAnsi="宋体" w:cs="宋体"/>
                <w:sz w:val="24"/>
              </w:rPr>
              <w:t>说明：现场工作人员仅作处置，初步判定分类。</w:t>
            </w:r>
          </w:p>
          <w:p w14:paraId="09B1B954">
            <w:pPr>
              <w:wordWrap w:val="0"/>
              <w:topLinePunct/>
              <w:rPr>
                <w:rFonts w:ascii="宋体" w:hAnsi="宋体" w:cs="宋体"/>
                <w:sz w:val="24"/>
              </w:rPr>
            </w:pPr>
            <w:r>
              <w:rPr>
                <w:rFonts w:hint="eastAsia" w:ascii="宋体" w:hAnsi="宋体" w:cs="宋体"/>
                <w:sz w:val="24"/>
              </w:rPr>
              <w:t>如遇多种可能原因导致的反应，需医疗机构诊断后判定最终分类。</w:t>
            </w:r>
          </w:p>
        </w:tc>
      </w:tr>
      <w:tr w14:paraId="799C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2" w:type="dxa"/>
          </w:tcPr>
          <w:p w14:paraId="1090A2D5">
            <w:pPr>
              <w:wordWrap w:val="0"/>
              <w:topLinePunct/>
              <w:rPr>
                <w:rFonts w:ascii="宋体" w:hAnsi="宋体" w:cs="宋体"/>
                <w:sz w:val="24"/>
              </w:rPr>
            </w:pPr>
            <w:r>
              <w:rPr>
                <w:rFonts w:hint="eastAsia" w:ascii="宋体" w:hAnsi="宋体" w:cs="宋体"/>
                <w:sz w:val="24"/>
              </w:rPr>
              <w:t>血液采集结束按压针眼过程中出现穿刺部位隆起疼痛。</w:t>
            </w:r>
          </w:p>
          <w:p w14:paraId="17C37EEE">
            <w:pPr>
              <w:wordWrap w:val="0"/>
              <w:topLinePunct/>
              <w:rPr>
                <w:rFonts w:ascii="宋体" w:hAnsi="宋体" w:cs="宋体"/>
                <w:sz w:val="24"/>
              </w:rPr>
            </w:pPr>
            <w:r>
              <w:rPr>
                <w:rFonts w:hint="eastAsia" w:ascii="宋体" w:hAnsi="宋体" w:cs="宋体"/>
                <w:sz w:val="24"/>
              </w:rPr>
              <w:t>考虑为非正确按压穿刺部位，出现皮下出血导致</w:t>
            </w:r>
          </w:p>
        </w:tc>
        <w:tc>
          <w:tcPr>
            <w:tcW w:w="2693" w:type="dxa"/>
          </w:tcPr>
          <w:p w14:paraId="41E927C2">
            <w:pPr>
              <w:wordWrap w:val="0"/>
              <w:topLinePunct/>
              <w:rPr>
                <w:rFonts w:ascii="宋体" w:hAnsi="宋体" w:cs="宋体"/>
                <w:sz w:val="24"/>
              </w:rPr>
            </w:pPr>
            <w:r>
              <w:rPr>
                <w:rFonts w:hint="eastAsia" w:ascii="宋体" w:hAnsi="宋体" w:cs="宋体"/>
                <w:sz w:val="24"/>
              </w:rPr>
              <w:t>在医护人员指导下献血者再次正确按压后缓解</w:t>
            </w:r>
          </w:p>
        </w:tc>
        <w:tc>
          <w:tcPr>
            <w:tcW w:w="2410" w:type="dxa"/>
          </w:tcPr>
          <w:p w14:paraId="28A71944">
            <w:pPr>
              <w:wordWrap w:val="0"/>
              <w:topLinePunct/>
              <w:rPr>
                <w:rFonts w:ascii="宋体" w:hAnsi="宋体" w:cs="宋体"/>
                <w:sz w:val="24"/>
              </w:rPr>
            </w:pPr>
            <w:r>
              <w:rPr>
                <w:rFonts w:hint="eastAsia" w:ascii="宋体" w:hAnsi="宋体" w:cs="宋体"/>
                <w:sz w:val="24"/>
              </w:rPr>
              <w:t>后期可能会出现穿刺部位青紫等，献血者可能会继续按献血相关不良反应投诉至有关部门。</w:t>
            </w:r>
          </w:p>
        </w:tc>
        <w:tc>
          <w:tcPr>
            <w:tcW w:w="1843" w:type="dxa"/>
          </w:tcPr>
          <w:p w14:paraId="2D810CBD">
            <w:pPr>
              <w:wordWrap w:val="0"/>
              <w:topLinePunct/>
              <w:rPr>
                <w:rFonts w:ascii="宋体" w:hAnsi="宋体" w:cs="宋体"/>
                <w:sz w:val="24"/>
              </w:rPr>
            </w:pPr>
            <w:r>
              <w:rPr>
                <w:rFonts w:hint="eastAsia" w:ascii="宋体" w:hAnsi="宋体" w:cs="宋体"/>
                <w:sz w:val="24"/>
              </w:rPr>
              <w:t>血肿</w:t>
            </w:r>
          </w:p>
          <w:p w14:paraId="4AD269A1">
            <w:pPr>
              <w:wordWrap w:val="0"/>
              <w:topLinePunct/>
              <w:rPr>
                <w:rFonts w:ascii="宋体" w:hAnsi="宋体" w:cs="宋体"/>
                <w:sz w:val="24"/>
              </w:rPr>
            </w:pPr>
            <w:r>
              <w:rPr>
                <w:rFonts w:hint="eastAsia" w:ascii="宋体" w:hAnsi="宋体" w:cs="宋体"/>
                <w:sz w:val="24"/>
              </w:rPr>
              <w:t>（瘀斑）</w:t>
            </w:r>
          </w:p>
        </w:tc>
        <w:tc>
          <w:tcPr>
            <w:tcW w:w="1450" w:type="dxa"/>
            <w:vMerge w:val="restart"/>
          </w:tcPr>
          <w:p w14:paraId="052B1D75">
            <w:pPr>
              <w:wordWrap w:val="0"/>
              <w:topLinePunct/>
              <w:rPr>
                <w:rFonts w:ascii="宋体" w:hAnsi="宋体" w:cs="宋体"/>
                <w:sz w:val="24"/>
              </w:rPr>
            </w:pPr>
            <w:r>
              <w:rPr>
                <w:rFonts w:hint="eastAsia" w:ascii="宋体" w:hAnsi="宋体" w:cs="宋体"/>
                <w:sz w:val="24"/>
              </w:rPr>
              <w:t>A1类以穿刺部位出血为主要表现的不良反应</w:t>
            </w:r>
          </w:p>
        </w:tc>
        <w:tc>
          <w:tcPr>
            <w:tcW w:w="1080" w:type="dxa"/>
            <w:vMerge w:val="restart"/>
            <w:vAlign w:val="center"/>
          </w:tcPr>
          <w:p w14:paraId="6215CE6B">
            <w:pPr>
              <w:wordWrap w:val="0"/>
              <w:topLinePunct/>
              <w:rPr>
                <w:rFonts w:ascii="宋体" w:hAnsi="宋体" w:cs="宋体"/>
                <w:sz w:val="24"/>
              </w:rPr>
            </w:pPr>
            <w:r>
              <w:rPr>
                <w:rFonts w:hint="eastAsia" w:ascii="宋体" w:hAnsi="宋体" w:cs="宋体"/>
                <w:sz w:val="24"/>
              </w:rPr>
              <w:t>A类以局部表现为主的不良反应</w:t>
            </w:r>
          </w:p>
        </w:tc>
      </w:tr>
      <w:tr w14:paraId="2F9C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2" w:type="dxa"/>
          </w:tcPr>
          <w:p w14:paraId="1046A32D">
            <w:pPr>
              <w:wordWrap w:val="0"/>
              <w:topLinePunct/>
              <w:rPr>
                <w:rFonts w:ascii="宋体" w:hAnsi="宋体" w:cs="宋体"/>
                <w:sz w:val="24"/>
              </w:rPr>
            </w:pPr>
            <w:r>
              <w:rPr>
                <w:rFonts w:hint="eastAsia" w:ascii="宋体" w:hAnsi="宋体" w:cs="宋体"/>
                <w:sz w:val="24"/>
              </w:rPr>
              <w:t>在献血者离开献血场所，解除穿刺部位的按压或包扎绷带之后，穿刺部位重新自发性出血。</w:t>
            </w:r>
          </w:p>
          <w:p w14:paraId="00EEA621">
            <w:pPr>
              <w:wordWrap w:val="0"/>
              <w:topLinePunct/>
              <w:rPr>
                <w:rFonts w:ascii="宋体" w:hAnsi="宋体" w:cs="宋体"/>
                <w:sz w:val="24"/>
              </w:rPr>
            </w:pPr>
            <w:r>
              <w:rPr>
                <w:rFonts w:hint="eastAsia" w:ascii="宋体" w:hAnsi="宋体" w:cs="宋体"/>
                <w:sz w:val="24"/>
              </w:rPr>
              <w:t>其原因可能是按压部位不正确或按压时间不够长，或者献血者手臂用力或举重物所致。</w:t>
            </w:r>
          </w:p>
        </w:tc>
        <w:tc>
          <w:tcPr>
            <w:tcW w:w="2693" w:type="dxa"/>
          </w:tcPr>
          <w:p w14:paraId="5E67FCFA">
            <w:pPr>
              <w:wordWrap w:val="0"/>
              <w:topLinePunct/>
              <w:rPr>
                <w:rFonts w:ascii="宋体" w:hAnsi="宋体" w:cs="宋体"/>
                <w:sz w:val="24"/>
              </w:rPr>
            </w:pPr>
            <w:r>
              <w:rPr>
                <w:rFonts w:hint="eastAsia" w:ascii="宋体" w:hAnsi="宋体" w:cs="宋体"/>
                <w:sz w:val="24"/>
              </w:rPr>
              <w:t>/</w:t>
            </w:r>
          </w:p>
        </w:tc>
        <w:tc>
          <w:tcPr>
            <w:tcW w:w="2410" w:type="dxa"/>
          </w:tcPr>
          <w:p w14:paraId="5660FD7A">
            <w:pPr>
              <w:wordWrap w:val="0"/>
              <w:topLinePunct/>
              <w:rPr>
                <w:rFonts w:ascii="宋体" w:hAnsi="宋体" w:cs="宋体"/>
                <w:sz w:val="24"/>
              </w:rPr>
            </w:pPr>
            <w:r>
              <w:rPr>
                <w:rFonts w:hint="eastAsia" w:ascii="宋体" w:hAnsi="宋体" w:cs="宋体"/>
                <w:sz w:val="24"/>
              </w:rPr>
              <w:t>在献血者离开献血场所后发生，献血者可能按献血相关不良反应投诉至有关部门。</w:t>
            </w:r>
          </w:p>
        </w:tc>
        <w:tc>
          <w:tcPr>
            <w:tcW w:w="1843" w:type="dxa"/>
          </w:tcPr>
          <w:p w14:paraId="61E923E2">
            <w:pPr>
              <w:wordWrap w:val="0"/>
              <w:topLinePunct/>
              <w:rPr>
                <w:rFonts w:ascii="宋体" w:hAnsi="宋体" w:cs="宋体"/>
                <w:sz w:val="24"/>
              </w:rPr>
            </w:pPr>
            <w:r>
              <w:rPr>
                <w:rFonts w:hint="eastAsia" w:ascii="宋体" w:hAnsi="宋体" w:cs="宋体"/>
                <w:sz w:val="24"/>
              </w:rPr>
              <w:t>迟发型出血</w:t>
            </w:r>
          </w:p>
        </w:tc>
        <w:tc>
          <w:tcPr>
            <w:tcW w:w="1450" w:type="dxa"/>
            <w:vMerge w:val="continue"/>
          </w:tcPr>
          <w:p w14:paraId="48128AE3">
            <w:pPr>
              <w:wordWrap w:val="0"/>
              <w:topLinePunct/>
              <w:rPr>
                <w:rFonts w:ascii="宋体" w:hAnsi="宋体" w:cs="宋体"/>
                <w:sz w:val="24"/>
              </w:rPr>
            </w:pPr>
          </w:p>
        </w:tc>
        <w:tc>
          <w:tcPr>
            <w:tcW w:w="1080" w:type="dxa"/>
            <w:vMerge w:val="continue"/>
          </w:tcPr>
          <w:p w14:paraId="0A6714FD">
            <w:pPr>
              <w:wordWrap w:val="0"/>
              <w:topLinePunct/>
              <w:rPr>
                <w:rFonts w:ascii="宋体" w:hAnsi="宋体" w:cs="宋体"/>
                <w:sz w:val="24"/>
              </w:rPr>
            </w:pPr>
          </w:p>
        </w:tc>
      </w:tr>
      <w:tr w14:paraId="26E4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2" w:type="dxa"/>
          </w:tcPr>
          <w:p w14:paraId="300989F1">
            <w:pPr>
              <w:wordWrap w:val="0"/>
              <w:topLinePunct/>
              <w:rPr>
                <w:rFonts w:ascii="宋体" w:hAnsi="宋体" w:cs="宋体"/>
                <w:sz w:val="24"/>
              </w:rPr>
            </w:pPr>
            <w:r>
              <w:rPr>
                <w:rFonts w:hint="eastAsia" w:ascii="宋体" w:hAnsi="宋体" w:cs="宋体"/>
                <w:sz w:val="24"/>
              </w:rPr>
              <w:t>穿刺部位或手臂出现剧烈麻木或疼痛.</w:t>
            </w:r>
          </w:p>
          <w:p w14:paraId="78FDA515">
            <w:pPr>
              <w:wordWrap w:val="0"/>
              <w:topLinePunct/>
              <w:rPr>
                <w:rFonts w:ascii="宋体" w:hAnsi="宋体" w:cs="宋体"/>
                <w:sz w:val="24"/>
              </w:rPr>
            </w:pPr>
            <w:r>
              <w:rPr>
                <w:rFonts w:hint="eastAsia" w:ascii="宋体" w:hAnsi="宋体" w:cs="宋体"/>
                <w:sz w:val="24"/>
              </w:rPr>
              <w:t>可能为神经刺激：穿刺血肿压迫神经所致，但血肿可不明显。疼痛并不是在穿刺进针时即刻发生，而是在穿刺后一段时间，当血肿达到足够大时才出现。</w:t>
            </w:r>
          </w:p>
          <w:p w14:paraId="35B32239">
            <w:pPr>
              <w:wordWrap w:val="0"/>
              <w:topLinePunct/>
              <w:rPr>
                <w:rFonts w:ascii="宋体" w:hAnsi="宋体" w:cs="宋体"/>
                <w:sz w:val="24"/>
              </w:rPr>
            </w:pPr>
            <w:r>
              <w:rPr>
                <w:rFonts w:hint="eastAsia" w:ascii="宋体" w:hAnsi="宋体" w:cs="宋体"/>
                <w:sz w:val="24"/>
              </w:rPr>
              <w:t>可能为穿刺损伤神经：在穿刺进针或拔针时立刻发生放射性剧烈疼痛。</w:t>
            </w:r>
          </w:p>
          <w:p w14:paraId="3434A778">
            <w:pPr>
              <w:wordWrap w:val="0"/>
              <w:topLinePunct/>
              <w:rPr>
                <w:rFonts w:ascii="宋体" w:hAnsi="宋体" w:cs="宋体"/>
                <w:sz w:val="24"/>
              </w:rPr>
            </w:pPr>
            <w:r>
              <w:rPr>
                <w:rFonts w:hint="eastAsia" w:ascii="宋体" w:hAnsi="宋体" w:cs="宋体"/>
                <w:sz w:val="24"/>
              </w:rPr>
              <w:t>可能为手臂疼痛：献血时或献血后数小时内手臂出现局部放射性疼痛，但没有其他表现，不宜将其归入神经刺激、神经损伤</w:t>
            </w:r>
          </w:p>
        </w:tc>
        <w:tc>
          <w:tcPr>
            <w:tcW w:w="2693" w:type="dxa"/>
          </w:tcPr>
          <w:p w14:paraId="63097A5D">
            <w:pPr>
              <w:wordWrap w:val="0"/>
              <w:topLinePunct/>
              <w:rPr>
                <w:rFonts w:ascii="宋体" w:hAnsi="宋体" w:cs="宋体"/>
                <w:sz w:val="24"/>
              </w:rPr>
            </w:pPr>
            <w:r>
              <w:rPr>
                <w:rFonts w:hint="eastAsia" w:ascii="宋体" w:hAnsi="宋体" w:cs="宋体"/>
                <w:sz w:val="24"/>
              </w:rPr>
              <w:t>拔针或重新穿刺后缓解</w:t>
            </w:r>
          </w:p>
        </w:tc>
        <w:tc>
          <w:tcPr>
            <w:tcW w:w="2410" w:type="dxa"/>
          </w:tcPr>
          <w:p w14:paraId="7DA81E78">
            <w:pPr>
              <w:wordWrap w:val="0"/>
              <w:topLinePunct/>
              <w:rPr>
                <w:rFonts w:ascii="宋体" w:hAnsi="宋体" w:cs="宋体"/>
                <w:sz w:val="24"/>
              </w:rPr>
            </w:pPr>
            <w:r>
              <w:rPr>
                <w:rFonts w:hint="eastAsia" w:ascii="宋体" w:hAnsi="宋体" w:cs="宋体"/>
                <w:sz w:val="24"/>
              </w:rPr>
              <w:t>离开后如仍症状较为明显或严重，献血者可能按献血相关不良反应投诉至有关部门，建议就诊。</w:t>
            </w:r>
          </w:p>
        </w:tc>
        <w:tc>
          <w:tcPr>
            <w:tcW w:w="1843" w:type="dxa"/>
          </w:tcPr>
          <w:p w14:paraId="35A5D5E2">
            <w:pPr>
              <w:wordWrap w:val="0"/>
              <w:topLinePunct/>
              <w:rPr>
                <w:rFonts w:ascii="宋体" w:hAnsi="宋体" w:cs="宋体"/>
                <w:sz w:val="24"/>
              </w:rPr>
            </w:pPr>
            <w:r>
              <w:rPr>
                <w:rFonts w:hint="eastAsia" w:ascii="宋体" w:hAnsi="宋体" w:cs="宋体"/>
                <w:sz w:val="24"/>
              </w:rPr>
              <w:t>神经刺激</w:t>
            </w:r>
          </w:p>
          <w:p w14:paraId="360B1558">
            <w:pPr>
              <w:wordWrap w:val="0"/>
              <w:topLinePunct/>
              <w:rPr>
                <w:rFonts w:ascii="宋体" w:hAnsi="宋体" w:cs="宋体"/>
                <w:sz w:val="24"/>
              </w:rPr>
            </w:pPr>
            <w:r>
              <w:rPr>
                <w:rFonts w:hint="eastAsia" w:ascii="宋体" w:hAnsi="宋体" w:cs="宋体"/>
                <w:sz w:val="24"/>
              </w:rPr>
              <w:t>神经损伤</w:t>
            </w:r>
          </w:p>
          <w:p w14:paraId="623EAD6E">
            <w:pPr>
              <w:wordWrap w:val="0"/>
              <w:topLinePunct/>
              <w:rPr>
                <w:rFonts w:ascii="宋体" w:hAnsi="宋体" w:cs="宋体"/>
                <w:sz w:val="24"/>
              </w:rPr>
            </w:pPr>
            <w:r>
              <w:rPr>
                <w:rFonts w:hint="eastAsia" w:ascii="宋体" w:hAnsi="宋体" w:cs="宋体"/>
                <w:sz w:val="24"/>
              </w:rPr>
              <w:t>手臂疼痛</w:t>
            </w:r>
          </w:p>
        </w:tc>
        <w:tc>
          <w:tcPr>
            <w:tcW w:w="1450" w:type="dxa"/>
          </w:tcPr>
          <w:p w14:paraId="19903459">
            <w:pPr>
              <w:wordWrap w:val="0"/>
              <w:topLinePunct/>
              <w:rPr>
                <w:rFonts w:ascii="宋体" w:hAnsi="宋体" w:cs="宋体"/>
                <w:sz w:val="24"/>
              </w:rPr>
            </w:pPr>
            <w:r>
              <w:rPr>
                <w:rFonts w:hint="eastAsia" w:ascii="宋体" w:hAnsi="宋体" w:cs="宋体"/>
                <w:sz w:val="24"/>
              </w:rPr>
              <w:t>A2类以疼痛为主要表现的不良反应</w:t>
            </w:r>
          </w:p>
        </w:tc>
        <w:tc>
          <w:tcPr>
            <w:tcW w:w="1080" w:type="dxa"/>
            <w:vMerge w:val="continue"/>
          </w:tcPr>
          <w:p w14:paraId="4C34F693">
            <w:pPr>
              <w:wordWrap w:val="0"/>
              <w:topLinePunct/>
              <w:rPr>
                <w:rFonts w:ascii="宋体" w:hAnsi="宋体" w:cs="宋体"/>
                <w:sz w:val="24"/>
              </w:rPr>
            </w:pPr>
          </w:p>
        </w:tc>
      </w:tr>
      <w:tr w14:paraId="6467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2" w:type="dxa"/>
          </w:tcPr>
          <w:p w14:paraId="1D947C9C">
            <w:pPr>
              <w:wordWrap w:val="0"/>
              <w:topLinePunct/>
              <w:rPr>
                <w:rFonts w:ascii="宋体" w:hAnsi="宋体" w:cs="宋体"/>
                <w:sz w:val="24"/>
              </w:rPr>
            </w:pPr>
            <w:r>
              <w:rPr>
                <w:rFonts w:hint="eastAsia" w:ascii="宋体" w:hAnsi="宋体" w:cs="宋体"/>
                <w:sz w:val="24"/>
              </w:rPr>
              <w:t>静脉穿刺部位、绷带包扎部位或皮肤消毒整个区域瘙痒、发红，甚至可出现大范围皮疹。</w:t>
            </w:r>
          </w:p>
        </w:tc>
        <w:tc>
          <w:tcPr>
            <w:tcW w:w="2693" w:type="dxa"/>
          </w:tcPr>
          <w:p w14:paraId="647D405D">
            <w:pPr>
              <w:wordWrap w:val="0"/>
              <w:topLinePunct/>
              <w:rPr>
                <w:rFonts w:ascii="宋体" w:hAnsi="宋体" w:cs="宋体"/>
                <w:sz w:val="24"/>
              </w:rPr>
            </w:pPr>
            <w:r>
              <w:rPr>
                <w:rFonts w:hint="eastAsia" w:ascii="宋体" w:hAnsi="宋体" w:cs="宋体"/>
                <w:sz w:val="24"/>
              </w:rPr>
              <w:t>请献血者不适随诊，科室人员电话回访。</w:t>
            </w:r>
          </w:p>
        </w:tc>
        <w:tc>
          <w:tcPr>
            <w:tcW w:w="2410" w:type="dxa"/>
          </w:tcPr>
          <w:p w14:paraId="341B2BDE">
            <w:pPr>
              <w:wordWrap w:val="0"/>
              <w:topLinePunct/>
              <w:rPr>
                <w:rFonts w:ascii="宋体" w:hAnsi="宋体" w:cs="宋体"/>
                <w:sz w:val="24"/>
              </w:rPr>
            </w:pPr>
            <w:r>
              <w:rPr>
                <w:rFonts w:hint="eastAsia" w:ascii="宋体" w:hAnsi="宋体" w:cs="宋体"/>
                <w:sz w:val="24"/>
              </w:rPr>
              <w:t>离开后如仍症状较为明显或严重，献血者可能按献血相关不良反应投诉至有关部门，建议就诊。</w:t>
            </w:r>
          </w:p>
        </w:tc>
        <w:tc>
          <w:tcPr>
            <w:tcW w:w="1843" w:type="dxa"/>
          </w:tcPr>
          <w:p w14:paraId="116EB5B3">
            <w:pPr>
              <w:wordWrap w:val="0"/>
              <w:topLinePunct/>
              <w:rPr>
                <w:rFonts w:ascii="宋体" w:hAnsi="宋体" w:cs="宋体"/>
                <w:sz w:val="24"/>
              </w:rPr>
            </w:pPr>
            <w:r>
              <w:rPr>
                <w:rFonts w:hint="eastAsia" w:ascii="宋体" w:hAnsi="宋体" w:cs="宋体"/>
                <w:sz w:val="24"/>
              </w:rPr>
              <w:t>局部皮肤过敏</w:t>
            </w:r>
          </w:p>
        </w:tc>
        <w:tc>
          <w:tcPr>
            <w:tcW w:w="1450" w:type="dxa"/>
          </w:tcPr>
          <w:p w14:paraId="5F3D4388">
            <w:pPr>
              <w:wordWrap w:val="0"/>
              <w:topLinePunct/>
              <w:rPr>
                <w:rFonts w:ascii="宋体" w:hAnsi="宋体" w:cs="宋体"/>
                <w:sz w:val="24"/>
              </w:rPr>
            </w:pPr>
            <w:r>
              <w:rPr>
                <w:rFonts w:hint="eastAsia" w:ascii="宋体" w:hAnsi="宋体" w:cs="宋体"/>
                <w:sz w:val="24"/>
              </w:rPr>
              <w:t>A3类局部炎症</w:t>
            </w:r>
          </w:p>
        </w:tc>
        <w:tc>
          <w:tcPr>
            <w:tcW w:w="1080" w:type="dxa"/>
            <w:vMerge w:val="continue"/>
          </w:tcPr>
          <w:p w14:paraId="4C549864">
            <w:pPr>
              <w:wordWrap w:val="0"/>
              <w:topLinePunct/>
              <w:rPr>
                <w:rFonts w:ascii="宋体" w:hAnsi="宋体" w:cs="宋体"/>
                <w:sz w:val="24"/>
              </w:rPr>
            </w:pPr>
          </w:p>
        </w:tc>
      </w:tr>
    </w:tbl>
    <w:p w14:paraId="5EC2CE5F">
      <w:pPr>
        <w:wordWrap w:val="0"/>
        <w:topLinePunct/>
        <w:rPr>
          <w:rFonts w:ascii="宋体" w:hAnsi="宋体" w:cs="宋体"/>
          <w:sz w:val="24"/>
        </w:rPr>
      </w:pPr>
    </w:p>
    <w:tbl>
      <w:tblPr>
        <w:tblStyle w:val="10"/>
        <w:tblW w:w="14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8"/>
        <w:gridCol w:w="2693"/>
        <w:gridCol w:w="2410"/>
        <w:gridCol w:w="1843"/>
        <w:gridCol w:w="1450"/>
        <w:gridCol w:w="1079"/>
      </w:tblGrid>
      <w:tr w14:paraId="2C3F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8" w:type="dxa"/>
            <w:vAlign w:val="center"/>
          </w:tcPr>
          <w:p w14:paraId="7273FF74">
            <w:pPr>
              <w:wordWrap w:val="0"/>
              <w:topLinePunct/>
              <w:rPr>
                <w:rFonts w:ascii="宋体" w:hAnsi="宋体" w:cs="宋体"/>
                <w:sz w:val="24"/>
              </w:rPr>
            </w:pPr>
            <w:r>
              <w:rPr>
                <w:rFonts w:hint="eastAsia" w:ascii="宋体" w:hAnsi="宋体" w:cs="宋体"/>
                <w:sz w:val="24"/>
              </w:rPr>
              <w:t>症状及可能原因</w:t>
            </w:r>
          </w:p>
        </w:tc>
        <w:tc>
          <w:tcPr>
            <w:tcW w:w="2693" w:type="dxa"/>
            <w:vAlign w:val="center"/>
          </w:tcPr>
          <w:p w14:paraId="671C0963">
            <w:pPr>
              <w:wordWrap w:val="0"/>
              <w:topLinePunct/>
              <w:rPr>
                <w:rFonts w:ascii="宋体" w:hAnsi="宋体" w:cs="宋体"/>
                <w:sz w:val="24"/>
              </w:rPr>
            </w:pPr>
            <w:r>
              <w:rPr>
                <w:rFonts w:hint="eastAsia" w:ascii="宋体" w:hAnsi="宋体" w:cs="宋体"/>
                <w:sz w:val="24"/>
              </w:rPr>
              <w:t>现场处置</w:t>
            </w:r>
          </w:p>
        </w:tc>
        <w:tc>
          <w:tcPr>
            <w:tcW w:w="2410" w:type="dxa"/>
            <w:vAlign w:val="center"/>
          </w:tcPr>
          <w:p w14:paraId="39A10BBC">
            <w:pPr>
              <w:wordWrap w:val="0"/>
              <w:topLinePunct/>
              <w:rPr>
                <w:rFonts w:ascii="宋体" w:hAnsi="宋体" w:cs="宋体"/>
                <w:sz w:val="24"/>
              </w:rPr>
            </w:pPr>
            <w:r>
              <w:rPr>
                <w:rFonts w:hint="eastAsia" w:ascii="宋体" w:hAnsi="宋体" w:cs="宋体"/>
                <w:sz w:val="24"/>
              </w:rPr>
              <w:t>预后及后续处理</w:t>
            </w:r>
          </w:p>
        </w:tc>
        <w:tc>
          <w:tcPr>
            <w:tcW w:w="4372" w:type="dxa"/>
            <w:gridSpan w:val="3"/>
          </w:tcPr>
          <w:p w14:paraId="724BECEE">
            <w:pPr>
              <w:wordWrap w:val="0"/>
              <w:topLinePunct/>
              <w:rPr>
                <w:rFonts w:ascii="宋体" w:hAnsi="宋体" w:cs="宋体"/>
                <w:sz w:val="24"/>
              </w:rPr>
            </w:pPr>
            <w:r>
              <w:rPr>
                <w:rFonts w:hint="eastAsia" w:ascii="宋体" w:hAnsi="宋体" w:cs="宋体"/>
                <w:sz w:val="24"/>
              </w:rPr>
              <w:t>初步判定分类</w:t>
            </w:r>
          </w:p>
          <w:p w14:paraId="65CD6B28">
            <w:pPr>
              <w:wordWrap w:val="0"/>
              <w:topLinePunct/>
              <w:rPr>
                <w:rFonts w:ascii="宋体" w:hAnsi="宋体" w:cs="宋体"/>
                <w:sz w:val="24"/>
              </w:rPr>
            </w:pPr>
            <w:r>
              <w:rPr>
                <w:rFonts w:hint="eastAsia" w:ascii="宋体" w:hAnsi="宋体" w:cs="宋体"/>
                <w:sz w:val="24"/>
              </w:rPr>
              <w:t>说明：现场工作人员仅作处置，初步判定分类。</w:t>
            </w:r>
          </w:p>
          <w:p w14:paraId="1494D1BF">
            <w:pPr>
              <w:wordWrap w:val="0"/>
              <w:topLinePunct/>
              <w:rPr>
                <w:rFonts w:ascii="宋体" w:hAnsi="宋体" w:cs="宋体"/>
                <w:sz w:val="24"/>
              </w:rPr>
            </w:pPr>
            <w:r>
              <w:rPr>
                <w:rFonts w:hint="eastAsia" w:ascii="宋体" w:hAnsi="宋体" w:cs="宋体"/>
                <w:sz w:val="24"/>
              </w:rPr>
              <w:t>如遇多种可能原因导致的反应，需医疗机构诊断后判定最终分类。</w:t>
            </w:r>
          </w:p>
        </w:tc>
      </w:tr>
      <w:tr w14:paraId="2B00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8" w:type="dxa"/>
          </w:tcPr>
          <w:p w14:paraId="15AC42FB">
            <w:pPr>
              <w:wordWrap w:val="0"/>
              <w:topLinePunct/>
              <w:rPr>
                <w:rFonts w:ascii="宋体" w:hAnsi="宋体" w:cs="宋体"/>
                <w:sz w:val="24"/>
              </w:rPr>
            </w:pPr>
            <w:r>
              <w:rPr>
                <w:rFonts w:hint="eastAsia" w:ascii="宋体" w:hAnsi="宋体" w:cs="宋体"/>
                <w:sz w:val="24"/>
              </w:rPr>
              <w:t>表现不适，虚弱，焦虑，头晕/头昏，恶心，畏冷，出汗，呕吐，面色苍白，过度换气，脉搏慢或快，多数症状轻微。</w:t>
            </w:r>
          </w:p>
          <w:p w14:paraId="0C924FD5">
            <w:pPr>
              <w:wordWrap w:val="0"/>
              <w:topLinePunct/>
              <w:rPr>
                <w:rFonts w:ascii="宋体" w:hAnsi="宋体" w:cs="宋体"/>
                <w:sz w:val="24"/>
              </w:rPr>
            </w:pPr>
            <w:r>
              <w:rPr>
                <w:rFonts w:hint="eastAsia" w:ascii="宋体" w:hAnsi="宋体" w:cs="宋体"/>
                <w:sz w:val="24"/>
              </w:rPr>
              <w:t>诱因包括献血者心理生理因素以及血容量减少等</w:t>
            </w:r>
          </w:p>
        </w:tc>
        <w:tc>
          <w:tcPr>
            <w:tcW w:w="2693" w:type="dxa"/>
          </w:tcPr>
          <w:p w14:paraId="640D5E24">
            <w:pPr>
              <w:wordWrap w:val="0"/>
              <w:topLinePunct/>
              <w:rPr>
                <w:rFonts w:ascii="宋体" w:hAnsi="宋体" w:cs="宋体"/>
                <w:sz w:val="24"/>
              </w:rPr>
            </w:pPr>
            <w:r>
              <w:rPr>
                <w:rFonts w:hint="eastAsia" w:ascii="宋体" w:hAnsi="宋体" w:cs="宋体"/>
                <w:sz w:val="24"/>
              </w:rPr>
              <w:t>经拔针后，按压人中、平躺或头低脚高位等处置后，恢复正常。</w:t>
            </w:r>
          </w:p>
          <w:p w14:paraId="6FE17B05">
            <w:pPr>
              <w:wordWrap w:val="0"/>
              <w:topLinePunct/>
              <w:rPr>
                <w:rFonts w:ascii="宋体" w:hAnsi="宋体" w:cs="宋体"/>
                <w:sz w:val="24"/>
              </w:rPr>
            </w:pPr>
            <w:r>
              <w:rPr>
                <w:rFonts w:hint="eastAsia" w:ascii="宋体" w:hAnsi="宋体" w:cs="宋体"/>
                <w:sz w:val="24"/>
              </w:rPr>
              <w:t>请献血者补液，休息后离开。</w:t>
            </w:r>
          </w:p>
        </w:tc>
        <w:tc>
          <w:tcPr>
            <w:tcW w:w="2410" w:type="dxa"/>
          </w:tcPr>
          <w:p w14:paraId="383956E5">
            <w:pPr>
              <w:wordWrap w:val="0"/>
              <w:topLinePunct/>
              <w:rPr>
                <w:rFonts w:ascii="宋体" w:hAnsi="宋体" w:cs="宋体"/>
                <w:sz w:val="24"/>
              </w:rPr>
            </w:pPr>
            <w:r>
              <w:rPr>
                <w:rFonts w:hint="eastAsia" w:ascii="宋体" w:hAnsi="宋体" w:cs="宋体"/>
                <w:sz w:val="24"/>
              </w:rPr>
              <w:t>极少数献血者可能会继续按献血相关不良反应投诉至有关部门。</w:t>
            </w:r>
          </w:p>
        </w:tc>
        <w:tc>
          <w:tcPr>
            <w:tcW w:w="1843" w:type="dxa"/>
          </w:tcPr>
          <w:p w14:paraId="0AC74E36">
            <w:pPr>
              <w:wordWrap w:val="0"/>
              <w:topLinePunct/>
              <w:rPr>
                <w:rFonts w:ascii="宋体" w:hAnsi="宋体" w:cs="宋体"/>
                <w:sz w:val="24"/>
              </w:rPr>
            </w:pPr>
            <w:r>
              <w:rPr>
                <w:rFonts w:hint="eastAsia" w:ascii="宋体" w:hAnsi="宋体" w:cs="宋体"/>
                <w:sz w:val="24"/>
              </w:rPr>
              <w:t>血管迷走反应不伴晕厥</w:t>
            </w:r>
          </w:p>
        </w:tc>
        <w:tc>
          <w:tcPr>
            <w:tcW w:w="1450" w:type="dxa"/>
            <w:vMerge w:val="restart"/>
          </w:tcPr>
          <w:p w14:paraId="1B1017E1">
            <w:pPr>
              <w:wordWrap w:val="0"/>
              <w:topLinePunct/>
              <w:rPr>
                <w:rFonts w:ascii="宋体" w:hAnsi="宋体" w:cs="宋体"/>
                <w:sz w:val="24"/>
              </w:rPr>
            </w:pPr>
            <w:r>
              <w:rPr>
                <w:rFonts w:hint="eastAsia" w:ascii="宋体" w:hAnsi="宋体" w:cs="宋体"/>
                <w:sz w:val="24"/>
              </w:rPr>
              <w:t>血管迷走神经反应</w:t>
            </w:r>
          </w:p>
        </w:tc>
        <w:tc>
          <w:tcPr>
            <w:tcW w:w="1079" w:type="dxa"/>
            <w:vMerge w:val="restart"/>
          </w:tcPr>
          <w:p w14:paraId="5370D74C">
            <w:pPr>
              <w:wordWrap w:val="0"/>
              <w:topLinePunct/>
              <w:rPr>
                <w:rFonts w:ascii="宋体" w:hAnsi="宋体" w:cs="宋体"/>
                <w:sz w:val="24"/>
              </w:rPr>
            </w:pPr>
            <w:r>
              <w:rPr>
                <w:rFonts w:hint="eastAsia" w:ascii="宋体" w:hAnsi="宋体" w:cs="宋体"/>
                <w:sz w:val="24"/>
              </w:rPr>
              <w:t>B类以全身表现为主的不良反应</w:t>
            </w:r>
          </w:p>
        </w:tc>
      </w:tr>
      <w:tr w14:paraId="44DF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8" w:type="dxa"/>
          </w:tcPr>
          <w:p w14:paraId="48761821">
            <w:pPr>
              <w:wordWrap w:val="0"/>
              <w:topLinePunct/>
              <w:rPr>
                <w:rFonts w:ascii="宋体" w:hAnsi="宋体" w:cs="宋体"/>
                <w:sz w:val="24"/>
              </w:rPr>
            </w:pPr>
            <w:r>
              <w:rPr>
                <w:rFonts w:hint="eastAsia" w:ascii="宋体" w:hAnsi="宋体" w:cs="宋体"/>
                <w:sz w:val="24"/>
              </w:rPr>
              <w:t>少数症状相对严重，出现晕厥，或不伴有呕吐、尿失禁、抽搐</w:t>
            </w:r>
          </w:p>
          <w:p w14:paraId="758880E7">
            <w:pPr>
              <w:wordWrap w:val="0"/>
              <w:topLinePunct/>
              <w:rPr>
                <w:rFonts w:ascii="宋体" w:hAnsi="宋体" w:cs="宋体"/>
                <w:sz w:val="24"/>
              </w:rPr>
            </w:pPr>
            <w:r>
              <w:rPr>
                <w:rFonts w:hint="eastAsia" w:ascii="宋体" w:hAnsi="宋体" w:cs="宋体"/>
                <w:sz w:val="24"/>
              </w:rPr>
              <w:t>诱因包括献血者心理生理因素以及血容量减少等</w:t>
            </w:r>
          </w:p>
        </w:tc>
        <w:tc>
          <w:tcPr>
            <w:tcW w:w="2693" w:type="dxa"/>
          </w:tcPr>
          <w:p w14:paraId="10C612BC">
            <w:pPr>
              <w:wordWrap w:val="0"/>
              <w:topLinePunct/>
              <w:rPr>
                <w:rFonts w:ascii="宋体" w:hAnsi="宋体" w:cs="宋体"/>
                <w:sz w:val="24"/>
              </w:rPr>
            </w:pPr>
            <w:r>
              <w:rPr>
                <w:rFonts w:hint="eastAsia" w:ascii="宋体" w:hAnsi="宋体" w:cs="宋体"/>
                <w:sz w:val="24"/>
              </w:rPr>
              <w:t>经拔针后，按压人中、平躺或头低脚高位等处置后，可缓解。</w:t>
            </w:r>
          </w:p>
        </w:tc>
        <w:tc>
          <w:tcPr>
            <w:tcW w:w="2410" w:type="dxa"/>
          </w:tcPr>
          <w:p w14:paraId="19C970AB">
            <w:pPr>
              <w:wordWrap w:val="0"/>
              <w:topLinePunct/>
              <w:rPr>
                <w:rFonts w:ascii="宋体" w:hAnsi="宋体" w:cs="宋体"/>
                <w:sz w:val="24"/>
              </w:rPr>
            </w:pPr>
            <w:r>
              <w:rPr>
                <w:rFonts w:hint="eastAsia" w:ascii="宋体" w:hAnsi="宋体" w:cs="宋体"/>
                <w:sz w:val="24"/>
              </w:rPr>
              <w:t>极少数献血者可能会继续按献血相关不良反应投诉至有关部门。</w:t>
            </w:r>
          </w:p>
        </w:tc>
        <w:tc>
          <w:tcPr>
            <w:tcW w:w="1843" w:type="dxa"/>
          </w:tcPr>
          <w:p w14:paraId="5FF416B4">
            <w:pPr>
              <w:wordWrap w:val="0"/>
              <w:topLinePunct/>
              <w:rPr>
                <w:rFonts w:ascii="宋体" w:hAnsi="宋体" w:cs="宋体"/>
                <w:sz w:val="24"/>
              </w:rPr>
            </w:pPr>
            <w:r>
              <w:rPr>
                <w:rFonts w:hint="eastAsia" w:ascii="宋体" w:hAnsi="宋体" w:cs="宋体"/>
                <w:sz w:val="24"/>
              </w:rPr>
              <w:t>血管迷走反应伴晕厥</w:t>
            </w:r>
          </w:p>
        </w:tc>
        <w:tc>
          <w:tcPr>
            <w:tcW w:w="1450" w:type="dxa"/>
            <w:vMerge w:val="continue"/>
          </w:tcPr>
          <w:p w14:paraId="3217D547">
            <w:pPr>
              <w:wordWrap w:val="0"/>
              <w:topLinePunct/>
              <w:rPr>
                <w:rFonts w:ascii="宋体" w:hAnsi="宋体" w:cs="宋体"/>
                <w:sz w:val="24"/>
              </w:rPr>
            </w:pPr>
          </w:p>
        </w:tc>
        <w:tc>
          <w:tcPr>
            <w:tcW w:w="1079" w:type="dxa"/>
            <w:vMerge w:val="continue"/>
          </w:tcPr>
          <w:p w14:paraId="575DCF1F">
            <w:pPr>
              <w:wordWrap w:val="0"/>
              <w:topLinePunct/>
              <w:rPr>
                <w:rFonts w:ascii="宋体" w:hAnsi="宋体" w:cs="宋体"/>
                <w:sz w:val="24"/>
              </w:rPr>
            </w:pPr>
          </w:p>
        </w:tc>
      </w:tr>
      <w:tr w14:paraId="6520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8" w:type="dxa"/>
          </w:tcPr>
          <w:p w14:paraId="55D454B3">
            <w:pPr>
              <w:wordWrap w:val="0"/>
              <w:topLinePunct/>
              <w:rPr>
                <w:rFonts w:ascii="宋体" w:hAnsi="宋体" w:cs="宋体"/>
                <w:sz w:val="24"/>
              </w:rPr>
            </w:pPr>
            <w:r>
              <w:rPr>
                <w:rFonts w:hint="eastAsia" w:ascii="宋体" w:hAnsi="宋体" w:cs="宋体"/>
                <w:sz w:val="24"/>
              </w:rPr>
              <w:t>口唇麻木或震颤，感觉震颤，手指麻木或震颤，金属味，畏冷，发抖，头重脚轻，酒醉感，头重脚轻，酒醉感，肌肉抽动，脉搏快或慢，呼吸短促</w:t>
            </w:r>
          </w:p>
          <w:p w14:paraId="4DC24ACB">
            <w:pPr>
              <w:wordWrap w:val="0"/>
              <w:topLinePunct/>
              <w:rPr>
                <w:rFonts w:ascii="宋体" w:hAnsi="宋体" w:cs="宋体"/>
                <w:sz w:val="24"/>
              </w:rPr>
            </w:pPr>
            <w:r>
              <w:rPr>
                <w:rFonts w:hint="eastAsia" w:ascii="宋体" w:hAnsi="宋体" w:cs="宋体"/>
                <w:sz w:val="24"/>
              </w:rPr>
              <w:t>枸橼酸盐是单采血液成分常用的抗凝剂，通过螯合钙离子而发挥抗凝作用。在单采过程中，较大量枸橼酸盐回输到献血者体内，可引发低钙血症和低镁血症</w:t>
            </w:r>
          </w:p>
        </w:tc>
        <w:tc>
          <w:tcPr>
            <w:tcW w:w="2693" w:type="dxa"/>
          </w:tcPr>
          <w:p w14:paraId="31BC1993">
            <w:pPr>
              <w:wordWrap w:val="0"/>
              <w:topLinePunct/>
              <w:rPr>
                <w:rFonts w:ascii="宋体" w:hAnsi="宋体" w:cs="宋体"/>
                <w:sz w:val="24"/>
              </w:rPr>
            </w:pPr>
            <w:r>
              <w:rPr>
                <w:rFonts w:hint="eastAsia" w:ascii="宋体" w:hAnsi="宋体" w:cs="宋体"/>
                <w:sz w:val="24"/>
              </w:rPr>
              <w:t>补充口服钙剂，可缓解。</w:t>
            </w:r>
          </w:p>
        </w:tc>
        <w:tc>
          <w:tcPr>
            <w:tcW w:w="2410" w:type="dxa"/>
          </w:tcPr>
          <w:p w14:paraId="182DEF5A">
            <w:pPr>
              <w:wordWrap w:val="0"/>
              <w:topLinePunct/>
              <w:rPr>
                <w:rFonts w:ascii="宋体" w:hAnsi="宋体" w:cs="宋体"/>
                <w:sz w:val="24"/>
              </w:rPr>
            </w:pPr>
            <w:r>
              <w:rPr>
                <w:rFonts w:hint="eastAsia" w:ascii="宋体" w:hAnsi="宋体" w:cs="宋体"/>
                <w:sz w:val="24"/>
              </w:rPr>
              <w:t>极少数献血者可能会继续按献血相关不良反应投诉至有关部门。</w:t>
            </w:r>
          </w:p>
        </w:tc>
        <w:tc>
          <w:tcPr>
            <w:tcW w:w="3293" w:type="dxa"/>
            <w:gridSpan w:val="2"/>
          </w:tcPr>
          <w:p w14:paraId="35440618">
            <w:pPr>
              <w:wordWrap w:val="0"/>
              <w:topLinePunct/>
              <w:rPr>
                <w:rFonts w:ascii="宋体" w:hAnsi="宋体" w:cs="宋体"/>
                <w:sz w:val="24"/>
              </w:rPr>
            </w:pPr>
            <w:r>
              <w:rPr>
                <w:rFonts w:hint="eastAsia" w:ascii="宋体" w:hAnsi="宋体" w:cs="宋体"/>
                <w:sz w:val="24"/>
              </w:rPr>
              <w:t>枸橼酸盐反应</w:t>
            </w:r>
          </w:p>
        </w:tc>
        <w:tc>
          <w:tcPr>
            <w:tcW w:w="1079" w:type="dxa"/>
            <w:vMerge w:val="restart"/>
          </w:tcPr>
          <w:p w14:paraId="0DAA9B9E">
            <w:pPr>
              <w:wordWrap w:val="0"/>
              <w:topLinePunct/>
              <w:rPr>
                <w:rFonts w:ascii="宋体" w:hAnsi="宋体" w:cs="宋体"/>
                <w:sz w:val="24"/>
              </w:rPr>
            </w:pPr>
            <w:r>
              <w:rPr>
                <w:rFonts w:hint="eastAsia" w:ascii="宋体" w:hAnsi="宋体" w:cs="宋体"/>
                <w:sz w:val="24"/>
              </w:rPr>
              <w:t>C类单采血液成分相关不良反应</w:t>
            </w:r>
          </w:p>
        </w:tc>
      </w:tr>
      <w:tr w14:paraId="5896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568" w:type="dxa"/>
          </w:tcPr>
          <w:p w14:paraId="30DFE35E">
            <w:pPr>
              <w:wordWrap w:val="0"/>
              <w:topLinePunct/>
              <w:rPr>
                <w:rFonts w:ascii="宋体" w:hAnsi="宋体" w:cs="宋体"/>
                <w:sz w:val="24"/>
              </w:rPr>
            </w:pPr>
            <w:r>
              <w:rPr>
                <w:rFonts w:hint="eastAsia" w:ascii="宋体" w:hAnsi="宋体" w:cs="宋体"/>
                <w:sz w:val="24"/>
              </w:rPr>
              <w:t>血浆呈粉红色或红色，管路或滤器中的血液呈暗黑色。献血者可能发现献血后尿液呈粉红色或红色</w:t>
            </w:r>
          </w:p>
          <w:p w14:paraId="18226903">
            <w:pPr>
              <w:wordWrap w:val="0"/>
              <w:topLinePunct/>
              <w:rPr>
                <w:rFonts w:ascii="宋体" w:hAnsi="宋体" w:cs="宋体"/>
                <w:sz w:val="24"/>
              </w:rPr>
            </w:pPr>
            <w:r>
              <w:rPr>
                <w:rFonts w:hint="eastAsia" w:ascii="宋体" w:hAnsi="宋体" w:cs="宋体"/>
                <w:sz w:val="24"/>
              </w:rPr>
              <w:t>献血者红细胞膜脆性高或在单采过程中红细胞受到损伤所致</w:t>
            </w:r>
          </w:p>
        </w:tc>
        <w:tc>
          <w:tcPr>
            <w:tcW w:w="2693" w:type="dxa"/>
          </w:tcPr>
          <w:p w14:paraId="7B236616">
            <w:pPr>
              <w:wordWrap w:val="0"/>
              <w:topLinePunct/>
              <w:rPr>
                <w:rFonts w:ascii="宋体" w:hAnsi="宋体" w:cs="宋体"/>
                <w:sz w:val="24"/>
              </w:rPr>
            </w:pPr>
            <w:r>
              <w:rPr>
                <w:rFonts w:hint="eastAsia" w:ascii="宋体" w:hAnsi="宋体" w:cs="宋体"/>
                <w:sz w:val="24"/>
              </w:rPr>
              <w:t>停止回输血液成分，停止采血，补液，可缓解。</w:t>
            </w:r>
          </w:p>
        </w:tc>
        <w:tc>
          <w:tcPr>
            <w:tcW w:w="2410" w:type="dxa"/>
          </w:tcPr>
          <w:p w14:paraId="18105D92">
            <w:pPr>
              <w:wordWrap w:val="0"/>
              <w:topLinePunct/>
              <w:rPr>
                <w:rFonts w:ascii="宋体" w:hAnsi="宋体" w:cs="宋体"/>
                <w:sz w:val="24"/>
              </w:rPr>
            </w:pPr>
            <w:r>
              <w:rPr>
                <w:rFonts w:hint="eastAsia" w:ascii="宋体" w:hAnsi="宋体" w:cs="宋体"/>
                <w:sz w:val="24"/>
              </w:rPr>
              <w:t>献血者可能会继续按献血相关不良反应投诉至有关部门。</w:t>
            </w:r>
          </w:p>
        </w:tc>
        <w:tc>
          <w:tcPr>
            <w:tcW w:w="3293" w:type="dxa"/>
            <w:gridSpan w:val="2"/>
          </w:tcPr>
          <w:p w14:paraId="46E25C04">
            <w:pPr>
              <w:wordWrap w:val="0"/>
              <w:topLinePunct/>
              <w:rPr>
                <w:rFonts w:ascii="宋体" w:hAnsi="宋体" w:cs="宋体"/>
                <w:sz w:val="24"/>
              </w:rPr>
            </w:pPr>
            <w:r>
              <w:rPr>
                <w:rFonts w:hint="eastAsia" w:ascii="宋体" w:hAnsi="宋体" w:cs="宋体"/>
                <w:sz w:val="24"/>
              </w:rPr>
              <w:t>轻微溶血反应（体外发现）</w:t>
            </w:r>
          </w:p>
        </w:tc>
        <w:tc>
          <w:tcPr>
            <w:tcW w:w="1079" w:type="dxa"/>
            <w:vMerge w:val="continue"/>
          </w:tcPr>
          <w:p w14:paraId="74F0E535">
            <w:pPr>
              <w:wordWrap w:val="0"/>
              <w:topLinePunct/>
              <w:rPr>
                <w:rFonts w:ascii="宋体" w:hAnsi="宋体" w:cs="宋体"/>
                <w:sz w:val="24"/>
              </w:rPr>
            </w:pPr>
          </w:p>
        </w:tc>
      </w:tr>
      <w:tr w14:paraId="6BC1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8" w:type="dxa"/>
          </w:tcPr>
          <w:p w14:paraId="137DEB33">
            <w:pPr>
              <w:wordWrap w:val="0"/>
              <w:topLinePunct/>
              <w:rPr>
                <w:rFonts w:ascii="宋体" w:hAnsi="宋体" w:cs="宋体"/>
                <w:sz w:val="24"/>
              </w:rPr>
            </w:pPr>
            <w:r>
              <w:rPr>
                <w:rFonts w:hint="eastAsia" w:ascii="宋体" w:hAnsi="宋体" w:cs="宋体"/>
                <w:sz w:val="24"/>
              </w:rPr>
              <w:t>个别出现痉挛性腹疼。</w:t>
            </w:r>
          </w:p>
          <w:p w14:paraId="60B4CFF4">
            <w:pPr>
              <w:wordWrap w:val="0"/>
              <w:topLinePunct/>
              <w:rPr>
                <w:rFonts w:ascii="宋体" w:hAnsi="宋体" w:cs="宋体"/>
                <w:sz w:val="24"/>
              </w:rPr>
            </w:pPr>
            <w:r>
              <w:rPr>
                <w:rFonts w:hint="eastAsia" w:ascii="宋体" w:hAnsi="宋体" w:cs="宋体"/>
                <w:sz w:val="24"/>
              </w:rPr>
              <w:t>原因不明。</w:t>
            </w:r>
          </w:p>
        </w:tc>
        <w:tc>
          <w:tcPr>
            <w:tcW w:w="2693" w:type="dxa"/>
          </w:tcPr>
          <w:p w14:paraId="139AA7F9">
            <w:pPr>
              <w:wordWrap w:val="0"/>
              <w:topLinePunct/>
              <w:rPr>
                <w:rFonts w:ascii="宋体" w:hAnsi="宋体" w:cs="宋体"/>
                <w:sz w:val="24"/>
              </w:rPr>
            </w:pPr>
            <w:r>
              <w:rPr>
                <w:rFonts w:hint="eastAsia" w:ascii="宋体" w:hAnsi="宋体" w:cs="宋体"/>
                <w:sz w:val="24"/>
              </w:rPr>
              <w:t>献血休息后一般可缓解。</w:t>
            </w:r>
          </w:p>
        </w:tc>
        <w:tc>
          <w:tcPr>
            <w:tcW w:w="2410" w:type="dxa"/>
          </w:tcPr>
          <w:p w14:paraId="2F2AB740">
            <w:pPr>
              <w:wordWrap w:val="0"/>
              <w:topLinePunct/>
              <w:rPr>
                <w:rFonts w:ascii="宋体" w:hAnsi="宋体" w:cs="宋体"/>
                <w:sz w:val="24"/>
              </w:rPr>
            </w:pPr>
            <w:r>
              <w:rPr>
                <w:rFonts w:hint="eastAsia" w:ascii="宋体" w:hAnsi="宋体" w:cs="宋体"/>
                <w:sz w:val="24"/>
              </w:rPr>
              <w:t>献血者可能会继续按献血相关不良反应投诉至有关部门。</w:t>
            </w:r>
          </w:p>
        </w:tc>
        <w:tc>
          <w:tcPr>
            <w:tcW w:w="3293" w:type="dxa"/>
            <w:gridSpan w:val="2"/>
          </w:tcPr>
          <w:p w14:paraId="14C4EA25">
            <w:pPr>
              <w:wordWrap w:val="0"/>
              <w:topLinePunct/>
              <w:rPr>
                <w:rFonts w:ascii="宋体" w:hAnsi="宋体" w:cs="宋体"/>
                <w:sz w:val="24"/>
              </w:rPr>
            </w:pPr>
            <w:r>
              <w:rPr>
                <w:rFonts w:hint="eastAsia" w:ascii="宋体" w:hAnsi="宋体" w:cs="宋体"/>
                <w:sz w:val="24"/>
              </w:rPr>
              <w:t>不属于上述类型的其他献血不良反应</w:t>
            </w:r>
          </w:p>
        </w:tc>
        <w:tc>
          <w:tcPr>
            <w:tcW w:w="1079" w:type="dxa"/>
          </w:tcPr>
          <w:p w14:paraId="61574363">
            <w:pPr>
              <w:wordWrap w:val="0"/>
              <w:topLinePunct/>
              <w:rPr>
                <w:rFonts w:ascii="宋体" w:hAnsi="宋体" w:cs="宋体"/>
                <w:sz w:val="24"/>
              </w:rPr>
            </w:pPr>
            <w:r>
              <w:rPr>
                <w:rFonts w:hint="eastAsia" w:ascii="宋体" w:hAnsi="宋体" w:cs="宋体"/>
                <w:sz w:val="24"/>
              </w:rPr>
              <w:t>D类献血相关其他不良反应</w:t>
            </w:r>
          </w:p>
        </w:tc>
      </w:tr>
    </w:tbl>
    <w:p w14:paraId="6BACAAC6">
      <w:pPr>
        <w:wordWrap w:val="0"/>
        <w:topLinePunct/>
        <w:rPr>
          <w:rFonts w:ascii="宋体" w:hAnsi="宋体" w:cs="宋体"/>
          <w:sz w:val="24"/>
        </w:rPr>
        <w:sectPr>
          <w:pgSz w:w="16840" w:h="11907" w:orient="landscape"/>
          <w:pgMar w:top="1701" w:right="1417" w:bottom="1134" w:left="1417" w:header="851" w:footer="850" w:gutter="0"/>
          <w:cols w:space="720" w:num="1"/>
          <w:docGrid w:linePitch="462" w:charSpace="0"/>
        </w:sectPr>
      </w:pPr>
    </w:p>
    <w:p w14:paraId="5A206F08">
      <w:pPr>
        <w:rPr>
          <w:rFonts w:ascii="宋体" w:hAnsi="宋体" w:cs="宋体"/>
          <w:sz w:val="24"/>
        </w:rPr>
      </w:pPr>
      <w:r>
        <w:rPr>
          <w:rFonts w:hint="eastAsia" w:ascii="宋体" w:hAnsi="宋体" w:cs="宋体"/>
          <w:bCs/>
          <w:sz w:val="24"/>
        </w:rPr>
        <w:t>3.1.2.3</w:t>
      </w:r>
      <w:r>
        <w:rPr>
          <w:rFonts w:hint="eastAsia" w:ascii="宋体" w:hAnsi="宋体" w:cs="宋体"/>
          <w:sz w:val="24"/>
        </w:rPr>
        <w:t>骨折或关节脱位给付比例表</w:t>
      </w:r>
    </w:p>
    <w:tbl>
      <w:tblPr>
        <w:tblStyle w:val="10"/>
        <w:tblpPr w:leftFromText="180" w:rightFromText="180" w:vertAnchor="text" w:horzAnchor="margin" w:tblpY="243"/>
        <w:tblW w:w="8748" w:type="dxa"/>
        <w:tblInd w:w="0" w:type="dxa"/>
        <w:tblLayout w:type="fixed"/>
        <w:tblCellMar>
          <w:top w:w="0" w:type="dxa"/>
          <w:left w:w="108" w:type="dxa"/>
          <w:bottom w:w="0" w:type="dxa"/>
          <w:right w:w="108" w:type="dxa"/>
        </w:tblCellMar>
      </w:tblPr>
      <w:tblGrid>
        <w:gridCol w:w="1848"/>
        <w:gridCol w:w="5607"/>
        <w:gridCol w:w="1293"/>
      </w:tblGrid>
      <w:tr w14:paraId="06CADCBB">
        <w:tblPrEx>
          <w:tblCellMar>
            <w:top w:w="0" w:type="dxa"/>
            <w:left w:w="108" w:type="dxa"/>
            <w:bottom w:w="0" w:type="dxa"/>
            <w:right w:w="108" w:type="dxa"/>
          </w:tblCellMar>
        </w:tblPrEx>
        <w:trPr>
          <w:trHeight w:val="585" w:hRule="atLeast"/>
        </w:trPr>
        <w:tc>
          <w:tcPr>
            <w:tcW w:w="1848" w:type="dxa"/>
            <w:tcBorders>
              <w:top w:val="single" w:color="auto" w:sz="8" w:space="0"/>
              <w:left w:val="single" w:color="auto" w:sz="8" w:space="0"/>
              <w:bottom w:val="single" w:color="auto" w:sz="8" w:space="0"/>
              <w:right w:val="single" w:color="auto" w:sz="8" w:space="0"/>
            </w:tcBorders>
            <w:vAlign w:val="center"/>
          </w:tcPr>
          <w:p w14:paraId="29505E8C">
            <w:pPr>
              <w:rPr>
                <w:rFonts w:ascii="宋体" w:hAnsi="宋体" w:cs="宋体"/>
                <w:sz w:val="24"/>
              </w:rPr>
            </w:pPr>
            <w:r>
              <w:rPr>
                <w:rFonts w:hint="eastAsia" w:ascii="宋体" w:hAnsi="宋体" w:cs="宋体"/>
                <w:sz w:val="24"/>
              </w:rPr>
              <w:t>骨折或关节</w:t>
            </w:r>
          </w:p>
          <w:p w14:paraId="0B47F622">
            <w:pPr>
              <w:rPr>
                <w:rFonts w:ascii="宋体" w:hAnsi="宋体" w:cs="宋体"/>
                <w:sz w:val="24"/>
              </w:rPr>
            </w:pPr>
            <w:r>
              <w:rPr>
                <w:rFonts w:hint="eastAsia" w:ascii="宋体" w:hAnsi="宋体" w:cs="宋体"/>
                <w:sz w:val="24"/>
              </w:rPr>
              <w:t>脱位项目</w:t>
            </w:r>
          </w:p>
        </w:tc>
        <w:tc>
          <w:tcPr>
            <w:tcW w:w="5607" w:type="dxa"/>
            <w:tcBorders>
              <w:top w:val="single" w:color="auto" w:sz="8" w:space="0"/>
              <w:left w:val="nil"/>
              <w:bottom w:val="single" w:color="auto" w:sz="8" w:space="0"/>
              <w:right w:val="single" w:color="auto" w:sz="8" w:space="0"/>
            </w:tcBorders>
            <w:vAlign w:val="center"/>
          </w:tcPr>
          <w:p w14:paraId="62BA1E96">
            <w:pPr>
              <w:rPr>
                <w:rFonts w:ascii="宋体" w:hAnsi="宋体" w:cs="宋体"/>
                <w:sz w:val="24"/>
              </w:rPr>
            </w:pPr>
            <w:r>
              <w:rPr>
                <w:rFonts w:hint="eastAsia" w:ascii="宋体" w:hAnsi="宋体" w:cs="宋体"/>
                <w:sz w:val="24"/>
              </w:rPr>
              <w:t>项目等级</w:t>
            </w:r>
          </w:p>
        </w:tc>
        <w:tc>
          <w:tcPr>
            <w:tcW w:w="1293" w:type="dxa"/>
            <w:tcBorders>
              <w:top w:val="single" w:color="auto" w:sz="8" w:space="0"/>
              <w:left w:val="nil"/>
              <w:bottom w:val="single" w:color="auto" w:sz="8" w:space="0"/>
              <w:right w:val="single" w:color="auto" w:sz="8" w:space="0"/>
            </w:tcBorders>
            <w:vAlign w:val="center"/>
          </w:tcPr>
          <w:p w14:paraId="19344F17">
            <w:pPr>
              <w:jc w:val="center"/>
              <w:rPr>
                <w:rFonts w:ascii="宋体" w:hAnsi="宋体" w:cs="宋体"/>
                <w:sz w:val="24"/>
              </w:rPr>
            </w:pPr>
            <w:r>
              <w:rPr>
                <w:rFonts w:hint="eastAsia" w:ascii="宋体" w:hAnsi="宋体" w:cs="宋体"/>
                <w:sz w:val="24"/>
              </w:rPr>
              <w:t>不低于下述给付比例</w:t>
            </w:r>
          </w:p>
        </w:tc>
      </w:tr>
      <w:tr w14:paraId="1EF8C6C8">
        <w:tblPrEx>
          <w:tblCellMar>
            <w:top w:w="0" w:type="dxa"/>
            <w:left w:w="108" w:type="dxa"/>
            <w:bottom w:w="0" w:type="dxa"/>
            <w:right w:w="108" w:type="dxa"/>
          </w:tblCellMar>
        </w:tblPrEx>
        <w:trPr>
          <w:trHeight w:val="330" w:hRule="atLeast"/>
        </w:trPr>
        <w:tc>
          <w:tcPr>
            <w:tcW w:w="1848" w:type="dxa"/>
            <w:tcBorders>
              <w:top w:val="nil"/>
              <w:left w:val="single" w:color="auto" w:sz="8" w:space="0"/>
              <w:bottom w:val="nil"/>
              <w:right w:val="single" w:color="auto" w:sz="8" w:space="0"/>
            </w:tcBorders>
            <w:vAlign w:val="center"/>
          </w:tcPr>
          <w:p w14:paraId="2F82AE54">
            <w:pPr>
              <w:rPr>
                <w:rFonts w:ascii="宋体" w:hAnsi="宋体" w:cs="宋体"/>
                <w:sz w:val="24"/>
              </w:rPr>
            </w:pPr>
            <w:r>
              <w:rPr>
                <w:rFonts w:hint="eastAsia" w:ascii="宋体" w:hAnsi="宋体" w:cs="宋体"/>
                <w:sz w:val="24"/>
              </w:rPr>
              <w:t>头部骨折</w:t>
            </w:r>
          </w:p>
        </w:tc>
        <w:tc>
          <w:tcPr>
            <w:tcW w:w="5607" w:type="dxa"/>
            <w:tcBorders>
              <w:top w:val="nil"/>
              <w:left w:val="nil"/>
              <w:bottom w:val="single" w:color="auto" w:sz="8" w:space="0"/>
              <w:right w:val="single" w:color="auto" w:sz="8" w:space="0"/>
            </w:tcBorders>
            <w:vAlign w:val="center"/>
          </w:tcPr>
          <w:p w14:paraId="43668F6D">
            <w:pPr>
              <w:rPr>
                <w:rFonts w:ascii="宋体" w:hAnsi="宋体" w:cs="宋体"/>
                <w:sz w:val="24"/>
              </w:rPr>
            </w:pPr>
            <w:r>
              <w:rPr>
                <w:rFonts w:hint="eastAsia" w:ascii="宋体" w:hAnsi="宋体" w:cs="宋体"/>
                <w:sz w:val="24"/>
              </w:rPr>
              <w:t>颅盖骨（包括额、顶、枕、筛、颞或蝶骨）骨折</w:t>
            </w:r>
          </w:p>
        </w:tc>
        <w:tc>
          <w:tcPr>
            <w:tcW w:w="1293" w:type="dxa"/>
            <w:tcBorders>
              <w:top w:val="nil"/>
              <w:left w:val="nil"/>
              <w:bottom w:val="single" w:color="auto" w:sz="8" w:space="0"/>
              <w:right w:val="single" w:color="auto" w:sz="8" w:space="0"/>
            </w:tcBorders>
            <w:vAlign w:val="center"/>
          </w:tcPr>
          <w:p w14:paraId="50992A4E">
            <w:pPr>
              <w:jc w:val="center"/>
              <w:rPr>
                <w:rFonts w:ascii="宋体" w:hAnsi="宋体" w:cs="宋体"/>
                <w:sz w:val="24"/>
              </w:rPr>
            </w:pPr>
            <w:r>
              <w:rPr>
                <w:rFonts w:hint="eastAsia" w:ascii="宋体" w:hAnsi="宋体" w:cs="宋体"/>
                <w:sz w:val="24"/>
              </w:rPr>
              <w:t>100%</w:t>
            </w:r>
          </w:p>
        </w:tc>
      </w:tr>
      <w:tr w14:paraId="7A7C87DD">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48EEB555">
            <w:pPr>
              <w:rPr>
                <w:rFonts w:ascii="宋体" w:hAnsi="宋体" w:cs="宋体"/>
                <w:sz w:val="24"/>
              </w:rPr>
            </w:pPr>
            <w:r>
              <w:rPr>
                <w:rFonts w:hint="eastAsia" w:ascii="宋体" w:hAnsi="宋体" w:cs="宋体"/>
                <w:sz w:val="24"/>
              </w:rPr>
              <w:t>头部骨折</w:t>
            </w:r>
          </w:p>
        </w:tc>
        <w:tc>
          <w:tcPr>
            <w:tcW w:w="5607" w:type="dxa"/>
            <w:tcBorders>
              <w:top w:val="nil"/>
              <w:left w:val="nil"/>
              <w:bottom w:val="single" w:color="auto" w:sz="8" w:space="0"/>
              <w:right w:val="single" w:color="auto" w:sz="8" w:space="0"/>
            </w:tcBorders>
            <w:vAlign w:val="center"/>
          </w:tcPr>
          <w:p w14:paraId="08AF4D15">
            <w:pPr>
              <w:rPr>
                <w:rFonts w:ascii="宋体" w:hAnsi="宋体" w:cs="宋体"/>
                <w:sz w:val="24"/>
              </w:rPr>
            </w:pPr>
            <w:r>
              <w:rPr>
                <w:rFonts w:hint="eastAsia" w:ascii="宋体" w:hAnsi="宋体" w:cs="宋体"/>
                <w:sz w:val="24"/>
              </w:rPr>
              <w:t>下颌骨骨折</w:t>
            </w:r>
          </w:p>
        </w:tc>
        <w:tc>
          <w:tcPr>
            <w:tcW w:w="1293" w:type="dxa"/>
            <w:tcBorders>
              <w:top w:val="nil"/>
              <w:left w:val="nil"/>
              <w:bottom w:val="single" w:color="auto" w:sz="8" w:space="0"/>
              <w:right w:val="single" w:color="auto" w:sz="8" w:space="0"/>
            </w:tcBorders>
            <w:vAlign w:val="center"/>
          </w:tcPr>
          <w:p w14:paraId="482CD1E1">
            <w:pPr>
              <w:jc w:val="center"/>
              <w:rPr>
                <w:rFonts w:ascii="宋体" w:hAnsi="宋体" w:cs="宋体"/>
                <w:sz w:val="24"/>
              </w:rPr>
            </w:pPr>
            <w:r>
              <w:rPr>
                <w:rFonts w:hint="eastAsia" w:ascii="宋体" w:hAnsi="宋体" w:cs="宋体"/>
                <w:sz w:val="24"/>
              </w:rPr>
              <w:t>20%</w:t>
            </w:r>
          </w:p>
        </w:tc>
      </w:tr>
      <w:tr w14:paraId="45DA5710">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single" w:color="auto" w:sz="4" w:space="0"/>
              <w:right w:val="single" w:color="auto" w:sz="8" w:space="0"/>
            </w:tcBorders>
            <w:vAlign w:val="center"/>
          </w:tcPr>
          <w:p w14:paraId="16753567">
            <w:pPr>
              <w:rPr>
                <w:rFonts w:ascii="宋体" w:hAnsi="宋体" w:cs="宋体"/>
                <w:sz w:val="24"/>
              </w:rPr>
            </w:pPr>
            <w:r>
              <w:rPr>
                <w:rFonts w:hint="eastAsia" w:ascii="宋体" w:hAnsi="宋体" w:cs="宋体"/>
                <w:sz w:val="24"/>
              </w:rPr>
              <w:t>头部骨折</w:t>
            </w:r>
          </w:p>
        </w:tc>
        <w:tc>
          <w:tcPr>
            <w:tcW w:w="5607" w:type="dxa"/>
            <w:tcBorders>
              <w:top w:val="nil"/>
              <w:left w:val="nil"/>
              <w:bottom w:val="single" w:color="auto" w:sz="8" w:space="0"/>
              <w:right w:val="single" w:color="auto" w:sz="8" w:space="0"/>
            </w:tcBorders>
            <w:vAlign w:val="center"/>
          </w:tcPr>
          <w:p w14:paraId="298E7DAC">
            <w:pPr>
              <w:rPr>
                <w:rFonts w:ascii="宋体" w:hAnsi="宋体" w:cs="宋体"/>
                <w:sz w:val="24"/>
              </w:rPr>
            </w:pPr>
            <w:r>
              <w:rPr>
                <w:rFonts w:hint="eastAsia" w:ascii="宋体" w:hAnsi="宋体" w:cs="宋体"/>
                <w:sz w:val="24"/>
              </w:rPr>
              <w:t>颧骨或上颌骨骨折</w:t>
            </w:r>
          </w:p>
        </w:tc>
        <w:tc>
          <w:tcPr>
            <w:tcW w:w="1293" w:type="dxa"/>
            <w:tcBorders>
              <w:top w:val="nil"/>
              <w:left w:val="nil"/>
              <w:bottom w:val="single" w:color="auto" w:sz="8" w:space="0"/>
              <w:right w:val="single" w:color="auto" w:sz="8" w:space="0"/>
            </w:tcBorders>
            <w:vAlign w:val="center"/>
          </w:tcPr>
          <w:p w14:paraId="5A77ED60">
            <w:pPr>
              <w:jc w:val="center"/>
              <w:rPr>
                <w:rFonts w:ascii="宋体" w:hAnsi="宋体" w:cs="宋体"/>
                <w:sz w:val="24"/>
              </w:rPr>
            </w:pPr>
            <w:r>
              <w:rPr>
                <w:rFonts w:hint="eastAsia" w:ascii="宋体" w:hAnsi="宋体" w:cs="宋体"/>
                <w:sz w:val="24"/>
              </w:rPr>
              <w:t>20%</w:t>
            </w:r>
          </w:p>
        </w:tc>
      </w:tr>
      <w:tr w14:paraId="31C00EBE">
        <w:tblPrEx>
          <w:tblCellMar>
            <w:top w:w="0" w:type="dxa"/>
            <w:left w:w="108" w:type="dxa"/>
            <w:bottom w:w="0" w:type="dxa"/>
            <w:right w:w="108" w:type="dxa"/>
          </w:tblCellMar>
        </w:tblPrEx>
        <w:trPr>
          <w:trHeight w:val="330" w:hRule="atLeast"/>
        </w:trPr>
        <w:tc>
          <w:tcPr>
            <w:tcW w:w="1848" w:type="dxa"/>
            <w:tcBorders>
              <w:top w:val="single" w:color="auto" w:sz="4" w:space="0"/>
              <w:left w:val="single" w:color="auto" w:sz="4" w:space="0"/>
              <w:bottom w:val="single" w:color="auto" w:sz="4" w:space="0"/>
              <w:right w:val="single" w:color="auto" w:sz="4" w:space="0"/>
            </w:tcBorders>
            <w:vAlign w:val="center"/>
          </w:tcPr>
          <w:p w14:paraId="644ADCD3">
            <w:pPr>
              <w:rPr>
                <w:rFonts w:ascii="宋体" w:hAnsi="宋体" w:cs="宋体"/>
                <w:sz w:val="24"/>
              </w:rPr>
            </w:pPr>
            <w:r>
              <w:rPr>
                <w:rFonts w:hint="eastAsia" w:ascii="宋体" w:hAnsi="宋体" w:cs="宋体"/>
                <w:sz w:val="24"/>
              </w:rPr>
              <w:t>头部骨折</w:t>
            </w:r>
          </w:p>
        </w:tc>
        <w:tc>
          <w:tcPr>
            <w:tcW w:w="5607" w:type="dxa"/>
            <w:tcBorders>
              <w:top w:val="nil"/>
              <w:left w:val="single" w:color="auto" w:sz="4" w:space="0"/>
              <w:bottom w:val="single" w:color="auto" w:sz="8" w:space="0"/>
              <w:right w:val="single" w:color="auto" w:sz="8" w:space="0"/>
            </w:tcBorders>
            <w:vAlign w:val="center"/>
          </w:tcPr>
          <w:p w14:paraId="27066697">
            <w:pPr>
              <w:rPr>
                <w:rFonts w:ascii="宋体" w:hAnsi="宋体" w:cs="宋体"/>
                <w:sz w:val="24"/>
              </w:rPr>
            </w:pPr>
            <w:r>
              <w:rPr>
                <w:rFonts w:hint="eastAsia" w:ascii="宋体" w:hAnsi="宋体" w:cs="宋体"/>
                <w:sz w:val="24"/>
              </w:rPr>
              <w:t>鼻骨骨折</w:t>
            </w:r>
          </w:p>
        </w:tc>
        <w:tc>
          <w:tcPr>
            <w:tcW w:w="1293" w:type="dxa"/>
            <w:tcBorders>
              <w:top w:val="nil"/>
              <w:left w:val="nil"/>
              <w:bottom w:val="single" w:color="auto" w:sz="8" w:space="0"/>
              <w:right w:val="single" w:color="auto" w:sz="8" w:space="0"/>
            </w:tcBorders>
            <w:vAlign w:val="center"/>
          </w:tcPr>
          <w:p w14:paraId="3B9A83D3">
            <w:pPr>
              <w:jc w:val="center"/>
              <w:rPr>
                <w:rFonts w:ascii="宋体" w:hAnsi="宋体" w:cs="宋体"/>
                <w:sz w:val="24"/>
              </w:rPr>
            </w:pPr>
            <w:r>
              <w:rPr>
                <w:rFonts w:hint="eastAsia" w:ascii="宋体" w:hAnsi="宋体" w:cs="宋体"/>
                <w:sz w:val="24"/>
              </w:rPr>
              <w:t>20%</w:t>
            </w:r>
          </w:p>
        </w:tc>
      </w:tr>
      <w:tr w14:paraId="40D43CE0">
        <w:tblPrEx>
          <w:tblCellMar>
            <w:top w:w="0" w:type="dxa"/>
            <w:left w:w="108" w:type="dxa"/>
            <w:bottom w:w="0" w:type="dxa"/>
            <w:right w:w="108" w:type="dxa"/>
          </w:tblCellMar>
        </w:tblPrEx>
        <w:trPr>
          <w:trHeight w:val="330" w:hRule="atLeast"/>
        </w:trPr>
        <w:tc>
          <w:tcPr>
            <w:tcW w:w="1848" w:type="dxa"/>
            <w:tcBorders>
              <w:top w:val="single" w:color="auto" w:sz="4" w:space="0"/>
              <w:left w:val="single" w:color="auto" w:sz="4" w:space="0"/>
              <w:bottom w:val="single" w:color="auto" w:sz="4" w:space="0"/>
              <w:right w:val="single" w:color="auto" w:sz="4" w:space="0"/>
            </w:tcBorders>
            <w:vAlign w:val="center"/>
          </w:tcPr>
          <w:p w14:paraId="300267BD">
            <w:pPr>
              <w:rPr>
                <w:rFonts w:ascii="宋体" w:hAnsi="宋体" w:cs="宋体"/>
                <w:sz w:val="24"/>
              </w:rPr>
            </w:pPr>
            <w:r>
              <w:rPr>
                <w:rFonts w:hint="eastAsia" w:ascii="宋体" w:hAnsi="宋体" w:cs="宋体"/>
                <w:sz w:val="24"/>
              </w:rPr>
              <w:t>躯干骨折</w:t>
            </w:r>
          </w:p>
        </w:tc>
        <w:tc>
          <w:tcPr>
            <w:tcW w:w="5607" w:type="dxa"/>
            <w:tcBorders>
              <w:top w:val="nil"/>
              <w:left w:val="single" w:color="auto" w:sz="4" w:space="0"/>
              <w:bottom w:val="single" w:color="auto" w:sz="8" w:space="0"/>
              <w:right w:val="single" w:color="auto" w:sz="8" w:space="0"/>
            </w:tcBorders>
            <w:vAlign w:val="center"/>
          </w:tcPr>
          <w:p w14:paraId="675299E5">
            <w:pPr>
              <w:rPr>
                <w:rFonts w:ascii="宋体" w:hAnsi="宋体" w:cs="宋体"/>
                <w:sz w:val="24"/>
              </w:rPr>
            </w:pPr>
            <w:r>
              <w:rPr>
                <w:rFonts w:hint="eastAsia" w:ascii="宋体" w:hAnsi="宋体" w:cs="宋体"/>
                <w:sz w:val="24"/>
              </w:rPr>
              <w:t>椎骨（注1）椎体压缩性骨折（注2）且棘突、横突或椎弓根骨折</w:t>
            </w:r>
          </w:p>
        </w:tc>
        <w:tc>
          <w:tcPr>
            <w:tcW w:w="1293" w:type="dxa"/>
            <w:tcBorders>
              <w:top w:val="nil"/>
              <w:left w:val="nil"/>
              <w:bottom w:val="single" w:color="auto" w:sz="8" w:space="0"/>
              <w:right w:val="single" w:color="auto" w:sz="8" w:space="0"/>
            </w:tcBorders>
            <w:vAlign w:val="center"/>
          </w:tcPr>
          <w:p w14:paraId="66E6D708">
            <w:pPr>
              <w:jc w:val="center"/>
              <w:rPr>
                <w:rFonts w:ascii="宋体" w:hAnsi="宋体" w:cs="宋体"/>
                <w:sz w:val="24"/>
              </w:rPr>
            </w:pPr>
            <w:r>
              <w:rPr>
                <w:rFonts w:hint="eastAsia" w:ascii="宋体" w:hAnsi="宋体" w:cs="宋体"/>
                <w:sz w:val="24"/>
              </w:rPr>
              <w:t>100%</w:t>
            </w:r>
          </w:p>
        </w:tc>
      </w:tr>
      <w:tr w14:paraId="7613D8AF">
        <w:tblPrEx>
          <w:tblCellMar>
            <w:top w:w="0" w:type="dxa"/>
            <w:left w:w="108" w:type="dxa"/>
            <w:bottom w:w="0" w:type="dxa"/>
            <w:right w:w="108" w:type="dxa"/>
          </w:tblCellMar>
        </w:tblPrEx>
        <w:trPr>
          <w:trHeight w:val="330" w:hRule="atLeast"/>
        </w:trPr>
        <w:tc>
          <w:tcPr>
            <w:tcW w:w="1848" w:type="dxa"/>
            <w:tcBorders>
              <w:top w:val="single" w:color="auto" w:sz="4" w:space="0"/>
              <w:left w:val="single" w:color="auto" w:sz="8" w:space="0"/>
              <w:bottom w:val="single" w:color="auto" w:sz="8" w:space="0"/>
              <w:right w:val="single" w:color="auto" w:sz="8" w:space="0"/>
            </w:tcBorders>
            <w:vAlign w:val="center"/>
          </w:tcPr>
          <w:p w14:paraId="29303797">
            <w:pPr>
              <w:rPr>
                <w:rFonts w:ascii="宋体" w:hAnsi="宋体" w:cs="宋体"/>
                <w:sz w:val="24"/>
              </w:rPr>
            </w:pPr>
            <w:r>
              <w:rPr>
                <w:rFonts w:hint="eastAsia" w:ascii="宋体" w:hAnsi="宋体" w:cs="宋体"/>
                <w:sz w:val="24"/>
              </w:rPr>
              <w:t>躯干骨折</w:t>
            </w:r>
          </w:p>
        </w:tc>
        <w:tc>
          <w:tcPr>
            <w:tcW w:w="5607" w:type="dxa"/>
            <w:tcBorders>
              <w:top w:val="nil"/>
              <w:left w:val="nil"/>
              <w:bottom w:val="single" w:color="auto" w:sz="8" w:space="0"/>
              <w:right w:val="single" w:color="auto" w:sz="8" w:space="0"/>
            </w:tcBorders>
            <w:vAlign w:val="center"/>
          </w:tcPr>
          <w:p w14:paraId="39D16A02">
            <w:pPr>
              <w:rPr>
                <w:rFonts w:ascii="宋体" w:hAnsi="宋体" w:cs="宋体"/>
                <w:sz w:val="24"/>
              </w:rPr>
            </w:pPr>
            <w:r>
              <w:rPr>
                <w:rFonts w:hint="eastAsia" w:ascii="宋体" w:hAnsi="宋体" w:cs="宋体"/>
                <w:sz w:val="24"/>
              </w:rPr>
              <w:t>椎骨椎体压缩性骨折或棘突、横突或椎弓根骨折</w:t>
            </w:r>
          </w:p>
        </w:tc>
        <w:tc>
          <w:tcPr>
            <w:tcW w:w="1293" w:type="dxa"/>
            <w:tcBorders>
              <w:top w:val="nil"/>
              <w:left w:val="nil"/>
              <w:bottom w:val="single" w:color="auto" w:sz="8" w:space="0"/>
              <w:right w:val="single" w:color="auto" w:sz="8" w:space="0"/>
            </w:tcBorders>
            <w:vAlign w:val="center"/>
          </w:tcPr>
          <w:p w14:paraId="31DC9383">
            <w:pPr>
              <w:jc w:val="center"/>
              <w:rPr>
                <w:rFonts w:ascii="宋体" w:hAnsi="宋体" w:cs="宋体"/>
                <w:sz w:val="24"/>
              </w:rPr>
            </w:pPr>
            <w:r>
              <w:rPr>
                <w:rFonts w:hint="eastAsia" w:ascii="宋体" w:hAnsi="宋体" w:cs="宋体"/>
                <w:sz w:val="24"/>
              </w:rPr>
              <w:t>80%</w:t>
            </w:r>
          </w:p>
        </w:tc>
      </w:tr>
      <w:tr w14:paraId="7DBFEE66">
        <w:tblPrEx>
          <w:tblCellMar>
            <w:top w:w="0" w:type="dxa"/>
            <w:left w:w="108" w:type="dxa"/>
            <w:bottom w:w="0" w:type="dxa"/>
            <w:right w:w="108" w:type="dxa"/>
          </w:tblCellMar>
        </w:tblPrEx>
        <w:trPr>
          <w:trHeight w:val="330" w:hRule="atLeast"/>
        </w:trPr>
        <w:tc>
          <w:tcPr>
            <w:tcW w:w="1848" w:type="dxa"/>
            <w:tcBorders>
              <w:top w:val="nil"/>
              <w:left w:val="single" w:color="auto" w:sz="8" w:space="0"/>
              <w:bottom w:val="nil"/>
              <w:right w:val="single" w:color="auto" w:sz="8" w:space="0"/>
            </w:tcBorders>
            <w:vAlign w:val="center"/>
          </w:tcPr>
          <w:p w14:paraId="726CB871">
            <w:pPr>
              <w:rPr>
                <w:rFonts w:ascii="宋体" w:hAnsi="宋体" w:cs="宋体"/>
                <w:sz w:val="24"/>
              </w:rPr>
            </w:pPr>
            <w:r>
              <w:rPr>
                <w:rFonts w:hint="eastAsia" w:ascii="宋体" w:hAnsi="宋体" w:cs="宋体"/>
                <w:sz w:val="24"/>
              </w:rPr>
              <w:t>躯干骨折</w:t>
            </w:r>
          </w:p>
        </w:tc>
        <w:tc>
          <w:tcPr>
            <w:tcW w:w="5607" w:type="dxa"/>
            <w:tcBorders>
              <w:top w:val="nil"/>
              <w:left w:val="nil"/>
              <w:bottom w:val="single" w:color="auto" w:sz="8" w:space="0"/>
              <w:right w:val="single" w:color="auto" w:sz="8" w:space="0"/>
            </w:tcBorders>
            <w:vAlign w:val="center"/>
          </w:tcPr>
          <w:p w14:paraId="4FECC574">
            <w:pPr>
              <w:rPr>
                <w:rFonts w:ascii="宋体" w:hAnsi="宋体" w:cs="宋体"/>
                <w:sz w:val="24"/>
              </w:rPr>
            </w:pPr>
            <w:r>
              <w:rPr>
                <w:rFonts w:hint="eastAsia" w:ascii="宋体" w:hAnsi="宋体" w:cs="宋体"/>
                <w:sz w:val="24"/>
              </w:rPr>
              <w:t>骨盆骨折（包括骶、髂、耻、坐骨骨折，但不包括尾骨骨折）</w:t>
            </w:r>
          </w:p>
        </w:tc>
        <w:tc>
          <w:tcPr>
            <w:tcW w:w="1293" w:type="dxa"/>
            <w:tcBorders>
              <w:top w:val="nil"/>
              <w:left w:val="nil"/>
              <w:bottom w:val="single" w:color="auto" w:sz="8" w:space="0"/>
              <w:right w:val="single" w:color="auto" w:sz="8" w:space="0"/>
            </w:tcBorders>
            <w:vAlign w:val="center"/>
          </w:tcPr>
          <w:p w14:paraId="495FDD77">
            <w:pPr>
              <w:jc w:val="center"/>
              <w:rPr>
                <w:rFonts w:ascii="宋体" w:hAnsi="宋体" w:cs="宋体"/>
                <w:sz w:val="24"/>
              </w:rPr>
            </w:pPr>
            <w:r>
              <w:rPr>
                <w:rFonts w:hint="eastAsia" w:ascii="宋体" w:hAnsi="宋体" w:cs="宋体"/>
                <w:sz w:val="24"/>
              </w:rPr>
              <w:t>80%</w:t>
            </w:r>
          </w:p>
        </w:tc>
      </w:tr>
      <w:tr w14:paraId="5956F6AF">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4729CCE5">
            <w:pPr>
              <w:rPr>
                <w:rFonts w:ascii="宋体" w:hAnsi="宋体" w:cs="宋体"/>
                <w:sz w:val="24"/>
              </w:rPr>
            </w:pPr>
            <w:r>
              <w:rPr>
                <w:rFonts w:hint="eastAsia" w:ascii="宋体" w:hAnsi="宋体" w:cs="宋体"/>
                <w:sz w:val="24"/>
              </w:rPr>
              <w:t>躯干骨折</w:t>
            </w:r>
          </w:p>
        </w:tc>
        <w:tc>
          <w:tcPr>
            <w:tcW w:w="5607" w:type="dxa"/>
            <w:tcBorders>
              <w:top w:val="nil"/>
              <w:left w:val="nil"/>
              <w:bottom w:val="single" w:color="auto" w:sz="8" w:space="0"/>
              <w:right w:val="single" w:color="auto" w:sz="8" w:space="0"/>
            </w:tcBorders>
            <w:vAlign w:val="center"/>
          </w:tcPr>
          <w:p w14:paraId="29A64130">
            <w:pPr>
              <w:rPr>
                <w:rFonts w:ascii="宋体" w:hAnsi="宋体" w:cs="宋体"/>
                <w:sz w:val="24"/>
              </w:rPr>
            </w:pPr>
            <w:r>
              <w:rPr>
                <w:rFonts w:hint="eastAsia" w:ascii="宋体" w:hAnsi="宋体" w:cs="宋体"/>
                <w:sz w:val="24"/>
              </w:rPr>
              <w:t>肩胛骨骨折</w:t>
            </w:r>
          </w:p>
        </w:tc>
        <w:tc>
          <w:tcPr>
            <w:tcW w:w="1293" w:type="dxa"/>
            <w:tcBorders>
              <w:top w:val="nil"/>
              <w:left w:val="nil"/>
              <w:bottom w:val="single" w:color="auto" w:sz="8" w:space="0"/>
              <w:right w:val="single" w:color="auto" w:sz="8" w:space="0"/>
            </w:tcBorders>
            <w:vAlign w:val="center"/>
          </w:tcPr>
          <w:p w14:paraId="6A1F99AA">
            <w:pPr>
              <w:jc w:val="center"/>
              <w:rPr>
                <w:rFonts w:ascii="宋体" w:hAnsi="宋体" w:cs="宋体"/>
                <w:sz w:val="24"/>
              </w:rPr>
            </w:pPr>
            <w:r>
              <w:rPr>
                <w:rFonts w:hint="eastAsia" w:ascii="宋体" w:hAnsi="宋体" w:cs="宋体"/>
                <w:sz w:val="24"/>
              </w:rPr>
              <w:t>40%</w:t>
            </w:r>
          </w:p>
        </w:tc>
      </w:tr>
      <w:tr w14:paraId="1D9ECBDA">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78426EF0">
            <w:pPr>
              <w:rPr>
                <w:rFonts w:ascii="宋体" w:hAnsi="宋体" w:cs="宋体"/>
                <w:sz w:val="24"/>
              </w:rPr>
            </w:pPr>
            <w:r>
              <w:rPr>
                <w:rFonts w:hint="eastAsia" w:ascii="宋体" w:hAnsi="宋体" w:cs="宋体"/>
                <w:sz w:val="24"/>
              </w:rPr>
              <w:t>躯干骨折</w:t>
            </w:r>
          </w:p>
        </w:tc>
        <w:tc>
          <w:tcPr>
            <w:tcW w:w="5607" w:type="dxa"/>
            <w:tcBorders>
              <w:top w:val="nil"/>
              <w:left w:val="nil"/>
              <w:bottom w:val="single" w:color="auto" w:sz="8" w:space="0"/>
              <w:right w:val="single" w:color="auto" w:sz="8" w:space="0"/>
            </w:tcBorders>
            <w:vAlign w:val="center"/>
          </w:tcPr>
          <w:p w14:paraId="27A6E573">
            <w:pPr>
              <w:rPr>
                <w:rFonts w:ascii="宋体" w:hAnsi="宋体" w:cs="宋体"/>
                <w:sz w:val="24"/>
              </w:rPr>
            </w:pPr>
            <w:r>
              <w:rPr>
                <w:rFonts w:hint="eastAsia" w:ascii="宋体" w:hAnsi="宋体" w:cs="宋体"/>
                <w:sz w:val="24"/>
              </w:rPr>
              <w:t>肋骨(含多根肋骨多处骨折)骨折</w:t>
            </w:r>
          </w:p>
        </w:tc>
        <w:tc>
          <w:tcPr>
            <w:tcW w:w="1293" w:type="dxa"/>
            <w:tcBorders>
              <w:top w:val="nil"/>
              <w:left w:val="nil"/>
              <w:bottom w:val="single" w:color="auto" w:sz="8" w:space="0"/>
              <w:right w:val="single" w:color="auto" w:sz="8" w:space="0"/>
            </w:tcBorders>
            <w:vAlign w:val="center"/>
          </w:tcPr>
          <w:p w14:paraId="48BD34C9">
            <w:pPr>
              <w:jc w:val="center"/>
              <w:rPr>
                <w:rFonts w:ascii="宋体" w:hAnsi="宋体" w:cs="宋体"/>
                <w:sz w:val="24"/>
              </w:rPr>
            </w:pPr>
            <w:r>
              <w:rPr>
                <w:rFonts w:hint="eastAsia" w:ascii="宋体" w:hAnsi="宋体" w:cs="宋体"/>
                <w:sz w:val="24"/>
              </w:rPr>
              <w:t>40%</w:t>
            </w:r>
          </w:p>
        </w:tc>
      </w:tr>
      <w:tr w14:paraId="02C9E94A">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6FFF32F3">
            <w:pPr>
              <w:rPr>
                <w:rFonts w:ascii="宋体" w:hAnsi="宋体" w:cs="宋体"/>
                <w:sz w:val="24"/>
              </w:rPr>
            </w:pPr>
            <w:r>
              <w:rPr>
                <w:rFonts w:hint="eastAsia" w:ascii="宋体" w:hAnsi="宋体" w:cs="宋体"/>
                <w:sz w:val="24"/>
              </w:rPr>
              <w:t>躯干骨折</w:t>
            </w:r>
          </w:p>
        </w:tc>
        <w:tc>
          <w:tcPr>
            <w:tcW w:w="5607" w:type="dxa"/>
            <w:tcBorders>
              <w:top w:val="nil"/>
              <w:left w:val="nil"/>
              <w:bottom w:val="single" w:color="auto" w:sz="8" w:space="0"/>
              <w:right w:val="single" w:color="auto" w:sz="8" w:space="0"/>
            </w:tcBorders>
            <w:vAlign w:val="center"/>
          </w:tcPr>
          <w:p w14:paraId="2C527C6E">
            <w:pPr>
              <w:rPr>
                <w:rFonts w:ascii="宋体" w:hAnsi="宋体" w:cs="宋体"/>
                <w:sz w:val="24"/>
              </w:rPr>
            </w:pPr>
            <w:r>
              <w:rPr>
                <w:rFonts w:hint="eastAsia" w:ascii="宋体" w:hAnsi="宋体" w:cs="宋体"/>
                <w:sz w:val="24"/>
              </w:rPr>
              <w:t>胸骨骨折</w:t>
            </w:r>
          </w:p>
        </w:tc>
        <w:tc>
          <w:tcPr>
            <w:tcW w:w="1293" w:type="dxa"/>
            <w:tcBorders>
              <w:top w:val="nil"/>
              <w:left w:val="nil"/>
              <w:bottom w:val="single" w:color="auto" w:sz="8" w:space="0"/>
              <w:right w:val="single" w:color="auto" w:sz="8" w:space="0"/>
            </w:tcBorders>
            <w:vAlign w:val="center"/>
          </w:tcPr>
          <w:p w14:paraId="737C4E04">
            <w:pPr>
              <w:jc w:val="center"/>
              <w:rPr>
                <w:rFonts w:ascii="宋体" w:hAnsi="宋体" w:cs="宋体"/>
                <w:sz w:val="24"/>
              </w:rPr>
            </w:pPr>
            <w:r>
              <w:rPr>
                <w:rFonts w:hint="eastAsia" w:ascii="宋体" w:hAnsi="宋体" w:cs="宋体"/>
                <w:sz w:val="24"/>
              </w:rPr>
              <w:t>40%</w:t>
            </w:r>
          </w:p>
        </w:tc>
      </w:tr>
      <w:tr w14:paraId="06412532">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single" w:color="auto" w:sz="8" w:space="0"/>
              <w:right w:val="single" w:color="auto" w:sz="8" w:space="0"/>
            </w:tcBorders>
            <w:vAlign w:val="center"/>
          </w:tcPr>
          <w:p w14:paraId="17077CD9">
            <w:pPr>
              <w:rPr>
                <w:rFonts w:ascii="宋体" w:hAnsi="宋体" w:cs="宋体"/>
                <w:sz w:val="24"/>
              </w:rPr>
            </w:pPr>
            <w:r>
              <w:rPr>
                <w:rFonts w:hint="eastAsia" w:ascii="宋体" w:hAnsi="宋体" w:cs="宋体"/>
                <w:sz w:val="24"/>
              </w:rPr>
              <w:t>躯干骨折</w:t>
            </w:r>
          </w:p>
        </w:tc>
        <w:tc>
          <w:tcPr>
            <w:tcW w:w="5607" w:type="dxa"/>
            <w:tcBorders>
              <w:top w:val="nil"/>
              <w:left w:val="nil"/>
              <w:bottom w:val="single" w:color="auto" w:sz="8" w:space="0"/>
              <w:right w:val="single" w:color="auto" w:sz="8" w:space="0"/>
            </w:tcBorders>
            <w:vAlign w:val="center"/>
          </w:tcPr>
          <w:p w14:paraId="154D56D2">
            <w:pPr>
              <w:rPr>
                <w:rFonts w:ascii="宋体" w:hAnsi="宋体" w:cs="宋体"/>
                <w:sz w:val="24"/>
              </w:rPr>
            </w:pPr>
            <w:r>
              <w:rPr>
                <w:rFonts w:hint="eastAsia" w:ascii="宋体" w:hAnsi="宋体" w:cs="宋体"/>
                <w:sz w:val="24"/>
              </w:rPr>
              <w:t>锁骨骨折</w:t>
            </w:r>
          </w:p>
        </w:tc>
        <w:tc>
          <w:tcPr>
            <w:tcW w:w="1293" w:type="dxa"/>
            <w:tcBorders>
              <w:top w:val="nil"/>
              <w:left w:val="nil"/>
              <w:bottom w:val="single" w:color="auto" w:sz="8" w:space="0"/>
              <w:right w:val="single" w:color="auto" w:sz="8" w:space="0"/>
            </w:tcBorders>
            <w:vAlign w:val="center"/>
          </w:tcPr>
          <w:p w14:paraId="5308736E">
            <w:pPr>
              <w:jc w:val="center"/>
              <w:rPr>
                <w:rFonts w:ascii="宋体" w:hAnsi="宋体" w:cs="宋体"/>
                <w:sz w:val="24"/>
              </w:rPr>
            </w:pPr>
            <w:r>
              <w:rPr>
                <w:rFonts w:hint="eastAsia" w:ascii="宋体" w:hAnsi="宋体" w:cs="宋体"/>
                <w:sz w:val="24"/>
              </w:rPr>
              <w:t>40%</w:t>
            </w:r>
          </w:p>
        </w:tc>
      </w:tr>
      <w:tr w14:paraId="0C918664">
        <w:tblPrEx>
          <w:tblCellMar>
            <w:top w:w="0" w:type="dxa"/>
            <w:left w:w="108" w:type="dxa"/>
            <w:bottom w:w="0" w:type="dxa"/>
            <w:right w:w="108" w:type="dxa"/>
          </w:tblCellMar>
        </w:tblPrEx>
        <w:trPr>
          <w:trHeight w:val="330" w:hRule="atLeast"/>
        </w:trPr>
        <w:tc>
          <w:tcPr>
            <w:tcW w:w="1848" w:type="dxa"/>
            <w:tcBorders>
              <w:top w:val="nil"/>
              <w:left w:val="single" w:color="auto" w:sz="8" w:space="0"/>
              <w:bottom w:val="single" w:color="auto" w:sz="8" w:space="0"/>
              <w:right w:val="single" w:color="auto" w:sz="8" w:space="0"/>
            </w:tcBorders>
            <w:vAlign w:val="center"/>
          </w:tcPr>
          <w:p w14:paraId="0C3CA7AA">
            <w:pPr>
              <w:rPr>
                <w:rFonts w:ascii="宋体" w:hAnsi="宋体" w:cs="宋体"/>
                <w:sz w:val="24"/>
              </w:rPr>
            </w:pPr>
            <w:r>
              <w:rPr>
                <w:rFonts w:hint="eastAsia" w:ascii="宋体" w:hAnsi="宋体" w:cs="宋体"/>
                <w:sz w:val="24"/>
              </w:rPr>
              <w:t>躯干骨折</w:t>
            </w:r>
          </w:p>
        </w:tc>
        <w:tc>
          <w:tcPr>
            <w:tcW w:w="5607" w:type="dxa"/>
            <w:tcBorders>
              <w:top w:val="nil"/>
              <w:left w:val="nil"/>
              <w:bottom w:val="single" w:color="auto" w:sz="8" w:space="0"/>
              <w:right w:val="single" w:color="auto" w:sz="8" w:space="0"/>
            </w:tcBorders>
            <w:vAlign w:val="center"/>
          </w:tcPr>
          <w:p w14:paraId="0DF8D697">
            <w:pPr>
              <w:rPr>
                <w:rFonts w:ascii="宋体" w:hAnsi="宋体" w:cs="宋体"/>
                <w:sz w:val="24"/>
              </w:rPr>
            </w:pPr>
            <w:r>
              <w:rPr>
                <w:rFonts w:hint="eastAsia" w:ascii="宋体" w:hAnsi="宋体" w:cs="宋体"/>
                <w:sz w:val="24"/>
              </w:rPr>
              <w:t>尾骨骨折</w:t>
            </w:r>
          </w:p>
        </w:tc>
        <w:tc>
          <w:tcPr>
            <w:tcW w:w="1293" w:type="dxa"/>
            <w:tcBorders>
              <w:top w:val="nil"/>
              <w:left w:val="nil"/>
              <w:bottom w:val="single" w:color="auto" w:sz="8" w:space="0"/>
              <w:right w:val="single" w:color="auto" w:sz="8" w:space="0"/>
            </w:tcBorders>
            <w:vAlign w:val="center"/>
          </w:tcPr>
          <w:p w14:paraId="1E4D0A51">
            <w:pPr>
              <w:jc w:val="center"/>
              <w:rPr>
                <w:rFonts w:ascii="宋体" w:hAnsi="宋体" w:cs="宋体"/>
                <w:sz w:val="24"/>
              </w:rPr>
            </w:pPr>
            <w:r>
              <w:rPr>
                <w:rFonts w:hint="eastAsia" w:ascii="宋体" w:hAnsi="宋体" w:cs="宋体"/>
                <w:sz w:val="24"/>
              </w:rPr>
              <w:t>20%</w:t>
            </w:r>
          </w:p>
        </w:tc>
      </w:tr>
      <w:tr w14:paraId="4C3462B5">
        <w:tblPrEx>
          <w:tblCellMar>
            <w:top w:w="0" w:type="dxa"/>
            <w:left w:w="108" w:type="dxa"/>
            <w:bottom w:w="0" w:type="dxa"/>
            <w:right w:w="108" w:type="dxa"/>
          </w:tblCellMar>
        </w:tblPrEx>
        <w:trPr>
          <w:trHeight w:val="330" w:hRule="atLeast"/>
        </w:trPr>
        <w:tc>
          <w:tcPr>
            <w:tcW w:w="1848" w:type="dxa"/>
            <w:tcBorders>
              <w:top w:val="nil"/>
              <w:left w:val="single" w:color="auto" w:sz="8" w:space="0"/>
              <w:bottom w:val="nil"/>
              <w:right w:val="single" w:color="auto" w:sz="8" w:space="0"/>
            </w:tcBorders>
            <w:vAlign w:val="center"/>
          </w:tcPr>
          <w:p w14:paraId="45DD7050">
            <w:pPr>
              <w:rPr>
                <w:rFonts w:ascii="宋体" w:hAnsi="宋体" w:cs="宋体"/>
                <w:sz w:val="24"/>
              </w:rPr>
            </w:pPr>
            <w:r>
              <w:rPr>
                <w:rFonts w:hint="eastAsia" w:ascii="宋体" w:hAnsi="宋体" w:cs="宋体"/>
                <w:sz w:val="24"/>
              </w:rPr>
              <w:t>上肢骨折</w:t>
            </w:r>
          </w:p>
        </w:tc>
        <w:tc>
          <w:tcPr>
            <w:tcW w:w="5607" w:type="dxa"/>
            <w:tcBorders>
              <w:top w:val="nil"/>
              <w:left w:val="nil"/>
              <w:bottom w:val="single" w:color="auto" w:sz="8" w:space="0"/>
              <w:right w:val="single" w:color="auto" w:sz="8" w:space="0"/>
            </w:tcBorders>
            <w:vAlign w:val="center"/>
          </w:tcPr>
          <w:p w14:paraId="5B2A7990">
            <w:pPr>
              <w:rPr>
                <w:rFonts w:ascii="宋体" w:hAnsi="宋体" w:cs="宋体"/>
                <w:sz w:val="24"/>
              </w:rPr>
            </w:pPr>
            <w:r>
              <w:rPr>
                <w:rFonts w:hint="eastAsia" w:ascii="宋体" w:hAnsi="宋体" w:cs="宋体"/>
                <w:sz w:val="24"/>
              </w:rPr>
              <w:t>肱骨骨折</w:t>
            </w:r>
          </w:p>
        </w:tc>
        <w:tc>
          <w:tcPr>
            <w:tcW w:w="1293" w:type="dxa"/>
            <w:tcBorders>
              <w:top w:val="nil"/>
              <w:left w:val="nil"/>
              <w:bottom w:val="single" w:color="auto" w:sz="8" w:space="0"/>
              <w:right w:val="single" w:color="auto" w:sz="8" w:space="0"/>
            </w:tcBorders>
            <w:vAlign w:val="center"/>
          </w:tcPr>
          <w:p w14:paraId="0786749D">
            <w:pPr>
              <w:jc w:val="center"/>
              <w:rPr>
                <w:rFonts w:ascii="宋体" w:hAnsi="宋体" w:cs="宋体"/>
                <w:sz w:val="24"/>
              </w:rPr>
            </w:pPr>
            <w:r>
              <w:rPr>
                <w:rFonts w:hint="eastAsia" w:ascii="宋体" w:hAnsi="宋体" w:cs="宋体"/>
                <w:sz w:val="24"/>
              </w:rPr>
              <w:t>80%</w:t>
            </w:r>
          </w:p>
        </w:tc>
      </w:tr>
      <w:tr w14:paraId="362B4950">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10BB9206">
            <w:pPr>
              <w:rPr>
                <w:rFonts w:ascii="宋体" w:hAnsi="宋体" w:cs="宋体"/>
                <w:sz w:val="24"/>
              </w:rPr>
            </w:pPr>
            <w:r>
              <w:rPr>
                <w:rFonts w:hint="eastAsia" w:ascii="宋体" w:hAnsi="宋体" w:cs="宋体"/>
                <w:sz w:val="24"/>
              </w:rPr>
              <w:t>上肢骨折</w:t>
            </w:r>
          </w:p>
        </w:tc>
        <w:tc>
          <w:tcPr>
            <w:tcW w:w="5607" w:type="dxa"/>
            <w:tcBorders>
              <w:top w:val="nil"/>
              <w:left w:val="nil"/>
              <w:bottom w:val="single" w:color="auto" w:sz="8" w:space="0"/>
              <w:right w:val="single" w:color="auto" w:sz="8" w:space="0"/>
            </w:tcBorders>
            <w:vAlign w:val="center"/>
          </w:tcPr>
          <w:p w14:paraId="06DDA29C">
            <w:pPr>
              <w:rPr>
                <w:rFonts w:ascii="宋体" w:hAnsi="宋体" w:cs="宋体"/>
                <w:sz w:val="24"/>
              </w:rPr>
            </w:pPr>
            <w:r>
              <w:rPr>
                <w:rFonts w:hint="eastAsia" w:ascii="宋体" w:hAnsi="宋体" w:cs="宋体"/>
                <w:sz w:val="24"/>
              </w:rPr>
              <w:t>桡尺骨双骨折</w:t>
            </w:r>
          </w:p>
        </w:tc>
        <w:tc>
          <w:tcPr>
            <w:tcW w:w="1293" w:type="dxa"/>
            <w:tcBorders>
              <w:top w:val="nil"/>
              <w:left w:val="nil"/>
              <w:bottom w:val="single" w:color="auto" w:sz="8" w:space="0"/>
              <w:right w:val="single" w:color="auto" w:sz="8" w:space="0"/>
            </w:tcBorders>
            <w:vAlign w:val="center"/>
          </w:tcPr>
          <w:p w14:paraId="7FB3F783">
            <w:pPr>
              <w:jc w:val="center"/>
              <w:rPr>
                <w:rFonts w:ascii="宋体" w:hAnsi="宋体" w:cs="宋体"/>
                <w:sz w:val="24"/>
              </w:rPr>
            </w:pPr>
            <w:r>
              <w:rPr>
                <w:rFonts w:hint="eastAsia" w:ascii="宋体" w:hAnsi="宋体" w:cs="宋体"/>
                <w:sz w:val="24"/>
              </w:rPr>
              <w:t>80%</w:t>
            </w:r>
          </w:p>
        </w:tc>
      </w:tr>
      <w:tr w14:paraId="1AE251B2">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35A84B1E">
            <w:pPr>
              <w:rPr>
                <w:rFonts w:ascii="宋体" w:hAnsi="宋体" w:cs="宋体"/>
                <w:sz w:val="24"/>
              </w:rPr>
            </w:pPr>
            <w:r>
              <w:rPr>
                <w:rFonts w:hint="eastAsia" w:ascii="宋体" w:hAnsi="宋体" w:cs="宋体"/>
                <w:sz w:val="24"/>
              </w:rPr>
              <w:t>上肢骨折</w:t>
            </w:r>
          </w:p>
        </w:tc>
        <w:tc>
          <w:tcPr>
            <w:tcW w:w="5607" w:type="dxa"/>
            <w:tcBorders>
              <w:top w:val="nil"/>
              <w:left w:val="nil"/>
              <w:bottom w:val="single" w:color="auto" w:sz="8" w:space="0"/>
              <w:right w:val="single" w:color="auto" w:sz="8" w:space="0"/>
            </w:tcBorders>
            <w:vAlign w:val="center"/>
          </w:tcPr>
          <w:p w14:paraId="14569B90">
            <w:pPr>
              <w:rPr>
                <w:rFonts w:ascii="宋体" w:hAnsi="宋体" w:cs="宋体"/>
                <w:sz w:val="24"/>
              </w:rPr>
            </w:pPr>
            <w:r>
              <w:rPr>
                <w:rFonts w:hint="eastAsia" w:ascii="宋体" w:hAnsi="宋体" w:cs="宋体"/>
                <w:sz w:val="24"/>
              </w:rPr>
              <w:t>桡骨或尺骨骨折</w:t>
            </w:r>
          </w:p>
        </w:tc>
        <w:tc>
          <w:tcPr>
            <w:tcW w:w="1293" w:type="dxa"/>
            <w:tcBorders>
              <w:top w:val="nil"/>
              <w:left w:val="nil"/>
              <w:bottom w:val="single" w:color="auto" w:sz="8" w:space="0"/>
              <w:right w:val="single" w:color="auto" w:sz="8" w:space="0"/>
            </w:tcBorders>
            <w:vAlign w:val="center"/>
          </w:tcPr>
          <w:p w14:paraId="599A98BC">
            <w:pPr>
              <w:jc w:val="center"/>
              <w:rPr>
                <w:rFonts w:ascii="宋体" w:hAnsi="宋体" w:cs="宋体"/>
                <w:sz w:val="24"/>
              </w:rPr>
            </w:pPr>
            <w:r>
              <w:rPr>
                <w:rFonts w:hint="eastAsia" w:ascii="宋体" w:hAnsi="宋体" w:cs="宋体"/>
                <w:sz w:val="24"/>
              </w:rPr>
              <w:t>60%</w:t>
            </w:r>
          </w:p>
        </w:tc>
      </w:tr>
      <w:tr w14:paraId="79EA7165">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7764D4A1">
            <w:pPr>
              <w:rPr>
                <w:rFonts w:ascii="宋体" w:hAnsi="宋体" w:cs="宋体"/>
                <w:sz w:val="24"/>
              </w:rPr>
            </w:pPr>
            <w:r>
              <w:rPr>
                <w:rFonts w:hint="eastAsia" w:ascii="宋体" w:hAnsi="宋体" w:cs="宋体"/>
                <w:sz w:val="24"/>
              </w:rPr>
              <w:t>上肢骨折</w:t>
            </w:r>
          </w:p>
        </w:tc>
        <w:tc>
          <w:tcPr>
            <w:tcW w:w="5607" w:type="dxa"/>
            <w:tcBorders>
              <w:top w:val="nil"/>
              <w:left w:val="nil"/>
              <w:bottom w:val="single" w:color="auto" w:sz="8" w:space="0"/>
              <w:right w:val="single" w:color="auto" w:sz="8" w:space="0"/>
            </w:tcBorders>
            <w:vAlign w:val="center"/>
          </w:tcPr>
          <w:p w14:paraId="723E22D1">
            <w:pPr>
              <w:rPr>
                <w:rFonts w:ascii="宋体" w:hAnsi="宋体" w:cs="宋体"/>
                <w:sz w:val="24"/>
              </w:rPr>
            </w:pPr>
            <w:r>
              <w:rPr>
                <w:rFonts w:hint="eastAsia" w:ascii="宋体" w:hAnsi="宋体" w:cs="宋体"/>
                <w:sz w:val="24"/>
              </w:rPr>
              <w:t>腕骨骨折</w:t>
            </w:r>
          </w:p>
        </w:tc>
        <w:tc>
          <w:tcPr>
            <w:tcW w:w="1293" w:type="dxa"/>
            <w:tcBorders>
              <w:top w:val="nil"/>
              <w:left w:val="nil"/>
              <w:bottom w:val="single" w:color="auto" w:sz="8" w:space="0"/>
              <w:right w:val="single" w:color="auto" w:sz="8" w:space="0"/>
            </w:tcBorders>
            <w:vAlign w:val="center"/>
          </w:tcPr>
          <w:p w14:paraId="54CA8F5B">
            <w:pPr>
              <w:jc w:val="center"/>
              <w:rPr>
                <w:rFonts w:ascii="宋体" w:hAnsi="宋体" w:cs="宋体"/>
                <w:sz w:val="24"/>
              </w:rPr>
            </w:pPr>
            <w:r>
              <w:rPr>
                <w:rFonts w:hint="eastAsia" w:ascii="宋体" w:hAnsi="宋体" w:cs="宋体"/>
                <w:sz w:val="24"/>
              </w:rPr>
              <w:t>20%</w:t>
            </w:r>
          </w:p>
        </w:tc>
      </w:tr>
      <w:tr w14:paraId="5C9CDAA2">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320D19A4">
            <w:pPr>
              <w:rPr>
                <w:rFonts w:ascii="宋体" w:hAnsi="宋体" w:cs="宋体"/>
                <w:sz w:val="24"/>
              </w:rPr>
            </w:pPr>
            <w:r>
              <w:rPr>
                <w:rFonts w:hint="eastAsia" w:ascii="宋体" w:hAnsi="宋体" w:cs="宋体"/>
                <w:sz w:val="24"/>
              </w:rPr>
              <w:t>上肢骨折</w:t>
            </w:r>
          </w:p>
        </w:tc>
        <w:tc>
          <w:tcPr>
            <w:tcW w:w="5607" w:type="dxa"/>
            <w:tcBorders>
              <w:top w:val="nil"/>
              <w:left w:val="nil"/>
              <w:bottom w:val="single" w:color="auto" w:sz="8" w:space="0"/>
              <w:right w:val="single" w:color="auto" w:sz="8" w:space="0"/>
            </w:tcBorders>
            <w:vAlign w:val="center"/>
          </w:tcPr>
          <w:p w14:paraId="3B9D7C6C">
            <w:pPr>
              <w:rPr>
                <w:rFonts w:ascii="宋体" w:hAnsi="宋体" w:cs="宋体"/>
                <w:sz w:val="24"/>
              </w:rPr>
            </w:pPr>
            <w:r>
              <w:rPr>
                <w:rFonts w:hint="eastAsia" w:ascii="宋体" w:hAnsi="宋体" w:cs="宋体"/>
                <w:sz w:val="24"/>
              </w:rPr>
              <w:t>掌骨或指骨骨折</w:t>
            </w:r>
          </w:p>
        </w:tc>
        <w:tc>
          <w:tcPr>
            <w:tcW w:w="1293" w:type="dxa"/>
            <w:tcBorders>
              <w:top w:val="nil"/>
              <w:left w:val="nil"/>
              <w:bottom w:val="single" w:color="auto" w:sz="8" w:space="0"/>
              <w:right w:val="single" w:color="auto" w:sz="8" w:space="0"/>
            </w:tcBorders>
            <w:vAlign w:val="center"/>
          </w:tcPr>
          <w:p w14:paraId="23BB1EE4">
            <w:pPr>
              <w:jc w:val="center"/>
              <w:rPr>
                <w:rFonts w:ascii="宋体" w:hAnsi="宋体" w:cs="宋体"/>
                <w:sz w:val="24"/>
              </w:rPr>
            </w:pPr>
            <w:r>
              <w:rPr>
                <w:rFonts w:hint="eastAsia" w:ascii="宋体" w:hAnsi="宋体" w:cs="宋体"/>
                <w:sz w:val="24"/>
              </w:rPr>
              <w:t>20%</w:t>
            </w:r>
          </w:p>
        </w:tc>
      </w:tr>
      <w:tr w14:paraId="0746A858">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087C4F79">
            <w:pPr>
              <w:rPr>
                <w:rFonts w:ascii="宋体" w:hAnsi="宋体" w:cs="宋体"/>
                <w:sz w:val="24"/>
              </w:rPr>
            </w:pPr>
            <w:r>
              <w:rPr>
                <w:rFonts w:hint="eastAsia" w:ascii="宋体" w:hAnsi="宋体" w:cs="宋体"/>
                <w:sz w:val="24"/>
              </w:rPr>
              <w:t>上肢关节脱位</w:t>
            </w:r>
          </w:p>
        </w:tc>
        <w:tc>
          <w:tcPr>
            <w:tcW w:w="5607" w:type="dxa"/>
            <w:tcBorders>
              <w:top w:val="nil"/>
              <w:left w:val="nil"/>
              <w:bottom w:val="single" w:color="auto" w:sz="8" w:space="0"/>
              <w:right w:val="single" w:color="auto" w:sz="8" w:space="0"/>
            </w:tcBorders>
            <w:vAlign w:val="center"/>
          </w:tcPr>
          <w:p w14:paraId="24018789">
            <w:pPr>
              <w:rPr>
                <w:rFonts w:ascii="宋体" w:hAnsi="宋体" w:cs="宋体"/>
                <w:sz w:val="24"/>
              </w:rPr>
            </w:pPr>
            <w:r>
              <w:rPr>
                <w:rFonts w:hint="eastAsia" w:ascii="宋体" w:hAnsi="宋体" w:cs="宋体"/>
                <w:sz w:val="24"/>
              </w:rPr>
              <w:t>肩关节脱位</w:t>
            </w:r>
          </w:p>
        </w:tc>
        <w:tc>
          <w:tcPr>
            <w:tcW w:w="1293" w:type="dxa"/>
            <w:tcBorders>
              <w:top w:val="nil"/>
              <w:left w:val="nil"/>
              <w:bottom w:val="single" w:color="auto" w:sz="8" w:space="0"/>
              <w:right w:val="single" w:color="auto" w:sz="8" w:space="0"/>
            </w:tcBorders>
            <w:vAlign w:val="center"/>
          </w:tcPr>
          <w:p w14:paraId="69B95D8C">
            <w:pPr>
              <w:jc w:val="center"/>
              <w:rPr>
                <w:rFonts w:ascii="宋体" w:hAnsi="宋体" w:cs="宋体"/>
                <w:sz w:val="24"/>
              </w:rPr>
            </w:pPr>
            <w:r>
              <w:rPr>
                <w:rFonts w:hint="eastAsia" w:ascii="宋体" w:hAnsi="宋体" w:cs="宋体"/>
                <w:sz w:val="24"/>
              </w:rPr>
              <w:t>40%</w:t>
            </w:r>
          </w:p>
        </w:tc>
      </w:tr>
      <w:tr w14:paraId="7F85893B">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3CB4DB56">
            <w:pPr>
              <w:rPr>
                <w:rFonts w:ascii="宋体" w:hAnsi="宋体" w:cs="宋体"/>
                <w:sz w:val="24"/>
              </w:rPr>
            </w:pPr>
            <w:r>
              <w:rPr>
                <w:rFonts w:hint="eastAsia" w:ascii="宋体" w:hAnsi="宋体" w:cs="宋体"/>
                <w:sz w:val="24"/>
              </w:rPr>
              <w:t>上肢关节脱位</w:t>
            </w:r>
          </w:p>
        </w:tc>
        <w:tc>
          <w:tcPr>
            <w:tcW w:w="5607" w:type="dxa"/>
            <w:tcBorders>
              <w:top w:val="nil"/>
              <w:left w:val="nil"/>
              <w:bottom w:val="single" w:color="auto" w:sz="8" w:space="0"/>
              <w:right w:val="single" w:color="auto" w:sz="8" w:space="0"/>
            </w:tcBorders>
            <w:vAlign w:val="center"/>
          </w:tcPr>
          <w:p w14:paraId="014F41E5">
            <w:pPr>
              <w:rPr>
                <w:rFonts w:ascii="宋体" w:hAnsi="宋体" w:cs="宋体"/>
                <w:sz w:val="24"/>
              </w:rPr>
            </w:pPr>
            <w:r>
              <w:rPr>
                <w:rFonts w:hint="eastAsia" w:ascii="宋体" w:hAnsi="宋体" w:cs="宋体"/>
                <w:sz w:val="24"/>
              </w:rPr>
              <w:t>肘关节脱位</w:t>
            </w:r>
          </w:p>
        </w:tc>
        <w:tc>
          <w:tcPr>
            <w:tcW w:w="1293" w:type="dxa"/>
            <w:tcBorders>
              <w:top w:val="nil"/>
              <w:left w:val="nil"/>
              <w:bottom w:val="single" w:color="auto" w:sz="8" w:space="0"/>
              <w:right w:val="single" w:color="auto" w:sz="8" w:space="0"/>
            </w:tcBorders>
            <w:vAlign w:val="center"/>
          </w:tcPr>
          <w:p w14:paraId="589FA4E3">
            <w:pPr>
              <w:jc w:val="center"/>
              <w:rPr>
                <w:rFonts w:ascii="宋体" w:hAnsi="宋体" w:cs="宋体"/>
                <w:sz w:val="24"/>
              </w:rPr>
            </w:pPr>
            <w:r>
              <w:rPr>
                <w:rFonts w:hint="eastAsia" w:ascii="宋体" w:hAnsi="宋体" w:cs="宋体"/>
                <w:sz w:val="24"/>
              </w:rPr>
              <w:t>40%</w:t>
            </w:r>
          </w:p>
        </w:tc>
      </w:tr>
      <w:tr w14:paraId="0127CA35">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40EE8FE6">
            <w:pPr>
              <w:rPr>
                <w:rFonts w:ascii="宋体" w:hAnsi="宋体" w:cs="宋体"/>
                <w:sz w:val="24"/>
              </w:rPr>
            </w:pPr>
            <w:r>
              <w:rPr>
                <w:rFonts w:hint="eastAsia" w:ascii="宋体" w:hAnsi="宋体" w:cs="宋体"/>
                <w:sz w:val="24"/>
              </w:rPr>
              <w:t>下肢骨折</w:t>
            </w:r>
          </w:p>
        </w:tc>
        <w:tc>
          <w:tcPr>
            <w:tcW w:w="5607" w:type="dxa"/>
            <w:tcBorders>
              <w:top w:val="nil"/>
              <w:left w:val="nil"/>
              <w:bottom w:val="single" w:color="auto" w:sz="8" w:space="0"/>
              <w:right w:val="single" w:color="auto" w:sz="8" w:space="0"/>
            </w:tcBorders>
            <w:vAlign w:val="center"/>
          </w:tcPr>
          <w:p w14:paraId="1B1340F3">
            <w:pPr>
              <w:rPr>
                <w:rFonts w:ascii="宋体" w:hAnsi="宋体" w:cs="宋体"/>
                <w:sz w:val="24"/>
              </w:rPr>
            </w:pPr>
            <w:r>
              <w:rPr>
                <w:rFonts w:hint="eastAsia" w:ascii="宋体" w:hAnsi="宋体" w:cs="宋体"/>
                <w:sz w:val="24"/>
              </w:rPr>
              <w:t>股骨颈骨折</w:t>
            </w:r>
          </w:p>
        </w:tc>
        <w:tc>
          <w:tcPr>
            <w:tcW w:w="1293" w:type="dxa"/>
            <w:tcBorders>
              <w:top w:val="nil"/>
              <w:left w:val="nil"/>
              <w:bottom w:val="single" w:color="auto" w:sz="8" w:space="0"/>
              <w:right w:val="single" w:color="auto" w:sz="8" w:space="0"/>
            </w:tcBorders>
            <w:vAlign w:val="center"/>
          </w:tcPr>
          <w:p w14:paraId="4CAF6E50">
            <w:pPr>
              <w:jc w:val="center"/>
              <w:rPr>
                <w:rFonts w:ascii="宋体" w:hAnsi="宋体" w:cs="宋体"/>
                <w:sz w:val="24"/>
              </w:rPr>
            </w:pPr>
            <w:r>
              <w:rPr>
                <w:rFonts w:hint="eastAsia" w:ascii="宋体" w:hAnsi="宋体" w:cs="宋体"/>
                <w:sz w:val="24"/>
              </w:rPr>
              <w:t>100%</w:t>
            </w:r>
          </w:p>
        </w:tc>
      </w:tr>
      <w:tr w14:paraId="60C2CAF5">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6E85103E">
            <w:pPr>
              <w:rPr>
                <w:rFonts w:ascii="宋体" w:hAnsi="宋体" w:cs="宋体"/>
                <w:sz w:val="24"/>
              </w:rPr>
            </w:pPr>
            <w:r>
              <w:rPr>
                <w:rFonts w:hint="eastAsia" w:ascii="宋体" w:hAnsi="宋体" w:cs="宋体"/>
                <w:sz w:val="24"/>
              </w:rPr>
              <w:t>下肢骨折</w:t>
            </w:r>
          </w:p>
        </w:tc>
        <w:tc>
          <w:tcPr>
            <w:tcW w:w="5607" w:type="dxa"/>
            <w:tcBorders>
              <w:top w:val="nil"/>
              <w:left w:val="nil"/>
              <w:bottom w:val="single" w:color="auto" w:sz="8" w:space="0"/>
              <w:right w:val="single" w:color="auto" w:sz="8" w:space="0"/>
            </w:tcBorders>
            <w:vAlign w:val="center"/>
          </w:tcPr>
          <w:p w14:paraId="01CD1530">
            <w:pPr>
              <w:rPr>
                <w:rFonts w:ascii="宋体" w:hAnsi="宋体" w:cs="宋体"/>
                <w:sz w:val="24"/>
              </w:rPr>
            </w:pPr>
            <w:r>
              <w:rPr>
                <w:rFonts w:hint="eastAsia" w:ascii="宋体" w:hAnsi="宋体" w:cs="宋体"/>
                <w:sz w:val="24"/>
              </w:rPr>
              <w:t>股骨（不含股骨颈）骨折</w:t>
            </w:r>
          </w:p>
        </w:tc>
        <w:tc>
          <w:tcPr>
            <w:tcW w:w="1293" w:type="dxa"/>
            <w:tcBorders>
              <w:top w:val="nil"/>
              <w:left w:val="nil"/>
              <w:bottom w:val="single" w:color="auto" w:sz="8" w:space="0"/>
              <w:right w:val="single" w:color="auto" w:sz="8" w:space="0"/>
            </w:tcBorders>
            <w:vAlign w:val="center"/>
          </w:tcPr>
          <w:p w14:paraId="33B2786D">
            <w:pPr>
              <w:jc w:val="center"/>
              <w:rPr>
                <w:rFonts w:ascii="宋体" w:hAnsi="宋体" w:cs="宋体"/>
                <w:sz w:val="24"/>
              </w:rPr>
            </w:pPr>
            <w:r>
              <w:rPr>
                <w:rFonts w:hint="eastAsia" w:ascii="宋体" w:hAnsi="宋体" w:cs="宋体"/>
                <w:sz w:val="24"/>
              </w:rPr>
              <w:t>100%</w:t>
            </w:r>
          </w:p>
        </w:tc>
      </w:tr>
      <w:tr w14:paraId="4FA2E9BA">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2BF11649">
            <w:pPr>
              <w:rPr>
                <w:rFonts w:ascii="宋体" w:hAnsi="宋体" w:cs="宋体"/>
                <w:sz w:val="24"/>
              </w:rPr>
            </w:pPr>
            <w:r>
              <w:rPr>
                <w:rFonts w:hint="eastAsia" w:ascii="宋体" w:hAnsi="宋体" w:cs="宋体"/>
                <w:sz w:val="24"/>
              </w:rPr>
              <w:t>下肢骨折</w:t>
            </w:r>
          </w:p>
        </w:tc>
        <w:tc>
          <w:tcPr>
            <w:tcW w:w="5607" w:type="dxa"/>
            <w:tcBorders>
              <w:top w:val="nil"/>
              <w:left w:val="nil"/>
              <w:bottom w:val="single" w:color="auto" w:sz="8" w:space="0"/>
              <w:right w:val="single" w:color="auto" w:sz="8" w:space="0"/>
            </w:tcBorders>
            <w:vAlign w:val="center"/>
          </w:tcPr>
          <w:p w14:paraId="5AF0BCF8">
            <w:pPr>
              <w:rPr>
                <w:rFonts w:ascii="宋体" w:hAnsi="宋体" w:cs="宋体"/>
                <w:sz w:val="24"/>
              </w:rPr>
            </w:pPr>
            <w:r>
              <w:rPr>
                <w:rFonts w:hint="eastAsia" w:ascii="宋体" w:hAnsi="宋体" w:cs="宋体"/>
                <w:sz w:val="24"/>
              </w:rPr>
              <w:t>胫腓骨双骨折</w:t>
            </w:r>
          </w:p>
        </w:tc>
        <w:tc>
          <w:tcPr>
            <w:tcW w:w="1293" w:type="dxa"/>
            <w:tcBorders>
              <w:top w:val="nil"/>
              <w:left w:val="nil"/>
              <w:bottom w:val="single" w:color="auto" w:sz="8" w:space="0"/>
              <w:right w:val="single" w:color="auto" w:sz="8" w:space="0"/>
            </w:tcBorders>
            <w:vAlign w:val="center"/>
          </w:tcPr>
          <w:p w14:paraId="608E56C0">
            <w:pPr>
              <w:jc w:val="center"/>
              <w:rPr>
                <w:rFonts w:ascii="宋体" w:hAnsi="宋体" w:cs="宋体"/>
                <w:sz w:val="24"/>
              </w:rPr>
            </w:pPr>
            <w:r>
              <w:rPr>
                <w:rFonts w:hint="eastAsia" w:ascii="宋体" w:hAnsi="宋体" w:cs="宋体"/>
                <w:sz w:val="24"/>
              </w:rPr>
              <w:t>80%</w:t>
            </w:r>
          </w:p>
        </w:tc>
      </w:tr>
      <w:tr w14:paraId="039B41C2">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37ED6694">
            <w:pPr>
              <w:rPr>
                <w:rFonts w:ascii="宋体" w:hAnsi="宋体" w:cs="宋体"/>
                <w:sz w:val="24"/>
              </w:rPr>
            </w:pPr>
            <w:r>
              <w:rPr>
                <w:rFonts w:hint="eastAsia" w:ascii="宋体" w:hAnsi="宋体" w:cs="宋体"/>
                <w:sz w:val="24"/>
              </w:rPr>
              <w:t>下肢骨折</w:t>
            </w:r>
          </w:p>
        </w:tc>
        <w:tc>
          <w:tcPr>
            <w:tcW w:w="5607" w:type="dxa"/>
            <w:tcBorders>
              <w:top w:val="nil"/>
              <w:left w:val="nil"/>
              <w:bottom w:val="single" w:color="auto" w:sz="8" w:space="0"/>
              <w:right w:val="single" w:color="auto" w:sz="8" w:space="0"/>
            </w:tcBorders>
            <w:vAlign w:val="center"/>
          </w:tcPr>
          <w:p w14:paraId="298505B9">
            <w:pPr>
              <w:rPr>
                <w:rFonts w:ascii="宋体" w:hAnsi="宋体" w:cs="宋体"/>
                <w:sz w:val="24"/>
              </w:rPr>
            </w:pPr>
            <w:r>
              <w:rPr>
                <w:rFonts w:hint="eastAsia" w:ascii="宋体" w:hAnsi="宋体" w:cs="宋体"/>
                <w:sz w:val="24"/>
              </w:rPr>
              <w:t>胫骨或腓骨骨折</w:t>
            </w:r>
          </w:p>
        </w:tc>
        <w:tc>
          <w:tcPr>
            <w:tcW w:w="1293" w:type="dxa"/>
            <w:tcBorders>
              <w:top w:val="nil"/>
              <w:left w:val="nil"/>
              <w:bottom w:val="single" w:color="auto" w:sz="8" w:space="0"/>
              <w:right w:val="single" w:color="auto" w:sz="8" w:space="0"/>
            </w:tcBorders>
            <w:vAlign w:val="center"/>
          </w:tcPr>
          <w:p w14:paraId="6F394865">
            <w:pPr>
              <w:jc w:val="center"/>
              <w:rPr>
                <w:rFonts w:ascii="宋体" w:hAnsi="宋体" w:cs="宋体"/>
                <w:sz w:val="24"/>
              </w:rPr>
            </w:pPr>
            <w:r>
              <w:rPr>
                <w:rFonts w:hint="eastAsia" w:ascii="宋体" w:hAnsi="宋体" w:cs="宋体"/>
                <w:sz w:val="24"/>
              </w:rPr>
              <w:t>60%</w:t>
            </w:r>
          </w:p>
        </w:tc>
      </w:tr>
      <w:tr w14:paraId="2F0443D7">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763654B7">
            <w:pPr>
              <w:rPr>
                <w:rFonts w:ascii="宋体" w:hAnsi="宋体" w:cs="宋体"/>
                <w:sz w:val="24"/>
              </w:rPr>
            </w:pPr>
            <w:r>
              <w:rPr>
                <w:rFonts w:hint="eastAsia" w:ascii="宋体" w:hAnsi="宋体" w:cs="宋体"/>
                <w:sz w:val="24"/>
              </w:rPr>
              <w:t>下肢骨折</w:t>
            </w:r>
          </w:p>
        </w:tc>
        <w:tc>
          <w:tcPr>
            <w:tcW w:w="5607" w:type="dxa"/>
            <w:tcBorders>
              <w:top w:val="nil"/>
              <w:left w:val="nil"/>
              <w:bottom w:val="single" w:color="auto" w:sz="8" w:space="0"/>
              <w:right w:val="single" w:color="auto" w:sz="8" w:space="0"/>
            </w:tcBorders>
            <w:vAlign w:val="center"/>
          </w:tcPr>
          <w:p w14:paraId="1D5CD4E3">
            <w:pPr>
              <w:rPr>
                <w:rFonts w:ascii="宋体" w:hAnsi="宋体" w:cs="宋体"/>
                <w:sz w:val="24"/>
              </w:rPr>
            </w:pPr>
            <w:r>
              <w:rPr>
                <w:rFonts w:hint="eastAsia" w:ascii="宋体" w:hAnsi="宋体" w:cs="宋体"/>
                <w:sz w:val="24"/>
              </w:rPr>
              <w:t>踝关节骨折</w:t>
            </w:r>
          </w:p>
        </w:tc>
        <w:tc>
          <w:tcPr>
            <w:tcW w:w="1293" w:type="dxa"/>
            <w:tcBorders>
              <w:top w:val="nil"/>
              <w:left w:val="nil"/>
              <w:bottom w:val="single" w:color="auto" w:sz="8" w:space="0"/>
              <w:right w:val="single" w:color="auto" w:sz="8" w:space="0"/>
            </w:tcBorders>
            <w:vAlign w:val="center"/>
          </w:tcPr>
          <w:p w14:paraId="0D5FCB3B">
            <w:pPr>
              <w:jc w:val="center"/>
              <w:rPr>
                <w:rFonts w:ascii="宋体" w:hAnsi="宋体" w:cs="宋体"/>
                <w:sz w:val="24"/>
              </w:rPr>
            </w:pPr>
            <w:r>
              <w:rPr>
                <w:rFonts w:hint="eastAsia" w:ascii="宋体" w:hAnsi="宋体" w:cs="宋体"/>
                <w:sz w:val="24"/>
              </w:rPr>
              <w:t>60%</w:t>
            </w:r>
          </w:p>
        </w:tc>
      </w:tr>
      <w:tr w14:paraId="2D4D4009">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nil"/>
              <w:right w:val="single" w:color="auto" w:sz="8" w:space="0"/>
            </w:tcBorders>
            <w:vAlign w:val="center"/>
          </w:tcPr>
          <w:p w14:paraId="51AB6BCA">
            <w:pPr>
              <w:rPr>
                <w:rFonts w:ascii="宋体" w:hAnsi="宋体" w:cs="宋体"/>
                <w:sz w:val="24"/>
              </w:rPr>
            </w:pPr>
            <w:r>
              <w:rPr>
                <w:rFonts w:hint="eastAsia" w:ascii="宋体" w:hAnsi="宋体" w:cs="宋体"/>
                <w:sz w:val="24"/>
              </w:rPr>
              <w:t>下肢骨折</w:t>
            </w:r>
          </w:p>
        </w:tc>
        <w:tc>
          <w:tcPr>
            <w:tcW w:w="5607" w:type="dxa"/>
            <w:tcBorders>
              <w:top w:val="nil"/>
              <w:left w:val="nil"/>
              <w:bottom w:val="single" w:color="auto" w:sz="8" w:space="0"/>
              <w:right w:val="single" w:color="auto" w:sz="8" w:space="0"/>
            </w:tcBorders>
            <w:vAlign w:val="center"/>
          </w:tcPr>
          <w:p w14:paraId="385318AC">
            <w:pPr>
              <w:rPr>
                <w:rFonts w:ascii="宋体" w:hAnsi="宋体" w:cs="宋体"/>
                <w:sz w:val="24"/>
              </w:rPr>
            </w:pPr>
            <w:r>
              <w:rPr>
                <w:rFonts w:hint="eastAsia" w:ascii="宋体" w:hAnsi="宋体" w:cs="宋体"/>
                <w:sz w:val="24"/>
              </w:rPr>
              <w:t>髌骨骨折</w:t>
            </w:r>
          </w:p>
        </w:tc>
        <w:tc>
          <w:tcPr>
            <w:tcW w:w="1293" w:type="dxa"/>
            <w:tcBorders>
              <w:top w:val="nil"/>
              <w:left w:val="nil"/>
              <w:bottom w:val="single" w:color="auto" w:sz="8" w:space="0"/>
              <w:right w:val="single" w:color="auto" w:sz="8" w:space="0"/>
            </w:tcBorders>
            <w:vAlign w:val="center"/>
          </w:tcPr>
          <w:p w14:paraId="66E654BA">
            <w:pPr>
              <w:jc w:val="center"/>
              <w:rPr>
                <w:rFonts w:ascii="宋体" w:hAnsi="宋体" w:cs="宋体"/>
                <w:sz w:val="24"/>
              </w:rPr>
            </w:pPr>
            <w:r>
              <w:rPr>
                <w:rFonts w:hint="eastAsia" w:ascii="宋体" w:hAnsi="宋体" w:cs="宋体"/>
                <w:sz w:val="24"/>
              </w:rPr>
              <w:t>40%</w:t>
            </w:r>
          </w:p>
        </w:tc>
      </w:tr>
      <w:tr w14:paraId="51B62256">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single" w:color="auto" w:sz="8" w:space="0"/>
              <w:right w:val="single" w:color="auto" w:sz="8" w:space="0"/>
            </w:tcBorders>
            <w:vAlign w:val="center"/>
          </w:tcPr>
          <w:p w14:paraId="079E524B">
            <w:pPr>
              <w:rPr>
                <w:rFonts w:ascii="宋体" w:hAnsi="宋体" w:cs="宋体"/>
                <w:sz w:val="24"/>
              </w:rPr>
            </w:pPr>
            <w:r>
              <w:rPr>
                <w:rFonts w:hint="eastAsia" w:ascii="宋体" w:hAnsi="宋体" w:cs="宋体"/>
                <w:sz w:val="24"/>
              </w:rPr>
              <w:t>下肢骨折</w:t>
            </w:r>
          </w:p>
        </w:tc>
        <w:tc>
          <w:tcPr>
            <w:tcW w:w="5607" w:type="dxa"/>
            <w:tcBorders>
              <w:top w:val="nil"/>
              <w:left w:val="nil"/>
              <w:bottom w:val="single" w:color="auto" w:sz="8" w:space="0"/>
              <w:right w:val="single" w:color="auto" w:sz="8" w:space="0"/>
            </w:tcBorders>
            <w:vAlign w:val="center"/>
          </w:tcPr>
          <w:p w14:paraId="5FC7C37D">
            <w:pPr>
              <w:rPr>
                <w:rFonts w:ascii="宋体" w:hAnsi="宋体" w:cs="宋体"/>
                <w:sz w:val="24"/>
              </w:rPr>
            </w:pPr>
            <w:r>
              <w:rPr>
                <w:rFonts w:hint="eastAsia" w:ascii="宋体" w:hAnsi="宋体" w:cs="宋体"/>
                <w:sz w:val="24"/>
              </w:rPr>
              <w:t>跖骨或跟骨骨折</w:t>
            </w:r>
          </w:p>
        </w:tc>
        <w:tc>
          <w:tcPr>
            <w:tcW w:w="1293" w:type="dxa"/>
            <w:tcBorders>
              <w:top w:val="nil"/>
              <w:left w:val="nil"/>
              <w:bottom w:val="single" w:color="auto" w:sz="8" w:space="0"/>
              <w:right w:val="single" w:color="auto" w:sz="8" w:space="0"/>
            </w:tcBorders>
            <w:vAlign w:val="center"/>
          </w:tcPr>
          <w:p w14:paraId="0DA36DC0">
            <w:pPr>
              <w:jc w:val="center"/>
              <w:rPr>
                <w:rFonts w:ascii="宋体" w:hAnsi="宋体" w:cs="宋体"/>
                <w:sz w:val="24"/>
              </w:rPr>
            </w:pPr>
            <w:r>
              <w:rPr>
                <w:rFonts w:hint="eastAsia" w:ascii="宋体" w:hAnsi="宋体" w:cs="宋体"/>
                <w:sz w:val="24"/>
              </w:rPr>
              <w:t>40%</w:t>
            </w:r>
          </w:p>
        </w:tc>
      </w:tr>
      <w:tr w14:paraId="7CA36661">
        <w:tblPrEx>
          <w:tblCellMar>
            <w:top w:w="0" w:type="dxa"/>
            <w:left w:w="108" w:type="dxa"/>
            <w:bottom w:w="0" w:type="dxa"/>
            <w:right w:w="108" w:type="dxa"/>
          </w:tblCellMar>
        </w:tblPrEx>
        <w:trPr>
          <w:trHeight w:val="330" w:hRule="atLeast"/>
        </w:trPr>
        <w:tc>
          <w:tcPr>
            <w:tcW w:w="1848" w:type="dxa"/>
            <w:tcBorders>
              <w:top w:val="nil"/>
              <w:left w:val="single" w:color="auto" w:sz="8" w:space="0"/>
              <w:bottom w:val="single" w:color="auto" w:sz="8" w:space="0"/>
              <w:right w:val="single" w:color="auto" w:sz="8" w:space="0"/>
            </w:tcBorders>
            <w:vAlign w:val="center"/>
          </w:tcPr>
          <w:p w14:paraId="535010F0">
            <w:pPr>
              <w:rPr>
                <w:rFonts w:ascii="宋体" w:hAnsi="宋体" w:cs="宋体"/>
                <w:sz w:val="24"/>
              </w:rPr>
            </w:pPr>
            <w:r>
              <w:rPr>
                <w:rFonts w:hint="eastAsia" w:ascii="宋体" w:hAnsi="宋体" w:cs="宋体"/>
                <w:sz w:val="24"/>
              </w:rPr>
              <w:t>下肢骨折</w:t>
            </w:r>
          </w:p>
        </w:tc>
        <w:tc>
          <w:tcPr>
            <w:tcW w:w="5607" w:type="dxa"/>
            <w:tcBorders>
              <w:top w:val="nil"/>
              <w:left w:val="nil"/>
              <w:bottom w:val="single" w:color="auto" w:sz="8" w:space="0"/>
              <w:right w:val="single" w:color="auto" w:sz="8" w:space="0"/>
            </w:tcBorders>
            <w:vAlign w:val="center"/>
          </w:tcPr>
          <w:p w14:paraId="41A69CE8">
            <w:pPr>
              <w:rPr>
                <w:rFonts w:ascii="宋体" w:hAnsi="宋体" w:cs="宋体"/>
                <w:sz w:val="24"/>
              </w:rPr>
            </w:pPr>
            <w:r>
              <w:rPr>
                <w:rFonts w:hint="eastAsia" w:ascii="宋体" w:hAnsi="宋体" w:cs="宋体"/>
                <w:sz w:val="24"/>
              </w:rPr>
              <w:t>足骨（不含跖骨、跟骨）骨折</w:t>
            </w:r>
          </w:p>
        </w:tc>
        <w:tc>
          <w:tcPr>
            <w:tcW w:w="1293" w:type="dxa"/>
            <w:tcBorders>
              <w:top w:val="nil"/>
              <w:left w:val="nil"/>
              <w:bottom w:val="single" w:color="auto" w:sz="8" w:space="0"/>
              <w:right w:val="single" w:color="auto" w:sz="8" w:space="0"/>
            </w:tcBorders>
            <w:vAlign w:val="center"/>
          </w:tcPr>
          <w:p w14:paraId="2FDE4254">
            <w:pPr>
              <w:jc w:val="center"/>
              <w:rPr>
                <w:rFonts w:ascii="宋体" w:hAnsi="宋体" w:cs="宋体"/>
                <w:sz w:val="24"/>
              </w:rPr>
            </w:pPr>
            <w:r>
              <w:rPr>
                <w:rFonts w:hint="eastAsia" w:ascii="宋体" w:hAnsi="宋体" w:cs="宋体"/>
                <w:sz w:val="24"/>
              </w:rPr>
              <w:t>20%</w:t>
            </w:r>
          </w:p>
        </w:tc>
      </w:tr>
      <w:tr w14:paraId="31629353">
        <w:tblPrEx>
          <w:tblCellMar>
            <w:top w:w="0" w:type="dxa"/>
            <w:left w:w="108" w:type="dxa"/>
            <w:bottom w:w="0" w:type="dxa"/>
            <w:right w:w="108" w:type="dxa"/>
          </w:tblCellMar>
        </w:tblPrEx>
        <w:trPr>
          <w:trHeight w:val="330" w:hRule="atLeast"/>
        </w:trPr>
        <w:tc>
          <w:tcPr>
            <w:tcW w:w="1848" w:type="dxa"/>
            <w:tcBorders>
              <w:top w:val="nil"/>
              <w:left w:val="single" w:color="auto" w:sz="8" w:space="0"/>
              <w:bottom w:val="single" w:color="auto" w:sz="8" w:space="0"/>
              <w:right w:val="single" w:color="auto" w:sz="8" w:space="0"/>
            </w:tcBorders>
            <w:vAlign w:val="center"/>
          </w:tcPr>
          <w:p w14:paraId="239B9D96">
            <w:pPr>
              <w:rPr>
                <w:rFonts w:ascii="宋体" w:hAnsi="宋体" w:cs="宋体"/>
                <w:sz w:val="24"/>
              </w:rPr>
            </w:pPr>
            <w:r>
              <w:rPr>
                <w:rFonts w:hint="eastAsia" w:ascii="宋体" w:hAnsi="宋体" w:cs="宋体"/>
                <w:sz w:val="24"/>
              </w:rPr>
              <w:t>下肢关节脱位</w:t>
            </w:r>
          </w:p>
        </w:tc>
        <w:tc>
          <w:tcPr>
            <w:tcW w:w="5607" w:type="dxa"/>
            <w:tcBorders>
              <w:top w:val="nil"/>
              <w:left w:val="nil"/>
              <w:bottom w:val="single" w:color="auto" w:sz="8" w:space="0"/>
              <w:right w:val="single" w:color="auto" w:sz="8" w:space="0"/>
            </w:tcBorders>
            <w:vAlign w:val="center"/>
          </w:tcPr>
          <w:p w14:paraId="23F95132">
            <w:pPr>
              <w:rPr>
                <w:rFonts w:ascii="宋体" w:hAnsi="宋体" w:cs="宋体"/>
                <w:sz w:val="24"/>
              </w:rPr>
            </w:pPr>
            <w:r>
              <w:rPr>
                <w:rFonts w:hint="eastAsia" w:ascii="宋体" w:hAnsi="宋体" w:cs="宋体"/>
                <w:sz w:val="24"/>
              </w:rPr>
              <w:t>髋关节脱位</w:t>
            </w:r>
          </w:p>
        </w:tc>
        <w:tc>
          <w:tcPr>
            <w:tcW w:w="1293" w:type="dxa"/>
            <w:tcBorders>
              <w:top w:val="nil"/>
              <w:left w:val="nil"/>
              <w:bottom w:val="single" w:color="auto" w:sz="8" w:space="0"/>
              <w:right w:val="single" w:color="auto" w:sz="8" w:space="0"/>
            </w:tcBorders>
            <w:vAlign w:val="center"/>
          </w:tcPr>
          <w:p w14:paraId="2EACAC81">
            <w:pPr>
              <w:jc w:val="center"/>
              <w:rPr>
                <w:rFonts w:ascii="宋体" w:hAnsi="宋体" w:cs="宋体"/>
                <w:sz w:val="24"/>
              </w:rPr>
            </w:pPr>
            <w:r>
              <w:rPr>
                <w:rFonts w:hint="eastAsia" w:ascii="宋体" w:hAnsi="宋体" w:cs="宋体"/>
                <w:sz w:val="24"/>
              </w:rPr>
              <w:t>100%</w:t>
            </w:r>
          </w:p>
        </w:tc>
      </w:tr>
      <w:tr w14:paraId="21099C87">
        <w:tblPrEx>
          <w:tblCellMar>
            <w:top w:w="0" w:type="dxa"/>
            <w:left w:w="108" w:type="dxa"/>
            <w:bottom w:w="0" w:type="dxa"/>
            <w:right w:w="108" w:type="dxa"/>
          </w:tblCellMar>
        </w:tblPrEx>
        <w:trPr>
          <w:trHeight w:val="330" w:hRule="atLeast"/>
        </w:trPr>
        <w:tc>
          <w:tcPr>
            <w:tcW w:w="1848" w:type="dxa"/>
            <w:tcBorders>
              <w:top w:val="single" w:color="auto" w:sz="8" w:space="0"/>
              <w:left w:val="single" w:color="auto" w:sz="8" w:space="0"/>
              <w:bottom w:val="single" w:color="auto" w:sz="8" w:space="0"/>
              <w:right w:val="single" w:color="auto" w:sz="8" w:space="0"/>
            </w:tcBorders>
            <w:vAlign w:val="center"/>
          </w:tcPr>
          <w:p w14:paraId="2DBAB56A">
            <w:pPr>
              <w:rPr>
                <w:rFonts w:ascii="宋体" w:hAnsi="宋体" w:cs="宋体"/>
                <w:sz w:val="24"/>
              </w:rPr>
            </w:pPr>
            <w:r>
              <w:rPr>
                <w:rFonts w:hint="eastAsia" w:ascii="宋体" w:hAnsi="宋体" w:cs="宋体"/>
                <w:sz w:val="24"/>
              </w:rPr>
              <w:t>下肢关节脱位</w:t>
            </w:r>
          </w:p>
        </w:tc>
        <w:tc>
          <w:tcPr>
            <w:tcW w:w="5607" w:type="dxa"/>
            <w:tcBorders>
              <w:top w:val="single" w:color="auto" w:sz="8" w:space="0"/>
              <w:left w:val="nil"/>
              <w:bottom w:val="single" w:color="auto" w:sz="8" w:space="0"/>
              <w:right w:val="single" w:color="auto" w:sz="8" w:space="0"/>
            </w:tcBorders>
            <w:vAlign w:val="center"/>
          </w:tcPr>
          <w:p w14:paraId="6ECE6A50">
            <w:pPr>
              <w:rPr>
                <w:rFonts w:ascii="宋体" w:hAnsi="宋体" w:cs="宋体"/>
                <w:sz w:val="24"/>
              </w:rPr>
            </w:pPr>
            <w:r>
              <w:rPr>
                <w:rFonts w:hint="eastAsia" w:ascii="宋体" w:hAnsi="宋体" w:cs="宋体"/>
                <w:sz w:val="24"/>
              </w:rPr>
              <w:t>膝关节脱位</w:t>
            </w:r>
          </w:p>
        </w:tc>
        <w:tc>
          <w:tcPr>
            <w:tcW w:w="1293" w:type="dxa"/>
            <w:tcBorders>
              <w:top w:val="single" w:color="auto" w:sz="8" w:space="0"/>
              <w:left w:val="nil"/>
              <w:bottom w:val="single" w:color="auto" w:sz="8" w:space="0"/>
              <w:right w:val="single" w:color="auto" w:sz="8" w:space="0"/>
            </w:tcBorders>
            <w:vAlign w:val="center"/>
          </w:tcPr>
          <w:p w14:paraId="7FD171D9">
            <w:pPr>
              <w:jc w:val="center"/>
              <w:rPr>
                <w:rFonts w:ascii="宋体" w:hAnsi="宋体" w:cs="宋体"/>
                <w:sz w:val="24"/>
              </w:rPr>
            </w:pPr>
            <w:r>
              <w:rPr>
                <w:rFonts w:hint="eastAsia" w:ascii="宋体" w:hAnsi="宋体" w:cs="宋体"/>
                <w:sz w:val="24"/>
              </w:rPr>
              <w:t>60%</w:t>
            </w:r>
          </w:p>
        </w:tc>
      </w:tr>
    </w:tbl>
    <w:p w14:paraId="08C6A2EA">
      <w:pPr>
        <w:pStyle w:val="9"/>
        <w:ind w:firstLine="480"/>
        <w:rPr>
          <w:rFonts w:ascii="宋体" w:hAnsi="宋体" w:cs="宋体"/>
          <w:szCs w:val="24"/>
        </w:rPr>
      </w:pPr>
    </w:p>
    <w:p w14:paraId="4764A381">
      <w:pPr>
        <w:rPr>
          <w:rFonts w:ascii="宋体" w:hAnsi="宋体" w:cs="宋体"/>
          <w:sz w:val="24"/>
        </w:rPr>
      </w:pPr>
      <w:r>
        <w:rPr>
          <w:rFonts w:hint="eastAsia" w:ascii="宋体" w:hAnsi="宋体" w:cs="宋体"/>
          <w:sz w:val="24"/>
        </w:rPr>
        <w:br w:type="page"/>
      </w:r>
    </w:p>
    <w:p w14:paraId="7AE1640D">
      <w:pPr>
        <w:pStyle w:val="9"/>
        <w:spacing w:after="0" w:line="360" w:lineRule="auto"/>
        <w:ind w:left="0" w:leftChars="0" w:firstLine="0" w:firstLineChars="0"/>
        <w:rPr>
          <w:rFonts w:ascii="宋体" w:hAnsi="宋体" w:cs="宋体"/>
          <w:szCs w:val="24"/>
        </w:rPr>
      </w:pPr>
      <w:r>
        <w:rPr>
          <w:rFonts w:hint="eastAsia" w:ascii="宋体" w:hAnsi="宋体" w:cs="宋体"/>
          <w:szCs w:val="24"/>
        </w:rPr>
        <w:t>3.2血站采供血责任险</w:t>
      </w:r>
    </w:p>
    <w:p w14:paraId="33C83EE9">
      <w:pPr>
        <w:pStyle w:val="4"/>
        <w:spacing w:before="0" w:line="360" w:lineRule="auto"/>
        <w:rPr>
          <w:rFonts w:cs="宋体"/>
          <w:spacing w:val="6"/>
        </w:rPr>
      </w:pPr>
      <w:r>
        <w:rPr>
          <w:rFonts w:hint="eastAsia" w:cs="宋体"/>
          <w:spacing w:val="6"/>
        </w:rPr>
        <w:t>3.2.1基本要求</w:t>
      </w:r>
    </w:p>
    <w:p w14:paraId="2422319C">
      <w:pPr>
        <w:pStyle w:val="4"/>
        <w:spacing w:before="0" w:line="360" w:lineRule="auto"/>
        <w:ind w:firstLine="504" w:firstLineChars="200"/>
        <w:rPr>
          <w:rFonts w:cs="宋体"/>
        </w:rPr>
      </w:pPr>
      <w:r>
        <w:rPr>
          <w:rFonts w:hint="eastAsia" w:cs="宋体"/>
          <w:spacing w:val="6"/>
        </w:rPr>
        <w:t>被保险人及其投保医务人员在保险合同载明的区域范围内从事诊疗</w:t>
      </w:r>
      <w:r>
        <w:rPr>
          <w:rFonts w:hint="eastAsia" w:cs="宋体"/>
          <w:spacing w:val="-113"/>
        </w:rPr>
        <w:t xml:space="preserve"> </w:t>
      </w:r>
      <w:r>
        <w:rPr>
          <w:rFonts w:hint="eastAsia" w:cs="宋体"/>
          <w:spacing w:val="-2"/>
        </w:rPr>
        <w:t>护理活动中，因执业过失造成患者人身损害，由患者或其近亲属在保险期间</w:t>
      </w:r>
      <w:r>
        <w:rPr>
          <w:rFonts w:hint="eastAsia" w:cs="宋体"/>
          <w:spacing w:val="-88"/>
        </w:rPr>
        <w:t xml:space="preserve"> </w:t>
      </w:r>
      <w:r>
        <w:rPr>
          <w:rFonts w:hint="eastAsia" w:cs="宋体"/>
          <w:spacing w:val="-2"/>
        </w:rPr>
        <w:t>内首次向被保险人提出损害赔偿请求，依法应由被保险人承担的经济赔偿责</w:t>
      </w:r>
      <w:r>
        <w:rPr>
          <w:rFonts w:hint="eastAsia" w:cs="宋体"/>
          <w:spacing w:val="-88"/>
        </w:rPr>
        <w:t xml:space="preserve"> </w:t>
      </w:r>
      <w:r>
        <w:rPr>
          <w:rFonts w:hint="eastAsia" w:cs="宋体"/>
        </w:rPr>
        <w:t>任；</w:t>
      </w:r>
      <w:r>
        <w:rPr>
          <w:rFonts w:hint="eastAsia" w:cs="宋体"/>
          <w:spacing w:val="-2"/>
        </w:rPr>
        <w:t>保险事故发生后，被保险人因保险事故而被提起仲裁或者诉讼的，对</w:t>
      </w:r>
      <w:r>
        <w:rPr>
          <w:rFonts w:hint="eastAsia" w:cs="宋体"/>
          <w:spacing w:val="-88"/>
        </w:rPr>
        <w:t xml:space="preserve"> </w:t>
      </w:r>
      <w:r>
        <w:rPr>
          <w:rFonts w:hint="eastAsia" w:cs="宋体"/>
          <w:spacing w:val="6"/>
        </w:rPr>
        <w:t>应由被保险人支付的仲裁或诉讼费用以及事先经保险人书面同意支付的其</w:t>
      </w:r>
      <w:r>
        <w:rPr>
          <w:rFonts w:hint="eastAsia" w:cs="宋体"/>
          <w:spacing w:val="-117"/>
        </w:rPr>
        <w:t xml:space="preserve"> </w:t>
      </w:r>
      <w:r>
        <w:rPr>
          <w:rFonts w:hint="eastAsia" w:cs="宋体"/>
        </w:rPr>
        <w:t>他必要的、合理的费用。</w:t>
      </w:r>
    </w:p>
    <w:p w14:paraId="4ED5F3A8">
      <w:pPr>
        <w:pStyle w:val="4"/>
        <w:spacing w:before="0" w:line="360" w:lineRule="auto"/>
        <w:rPr>
          <w:rFonts w:cs="宋体"/>
        </w:rPr>
      </w:pPr>
      <w:r>
        <w:rPr>
          <w:rFonts w:hint="eastAsia" w:cs="宋体"/>
          <w:spacing w:val="6"/>
        </w:rPr>
        <w:t>3.2.2</w:t>
      </w:r>
      <w:r>
        <w:rPr>
          <w:rFonts w:hint="eastAsia" w:cs="宋体"/>
          <w:bCs/>
        </w:rPr>
        <w:t>血站采供血责任险保险要求</w:t>
      </w:r>
    </w:p>
    <w:tbl>
      <w:tblPr>
        <w:tblStyle w:val="17"/>
        <w:tblW w:w="5010" w:type="pct"/>
        <w:tblInd w:w="0" w:type="dxa"/>
        <w:tblLayout w:type="autofit"/>
        <w:tblCellMar>
          <w:top w:w="0" w:type="dxa"/>
          <w:left w:w="0" w:type="dxa"/>
          <w:bottom w:w="0" w:type="dxa"/>
          <w:right w:w="0" w:type="dxa"/>
        </w:tblCellMar>
      </w:tblPr>
      <w:tblGrid>
        <w:gridCol w:w="2619"/>
        <w:gridCol w:w="2917"/>
        <w:gridCol w:w="2797"/>
      </w:tblGrid>
      <w:tr w14:paraId="37774054">
        <w:tblPrEx>
          <w:tblCellMar>
            <w:top w:w="0" w:type="dxa"/>
            <w:left w:w="0" w:type="dxa"/>
            <w:bottom w:w="0" w:type="dxa"/>
            <w:right w:w="0" w:type="dxa"/>
          </w:tblCellMar>
        </w:tblPrEx>
        <w:trPr>
          <w:trHeight w:val="634" w:hRule="exact"/>
        </w:trPr>
        <w:tc>
          <w:tcPr>
            <w:tcW w:w="1571" w:type="pct"/>
            <w:tcBorders>
              <w:top w:val="single" w:color="000000" w:sz="4" w:space="0"/>
              <w:left w:val="single" w:color="000000" w:sz="4" w:space="0"/>
              <w:bottom w:val="single" w:color="000000" w:sz="4" w:space="0"/>
              <w:right w:val="single" w:color="000000" w:sz="4" w:space="0"/>
            </w:tcBorders>
          </w:tcPr>
          <w:p w14:paraId="00F1408A">
            <w:pPr>
              <w:autoSpaceDE w:val="0"/>
              <w:autoSpaceDN w:val="0"/>
              <w:spacing w:line="360" w:lineRule="auto"/>
              <w:jc w:val="left"/>
              <w:rPr>
                <w:rFonts w:ascii="宋体" w:hAnsi="宋体" w:cs="宋体" w:eastAsiaTheme="minorEastAsia"/>
                <w:kern w:val="0"/>
                <w:sz w:val="24"/>
                <w:highlight w:val="none"/>
                <w:lang w:eastAsia="en-US"/>
              </w:rPr>
            </w:pPr>
            <w:r>
              <w:rPr>
                <w:rFonts w:hint="eastAsia" w:ascii="宋体" w:hAnsi="宋体" w:cs="宋体" w:eastAsiaTheme="minorEastAsia"/>
                <w:kern w:val="0"/>
                <w:sz w:val="24"/>
                <w:highlight w:val="none"/>
                <w:lang w:eastAsia="en-US"/>
              </w:rPr>
              <w:t>保险责任</w:t>
            </w:r>
          </w:p>
        </w:tc>
        <w:tc>
          <w:tcPr>
            <w:tcW w:w="1750" w:type="pct"/>
            <w:tcBorders>
              <w:top w:val="single" w:color="000000" w:sz="4" w:space="0"/>
              <w:left w:val="single" w:color="000000" w:sz="4" w:space="0"/>
              <w:bottom w:val="single" w:color="000000" w:sz="4" w:space="0"/>
              <w:right w:val="single" w:color="000000" w:sz="4" w:space="0"/>
            </w:tcBorders>
          </w:tcPr>
          <w:p w14:paraId="42458CB4">
            <w:pPr>
              <w:autoSpaceDE w:val="0"/>
              <w:autoSpaceDN w:val="0"/>
              <w:spacing w:line="360" w:lineRule="auto"/>
              <w:jc w:val="center"/>
              <w:rPr>
                <w:rFonts w:ascii="宋体" w:hAnsi="宋体" w:cs="宋体" w:eastAsiaTheme="minorEastAsia"/>
                <w:kern w:val="0"/>
                <w:sz w:val="24"/>
                <w:highlight w:val="none"/>
                <w:lang w:eastAsia="en-US"/>
              </w:rPr>
            </w:pPr>
            <w:r>
              <w:rPr>
                <w:rFonts w:hint="eastAsia" w:ascii="宋体" w:hAnsi="宋体" w:cs="宋体" w:eastAsiaTheme="minorEastAsia"/>
                <w:kern w:val="0"/>
                <w:sz w:val="24"/>
                <w:highlight w:val="none"/>
                <w:lang w:eastAsia="en-US"/>
              </w:rPr>
              <w:t>每次事故赔偿限额（万元）</w:t>
            </w:r>
          </w:p>
        </w:tc>
        <w:tc>
          <w:tcPr>
            <w:tcW w:w="1678" w:type="pct"/>
            <w:tcBorders>
              <w:top w:val="single" w:color="000000" w:sz="4" w:space="0"/>
              <w:left w:val="single" w:color="000000" w:sz="4" w:space="0"/>
              <w:bottom w:val="single" w:color="000000" w:sz="4" w:space="0"/>
              <w:right w:val="single" w:color="000000" w:sz="4" w:space="0"/>
            </w:tcBorders>
          </w:tcPr>
          <w:p w14:paraId="0133B36E">
            <w:pPr>
              <w:autoSpaceDE w:val="0"/>
              <w:autoSpaceDN w:val="0"/>
              <w:spacing w:line="360" w:lineRule="auto"/>
              <w:jc w:val="center"/>
              <w:rPr>
                <w:rFonts w:ascii="宋体" w:hAnsi="宋体" w:cs="宋体" w:eastAsiaTheme="minorEastAsia"/>
                <w:kern w:val="0"/>
                <w:sz w:val="24"/>
                <w:highlight w:val="none"/>
                <w:lang w:eastAsia="en-US"/>
              </w:rPr>
            </w:pPr>
            <w:r>
              <w:rPr>
                <w:rFonts w:hint="eastAsia" w:ascii="宋体" w:hAnsi="宋体" w:cs="宋体" w:eastAsiaTheme="minorEastAsia"/>
                <w:kern w:val="0"/>
                <w:sz w:val="24"/>
                <w:highlight w:val="none"/>
                <w:lang w:eastAsia="en-US"/>
              </w:rPr>
              <w:t>累计赔偿限额（万元）</w:t>
            </w:r>
          </w:p>
        </w:tc>
      </w:tr>
      <w:tr w14:paraId="3898E5DB">
        <w:tblPrEx>
          <w:tblCellMar>
            <w:top w:w="0" w:type="dxa"/>
            <w:left w:w="0" w:type="dxa"/>
            <w:bottom w:w="0" w:type="dxa"/>
            <w:right w:w="0" w:type="dxa"/>
          </w:tblCellMar>
        </w:tblPrEx>
        <w:trPr>
          <w:trHeight w:val="407" w:hRule="exact"/>
        </w:trPr>
        <w:tc>
          <w:tcPr>
            <w:tcW w:w="1571" w:type="pct"/>
            <w:tcBorders>
              <w:top w:val="single" w:color="000000" w:sz="4" w:space="0"/>
              <w:left w:val="single" w:color="000000" w:sz="4" w:space="0"/>
              <w:bottom w:val="single" w:color="000000" w:sz="4" w:space="0"/>
              <w:right w:val="single" w:color="000000" w:sz="4" w:space="0"/>
            </w:tcBorders>
          </w:tcPr>
          <w:p w14:paraId="74EBA749">
            <w:pPr>
              <w:autoSpaceDE w:val="0"/>
              <w:autoSpaceDN w:val="0"/>
              <w:spacing w:line="360" w:lineRule="auto"/>
              <w:jc w:val="left"/>
              <w:rPr>
                <w:rFonts w:ascii="宋体" w:hAnsi="宋体" w:cs="宋体" w:eastAsiaTheme="minorEastAsia"/>
                <w:kern w:val="0"/>
                <w:sz w:val="24"/>
                <w:highlight w:val="none"/>
                <w:lang w:eastAsia="en-US"/>
              </w:rPr>
            </w:pPr>
            <w:r>
              <w:rPr>
                <w:rFonts w:hint="eastAsia" w:ascii="宋体" w:hAnsi="宋体" w:cs="宋体" w:eastAsiaTheme="minorEastAsia"/>
                <w:kern w:val="0"/>
                <w:sz w:val="24"/>
                <w:highlight w:val="none"/>
                <w:lang w:eastAsia="en-US"/>
              </w:rPr>
              <w:t>用血者责任</w:t>
            </w:r>
          </w:p>
        </w:tc>
        <w:tc>
          <w:tcPr>
            <w:tcW w:w="1750" w:type="pct"/>
            <w:tcBorders>
              <w:top w:val="single" w:color="000000" w:sz="4" w:space="0"/>
              <w:left w:val="single" w:color="000000" w:sz="4" w:space="0"/>
              <w:bottom w:val="single" w:color="000000" w:sz="4" w:space="0"/>
              <w:right w:val="single" w:color="000000" w:sz="4" w:space="0"/>
            </w:tcBorders>
          </w:tcPr>
          <w:p w14:paraId="0F7D9FD9">
            <w:pPr>
              <w:autoSpaceDE w:val="0"/>
              <w:autoSpaceDN w:val="0"/>
              <w:spacing w:line="360" w:lineRule="auto"/>
              <w:jc w:val="center"/>
              <w:rPr>
                <w:rFonts w:ascii="宋体" w:hAnsi="宋体" w:cs="宋体" w:eastAsiaTheme="minorEastAsia"/>
                <w:kern w:val="0"/>
                <w:sz w:val="24"/>
                <w:highlight w:val="none"/>
                <w:lang w:eastAsia="en-US"/>
              </w:rPr>
            </w:pPr>
            <w:r>
              <w:rPr>
                <w:rFonts w:hint="eastAsia"/>
                <w:sz w:val="24"/>
                <w:szCs w:val="24"/>
                <w:highlight w:val="none"/>
              </w:rPr>
              <w:t>不低于</w:t>
            </w:r>
            <w:r>
              <w:rPr>
                <w:rFonts w:hint="eastAsia" w:ascii="宋体" w:hAnsi="宋体" w:cs="宋体" w:eastAsiaTheme="minorEastAsia"/>
                <w:kern w:val="0"/>
                <w:sz w:val="24"/>
                <w:szCs w:val="24"/>
                <w:highlight w:val="none"/>
                <w:lang w:eastAsia="en-US"/>
              </w:rPr>
              <w:t>100</w:t>
            </w:r>
          </w:p>
        </w:tc>
        <w:tc>
          <w:tcPr>
            <w:tcW w:w="1678" w:type="pct"/>
            <w:tcBorders>
              <w:top w:val="single" w:color="000000" w:sz="4" w:space="0"/>
              <w:left w:val="single" w:color="000000" w:sz="4" w:space="0"/>
              <w:bottom w:val="single" w:color="000000" w:sz="4" w:space="0"/>
              <w:right w:val="single" w:color="000000" w:sz="4" w:space="0"/>
            </w:tcBorders>
          </w:tcPr>
          <w:p w14:paraId="6169F2EA">
            <w:pPr>
              <w:autoSpaceDE w:val="0"/>
              <w:autoSpaceDN w:val="0"/>
              <w:spacing w:line="360" w:lineRule="auto"/>
              <w:jc w:val="center"/>
              <w:rPr>
                <w:rFonts w:ascii="宋体" w:hAnsi="宋体" w:cs="宋体" w:eastAsiaTheme="minorEastAsia"/>
                <w:kern w:val="0"/>
                <w:sz w:val="24"/>
                <w:highlight w:val="none"/>
                <w:lang w:eastAsia="en-US"/>
              </w:rPr>
            </w:pPr>
            <w:r>
              <w:rPr>
                <w:rFonts w:hint="eastAsia"/>
                <w:sz w:val="24"/>
                <w:szCs w:val="24"/>
                <w:highlight w:val="none"/>
              </w:rPr>
              <w:t>不低于</w:t>
            </w:r>
            <w:r>
              <w:rPr>
                <w:rFonts w:hint="eastAsia" w:ascii="宋体" w:hAnsi="宋体" w:cs="宋体" w:eastAsiaTheme="minorEastAsia"/>
                <w:kern w:val="0"/>
                <w:sz w:val="24"/>
                <w:szCs w:val="24"/>
                <w:highlight w:val="none"/>
                <w:lang w:eastAsia="en-US"/>
              </w:rPr>
              <w:t>500</w:t>
            </w:r>
          </w:p>
        </w:tc>
      </w:tr>
      <w:tr w14:paraId="5EF909DD">
        <w:tblPrEx>
          <w:tblCellMar>
            <w:top w:w="0" w:type="dxa"/>
            <w:left w:w="0" w:type="dxa"/>
            <w:bottom w:w="0" w:type="dxa"/>
            <w:right w:w="0" w:type="dxa"/>
          </w:tblCellMar>
        </w:tblPrEx>
        <w:trPr>
          <w:trHeight w:val="478" w:hRule="exact"/>
        </w:trPr>
        <w:tc>
          <w:tcPr>
            <w:tcW w:w="1571" w:type="pct"/>
            <w:tcBorders>
              <w:top w:val="single" w:color="000000" w:sz="4" w:space="0"/>
              <w:left w:val="single" w:color="000000" w:sz="4" w:space="0"/>
              <w:bottom w:val="single" w:color="000000" w:sz="4" w:space="0"/>
              <w:right w:val="single" w:color="000000" w:sz="4" w:space="0"/>
            </w:tcBorders>
          </w:tcPr>
          <w:p w14:paraId="5CB6DD25">
            <w:pPr>
              <w:autoSpaceDE w:val="0"/>
              <w:autoSpaceDN w:val="0"/>
              <w:spacing w:line="360" w:lineRule="auto"/>
              <w:jc w:val="left"/>
              <w:rPr>
                <w:rFonts w:ascii="宋体" w:hAnsi="宋体" w:cs="宋体" w:eastAsiaTheme="minorEastAsia"/>
                <w:kern w:val="0"/>
                <w:sz w:val="24"/>
                <w:highlight w:val="none"/>
                <w:lang w:eastAsia="en-US"/>
              </w:rPr>
            </w:pPr>
            <w:r>
              <w:rPr>
                <w:rFonts w:hint="eastAsia" w:ascii="宋体" w:hAnsi="宋体" w:cs="宋体" w:eastAsiaTheme="minorEastAsia"/>
                <w:kern w:val="0"/>
                <w:sz w:val="24"/>
                <w:highlight w:val="none"/>
                <w:lang w:eastAsia="en-US"/>
              </w:rPr>
              <w:t>仲裁、诉讼及其他费用</w:t>
            </w:r>
          </w:p>
        </w:tc>
        <w:tc>
          <w:tcPr>
            <w:tcW w:w="3428" w:type="pct"/>
            <w:gridSpan w:val="2"/>
            <w:tcBorders>
              <w:top w:val="single" w:color="000000" w:sz="4" w:space="0"/>
              <w:left w:val="single" w:color="000000" w:sz="4" w:space="0"/>
              <w:bottom w:val="single" w:color="000000" w:sz="4" w:space="0"/>
              <w:right w:val="single" w:color="000000" w:sz="4" w:space="0"/>
            </w:tcBorders>
          </w:tcPr>
          <w:p w14:paraId="6E4EC56E">
            <w:pPr>
              <w:autoSpaceDE w:val="0"/>
              <w:autoSpaceDN w:val="0"/>
              <w:spacing w:line="360" w:lineRule="auto"/>
              <w:jc w:val="left"/>
              <w:rPr>
                <w:rFonts w:ascii="宋体" w:hAnsi="宋体" w:cs="宋体" w:eastAsiaTheme="minorEastAsia"/>
                <w:kern w:val="0"/>
                <w:sz w:val="24"/>
                <w:highlight w:val="none"/>
                <w:lang w:eastAsia="en-US"/>
              </w:rPr>
            </w:pPr>
            <w:r>
              <w:rPr>
                <w:rFonts w:hint="eastAsia" w:ascii="宋体" w:hAnsi="宋体" w:cs="宋体" w:eastAsiaTheme="minorEastAsia"/>
                <w:kern w:val="0"/>
                <w:sz w:val="24"/>
                <w:highlight w:val="none"/>
                <w:lang w:eastAsia="en-US"/>
              </w:rPr>
              <w:t>年内累计不低于20</w:t>
            </w:r>
            <w:r>
              <w:rPr>
                <w:rFonts w:hint="eastAsia" w:ascii="宋体" w:hAnsi="宋体" w:cs="宋体" w:eastAsiaTheme="minorEastAsia"/>
                <w:spacing w:val="-55"/>
                <w:kern w:val="0"/>
                <w:sz w:val="24"/>
                <w:highlight w:val="none"/>
                <w:lang w:eastAsia="en-US"/>
              </w:rPr>
              <w:t xml:space="preserve"> 万</w:t>
            </w:r>
            <w:r>
              <w:rPr>
                <w:rFonts w:hint="eastAsia" w:ascii="宋体" w:hAnsi="宋体" w:cs="宋体" w:eastAsiaTheme="minorEastAsia"/>
                <w:spacing w:val="-55"/>
                <w:kern w:val="0"/>
                <w:sz w:val="24"/>
                <w:highlight w:val="none"/>
                <w:lang w:val="en-US" w:eastAsia="zh-CN"/>
              </w:rPr>
              <w:t xml:space="preserve">           </w:t>
            </w:r>
            <w:r>
              <w:rPr>
                <w:rFonts w:hint="eastAsia" w:ascii="宋体" w:hAnsi="宋体" w:cs="宋体" w:eastAsiaTheme="minorEastAsia"/>
                <w:spacing w:val="-55"/>
                <w:kern w:val="0"/>
                <w:sz w:val="24"/>
                <w:highlight w:val="none"/>
                <w:lang w:eastAsia="en-US"/>
              </w:rPr>
              <w:t>元</w:t>
            </w:r>
          </w:p>
        </w:tc>
      </w:tr>
    </w:tbl>
    <w:p w14:paraId="12FC5BB3">
      <w:pPr>
        <w:spacing w:line="360" w:lineRule="auto"/>
        <w:rPr>
          <w:rFonts w:ascii="宋体" w:hAnsi="宋体" w:cs="宋体"/>
          <w:sz w:val="24"/>
        </w:rPr>
      </w:pPr>
    </w:p>
    <w:p w14:paraId="76569187">
      <w:pPr>
        <w:pStyle w:val="9"/>
        <w:spacing w:after="0" w:line="360" w:lineRule="auto"/>
        <w:ind w:left="0" w:leftChars="0" w:firstLine="0" w:firstLineChars="0"/>
        <w:rPr>
          <w:rFonts w:ascii="宋体" w:hAnsi="宋体" w:cs="宋体"/>
          <w:szCs w:val="24"/>
        </w:rPr>
      </w:pPr>
      <w:r>
        <w:rPr>
          <w:rFonts w:hint="eastAsia" w:ascii="宋体" w:hAnsi="宋体" w:cs="宋体"/>
          <w:szCs w:val="24"/>
        </w:rPr>
        <w:t>3.3公共管理责任险</w:t>
      </w:r>
    </w:p>
    <w:p w14:paraId="7219EE63">
      <w:pPr>
        <w:pStyle w:val="9"/>
        <w:spacing w:after="0" w:line="360" w:lineRule="auto"/>
        <w:ind w:left="0" w:leftChars="0" w:firstLine="0" w:firstLineChars="0"/>
        <w:rPr>
          <w:rFonts w:ascii="宋体" w:hAnsi="宋体" w:cs="宋体"/>
          <w:spacing w:val="6"/>
          <w:szCs w:val="24"/>
        </w:rPr>
      </w:pPr>
      <w:r>
        <w:rPr>
          <w:rFonts w:hint="eastAsia" w:ascii="宋体" w:hAnsi="宋体" w:cs="宋体"/>
          <w:szCs w:val="24"/>
        </w:rPr>
        <w:t>3.3.</w:t>
      </w:r>
      <w:r>
        <w:rPr>
          <w:rFonts w:hint="eastAsia" w:ascii="宋体" w:hAnsi="宋体" w:cs="宋体"/>
          <w:spacing w:val="6"/>
          <w:szCs w:val="24"/>
        </w:rPr>
        <w:t>1基本要求</w:t>
      </w:r>
    </w:p>
    <w:p w14:paraId="67DB4007">
      <w:pPr>
        <w:pStyle w:val="4"/>
        <w:spacing w:before="0" w:line="360" w:lineRule="auto"/>
        <w:ind w:firstLine="480" w:firstLineChars="200"/>
        <w:rPr>
          <w:rFonts w:cs="宋体"/>
        </w:rPr>
      </w:pPr>
      <w:r>
        <w:rPr>
          <w:rFonts w:hint="eastAsia" w:cs="宋体"/>
        </w:rPr>
        <w:t xml:space="preserve">在献血点区域范围内从事献血活动过程中，因发生生产安全事故及相关事故（1）导致医务人员和第三者死亡或伤残；（2）导致医务人员或第三者遭受伤害所产生的医疗费用；（3）被保险人为抢救受伤和被困人员或者避免人员伤亡，产生的必要、合理的费用；（4）保险事故发生后，被保险人因保险事故而被提起仲裁或者诉讼的， </w:t>
      </w:r>
      <w:r>
        <w:rPr>
          <w:rFonts w:hint="eastAsia" w:cs="宋体"/>
          <w:spacing w:val="6"/>
        </w:rPr>
        <w:t>对应由被保险人支付的仲裁或诉讼费用以及事先经保险人书面同意支付的</w:t>
      </w:r>
      <w:r>
        <w:rPr>
          <w:rFonts w:hint="eastAsia" w:cs="宋体"/>
          <w:spacing w:val="-117"/>
        </w:rPr>
        <w:t xml:space="preserve"> </w:t>
      </w:r>
      <w:r>
        <w:rPr>
          <w:rFonts w:hint="eastAsia" w:cs="宋体"/>
        </w:rPr>
        <w:t>其他必要的、合理的费用。</w:t>
      </w:r>
    </w:p>
    <w:p w14:paraId="61343451">
      <w:pPr>
        <w:pStyle w:val="4"/>
        <w:spacing w:before="0" w:line="360" w:lineRule="auto"/>
        <w:rPr>
          <w:rFonts w:cs="宋体"/>
        </w:rPr>
      </w:pPr>
      <w:r>
        <w:rPr>
          <w:rFonts w:hint="eastAsia" w:cs="宋体"/>
        </w:rPr>
        <w:t>3.3.2公共管理责任险保险要求</w:t>
      </w:r>
    </w:p>
    <w:tbl>
      <w:tblPr>
        <w:tblStyle w:val="17"/>
        <w:tblW w:w="5034" w:type="pct"/>
        <w:tblInd w:w="0" w:type="dxa"/>
        <w:tblLayout w:type="autofit"/>
        <w:tblCellMar>
          <w:top w:w="0" w:type="dxa"/>
          <w:left w:w="0" w:type="dxa"/>
          <w:bottom w:w="0" w:type="dxa"/>
          <w:right w:w="0" w:type="dxa"/>
        </w:tblCellMar>
      </w:tblPr>
      <w:tblGrid>
        <w:gridCol w:w="4710"/>
        <w:gridCol w:w="3663"/>
      </w:tblGrid>
      <w:tr w14:paraId="75758D56">
        <w:tblPrEx>
          <w:tblCellMar>
            <w:top w:w="0" w:type="dxa"/>
            <w:left w:w="0" w:type="dxa"/>
            <w:bottom w:w="0" w:type="dxa"/>
            <w:right w:w="0" w:type="dxa"/>
          </w:tblCellMar>
        </w:tblPrEx>
        <w:trPr>
          <w:trHeight w:val="422" w:hRule="exact"/>
        </w:trPr>
        <w:tc>
          <w:tcPr>
            <w:tcW w:w="2812" w:type="pct"/>
            <w:tcBorders>
              <w:top w:val="single" w:color="000000" w:sz="4" w:space="0"/>
              <w:left w:val="single" w:color="000000" w:sz="4" w:space="0"/>
              <w:bottom w:val="single" w:color="000000" w:sz="4" w:space="0"/>
              <w:right w:val="single" w:color="000000" w:sz="4" w:space="0"/>
            </w:tcBorders>
          </w:tcPr>
          <w:p w14:paraId="2AC7F738">
            <w:pPr>
              <w:autoSpaceDE w:val="0"/>
              <w:autoSpaceDN w:val="0"/>
              <w:spacing w:line="360" w:lineRule="auto"/>
              <w:jc w:val="center"/>
              <w:rPr>
                <w:rFonts w:ascii="宋体" w:hAnsi="宋体" w:cs="宋体" w:eastAsiaTheme="minorEastAsia"/>
                <w:kern w:val="0"/>
                <w:sz w:val="24"/>
                <w:lang w:eastAsia="en-US"/>
              </w:rPr>
            </w:pPr>
            <w:r>
              <w:rPr>
                <w:rFonts w:hint="eastAsia" w:ascii="宋体" w:hAnsi="宋体" w:cs="宋体" w:eastAsiaTheme="minorEastAsia"/>
                <w:b/>
                <w:bCs/>
                <w:kern w:val="0"/>
                <w:sz w:val="24"/>
                <w:lang w:eastAsia="en-US"/>
              </w:rPr>
              <w:t>限额名称</w:t>
            </w:r>
          </w:p>
        </w:tc>
        <w:tc>
          <w:tcPr>
            <w:tcW w:w="2187" w:type="pct"/>
            <w:tcBorders>
              <w:top w:val="single" w:color="000000" w:sz="4" w:space="0"/>
              <w:left w:val="single" w:color="000000" w:sz="4" w:space="0"/>
              <w:bottom w:val="single" w:color="000000" w:sz="4" w:space="0"/>
              <w:right w:val="single" w:color="000000" w:sz="4" w:space="0"/>
            </w:tcBorders>
          </w:tcPr>
          <w:p w14:paraId="5463F97B">
            <w:pPr>
              <w:autoSpaceDE w:val="0"/>
              <w:autoSpaceDN w:val="0"/>
              <w:spacing w:line="360" w:lineRule="auto"/>
              <w:jc w:val="center"/>
              <w:rPr>
                <w:rFonts w:ascii="宋体" w:hAnsi="宋体" w:cs="宋体" w:eastAsiaTheme="minorEastAsia"/>
                <w:kern w:val="0"/>
                <w:sz w:val="24"/>
                <w:highlight w:val="none"/>
                <w:lang w:eastAsia="en-US"/>
              </w:rPr>
            </w:pPr>
            <w:r>
              <w:rPr>
                <w:rFonts w:hint="eastAsia" w:ascii="宋体" w:hAnsi="宋体" w:cs="宋体" w:eastAsiaTheme="minorEastAsia"/>
                <w:kern w:val="0"/>
                <w:sz w:val="24"/>
                <w:highlight w:val="none"/>
                <w:lang w:eastAsia="en-US"/>
              </w:rPr>
              <w:t>责任限额不低于下述金额（万元）</w:t>
            </w:r>
          </w:p>
          <w:p w14:paraId="1A66D13B">
            <w:pPr>
              <w:autoSpaceDE w:val="0"/>
              <w:autoSpaceDN w:val="0"/>
              <w:spacing w:line="360" w:lineRule="auto"/>
              <w:jc w:val="center"/>
              <w:rPr>
                <w:rFonts w:ascii="宋体" w:hAnsi="宋体" w:cs="宋体" w:eastAsiaTheme="minorEastAsia"/>
                <w:kern w:val="0"/>
                <w:sz w:val="24"/>
                <w:lang w:eastAsia="en-US"/>
              </w:rPr>
            </w:pPr>
          </w:p>
        </w:tc>
      </w:tr>
      <w:tr w14:paraId="57733524">
        <w:tblPrEx>
          <w:tblCellMar>
            <w:top w:w="0" w:type="dxa"/>
            <w:left w:w="0" w:type="dxa"/>
            <w:bottom w:w="0" w:type="dxa"/>
            <w:right w:w="0" w:type="dxa"/>
          </w:tblCellMar>
        </w:tblPrEx>
        <w:trPr>
          <w:trHeight w:val="407" w:hRule="exact"/>
        </w:trPr>
        <w:tc>
          <w:tcPr>
            <w:tcW w:w="2812" w:type="pct"/>
            <w:tcBorders>
              <w:top w:val="single" w:color="000000" w:sz="4" w:space="0"/>
              <w:left w:val="single" w:color="000000" w:sz="4" w:space="0"/>
              <w:bottom w:val="single" w:color="000000" w:sz="4" w:space="0"/>
              <w:right w:val="single" w:color="000000" w:sz="4" w:space="0"/>
            </w:tcBorders>
          </w:tcPr>
          <w:p w14:paraId="39BC1254">
            <w:pPr>
              <w:autoSpaceDE w:val="0"/>
              <w:autoSpaceDN w:val="0"/>
              <w:spacing w:line="360" w:lineRule="auto"/>
              <w:jc w:val="center"/>
              <w:rPr>
                <w:rFonts w:ascii="宋体" w:hAnsi="宋体" w:cs="宋体" w:eastAsiaTheme="minorEastAsia"/>
                <w:kern w:val="0"/>
                <w:sz w:val="24"/>
                <w:lang w:eastAsia="en-US"/>
              </w:rPr>
            </w:pPr>
            <w:r>
              <w:rPr>
                <w:rFonts w:hint="eastAsia" w:ascii="宋体" w:hAnsi="宋体" w:cs="宋体" w:eastAsiaTheme="minorEastAsia"/>
                <w:kern w:val="0"/>
                <w:sz w:val="24"/>
                <w:lang w:eastAsia="en-US"/>
              </w:rPr>
              <w:t>累计责任限额</w:t>
            </w:r>
          </w:p>
        </w:tc>
        <w:tc>
          <w:tcPr>
            <w:tcW w:w="2187" w:type="pct"/>
            <w:tcBorders>
              <w:top w:val="single" w:color="000000" w:sz="4" w:space="0"/>
              <w:left w:val="single" w:color="000000" w:sz="4" w:space="0"/>
              <w:bottom w:val="single" w:color="000000" w:sz="4" w:space="0"/>
              <w:right w:val="single" w:color="000000" w:sz="4" w:space="0"/>
            </w:tcBorders>
          </w:tcPr>
          <w:p w14:paraId="7F18048B">
            <w:pPr>
              <w:autoSpaceDE w:val="0"/>
              <w:autoSpaceDN w:val="0"/>
              <w:spacing w:line="360" w:lineRule="auto"/>
              <w:jc w:val="center"/>
              <w:rPr>
                <w:rFonts w:ascii="宋体" w:hAnsi="宋体" w:cs="宋体" w:eastAsiaTheme="minorEastAsia"/>
                <w:kern w:val="0"/>
                <w:sz w:val="24"/>
                <w:lang w:eastAsia="en-US"/>
              </w:rPr>
            </w:pPr>
            <w:r>
              <w:rPr>
                <w:rFonts w:hint="eastAsia" w:ascii="宋体" w:hAnsi="宋体" w:cs="宋体" w:eastAsiaTheme="minorEastAsia"/>
                <w:kern w:val="0"/>
                <w:sz w:val="24"/>
                <w:lang w:eastAsia="en-US"/>
              </w:rPr>
              <w:t>3000.00</w:t>
            </w:r>
          </w:p>
        </w:tc>
      </w:tr>
      <w:tr w14:paraId="6B818E1A">
        <w:tblPrEx>
          <w:tblCellMar>
            <w:top w:w="0" w:type="dxa"/>
            <w:left w:w="0" w:type="dxa"/>
            <w:bottom w:w="0" w:type="dxa"/>
            <w:right w:w="0" w:type="dxa"/>
          </w:tblCellMar>
        </w:tblPrEx>
        <w:trPr>
          <w:trHeight w:val="407" w:hRule="exact"/>
        </w:trPr>
        <w:tc>
          <w:tcPr>
            <w:tcW w:w="2812" w:type="pct"/>
            <w:tcBorders>
              <w:top w:val="single" w:color="000000" w:sz="4" w:space="0"/>
              <w:left w:val="single" w:color="000000" w:sz="4" w:space="0"/>
              <w:bottom w:val="single" w:color="000000" w:sz="4" w:space="0"/>
              <w:right w:val="single" w:color="000000" w:sz="4" w:space="0"/>
            </w:tcBorders>
          </w:tcPr>
          <w:p w14:paraId="79CA8E9A">
            <w:pPr>
              <w:autoSpaceDE w:val="0"/>
              <w:autoSpaceDN w:val="0"/>
              <w:spacing w:line="360" w:lineRule="auto"/>
              <w:jc w:val="left"/>
              <w:rPr>
                <w:rFonts w:ascii="宋体" w:hAnsi="宋体" w:cs="宋体" w:eastAsiaTheme="minorEastAsia"/>
                <w:kern w:val="0"/>
                <w:sz w:val="24"/>
                <w:lang w:eastAsia="en-US"/>
              </w:rPr>
            </w:pPr>
            <w:r>
              <w:rPr>
                <w:rFonts w:hint="eastAsia" w:ascii="宋体" w:hAnsi="宋体" w:cs="宋体" w:eastAsiaTheme="minorEastAsia"/>
                <w:kern w:val="0"/>
                <w:sz w:val="24"/>
                <w:lang w:eastAsia="en-US"/>
              </w:rPr>
              <w:t>每次事故责任限额</w:t>
            </w:r>
          </w:p>
        </w:tc>
        <w:tc>
          <w:tcPr>
            <w:tcW w:w="2187" w:type="pct"/>
            <w:tcBorders>
              <w:top w:val="single" w:color="000000" w:sz="4" w:space="0"/>
              <w:left w:val="single" w:color="000000" w:sz="4" w:space="0"/>
              <w:bottom w:val="single" w:color="000000" w:sz="4" w:space="0"/>
              <w:right w:val="single" w:color="000000" w:sz="4" w:space="0"/>
            </w:tcBorders>
          </w:tcPr>
          <w:p w14:paraId="6ACD92B1">
            <w:pPr>
              <w:autoSpaceDE w:val="0"/>
              <w:autoSpaceDN w:val="0"/>
              <w:spacing w:line="360" w:lineRule="auto"/>
              <w:jc w:val="center"/>
              <w:rPr>
                <w:rFonts w:ascii="宋体" w:hAnsi="宋体" w:cs="宋体" w:eastAsiaTheme="minorEastAsia"/>
                <w:kern w:val="0"/>
                <w:sz w:val="24"/>
                <w:lang w:eastAsia="en-US"/>
              </w:rPr>
            </w:pPr>
            <w:r>
              <w:rPr>
                <w:rFonts w:hint="eastAsia" w:ascii="宋体" w:hAnsi="宋体" w:cs="宋体" w:eastAsiaTheme="minorEastAsia"/>
                <w:kern w:val="0"/>
                <w:sz w:val="24"/>
                <w:lang w:eastAsia="en-US"/>
              </w:rPr>
              <w:t>3000.00</w:t>
            </w:r>
          </w:p>
        </w:tc>
      </w:tr>
      <w:tr w14:paraId="53AC1964">
        <w:tblPrEx>
          <w:tblCellMar>
            <w:top w:w="0" w:type="dxa"/>
            <w:left w:w="0" w:type="dxa"/>
            <w:bottom w:w="0" w:type="dxa"/>
            <w:right w:w="0" w:type="dxa"/>
          </w:tblCellMar>
        </w:tblPrEx>
        <w:trPr>
          <w:trHeight w:val="407" w:hRule="exact"/>
        </w:trPr>
        <w:tc>
          <w:tcPr>
            <w:tcW w:w="2812" w:type="pct"/>
            <w:tcBorders>
              <w:top w:val="single" w:color="000000" w:sz="4" w:space="0"/>
              <w:left w:val="single" w:color="000000" w:sz="4" w:space="0"/>
              <w:bottom w:val="single" w:color="000000" w:sz="4" w:space="0"/>
              <w:right w:val="single" w:color="000000" w:sz="4" w:space="0"/>
            </w:tcBorders>
          </w:tcPr>
          <w:p w14:paraId="64357ABF">
            <w:pPr>
              <w:autoSpaceDE w:val="0"/>
              <w:autoSpaceDN w:val="0"/>
              <w:spacing w:line="360" w:lineRule="auto"/>
              <w:jc w:val="left"/>
              <w:rPr>
                <w:rFonts w:ascii="宋体" w:hAnsi="宋体" w:cs="宋体" w:eastAsiaTheme="minorEastAsia"/>
                <w:kern w:val="0"/>
                <w:sz w:val="24"/>
                <w:lang w:eastAsia="en-US"/>
              </w:rPr>
            </w:pPr>
            <w:r>
              <w:rPr>
                <w:rFonts w:hint="eastAsia" w:ascii="宋体" w:hAnsi="宋体" w:cs="宋体" w:eastAsiaTheme="minorEastAsia"/>
                <w:kern w:val="0"/>
                <w:sz w:val="24"/>
                <w:lang w:eastAsia="en-US"/>
              </w:rPr>
              <w:t>医务人员每人死亡/伤残责任限额</w:t>
            </w:r>
          </w:p>
        </w:tc>
        <w:tc>
          <w:tcPr>
            <w:tcW w:w="2187" w:type="pct"/>
            <w:tcBorders>
              <w:top w:val="single" w:color="000000" w:sz="4" w:space="0"/>
              <w:left w:val="single" w:color="000000" w:sz="4" w:space="0"/>
              <w:bottom w:val="single" w:color="000000" w:sz="4" w:space="0"/>
              <w:right w:val="single" w:color="000000" w:sz="4" w:space="0"/>
            </w:tcBorders>
          </w:tcPr>
          <w:p w14:paraId="72B2E29A">
            <w:pPr>
              <w:autoSpaceDE w:val="0"/>
              <w:autoSpaceDN w:val="0"/>
              <w:spacing w:line="360" w:lineRule="auto"/>
              <w:jc w:val="center"/>
              <w:rPr>
                <w:rFonts w:ascii="宋体" w:hAnsi="宋体" w:cs="宋体" w:eastAsiaTheme="minorEastAsia"/>
                <w:kern w:val="0"/>
                <w:sz w:val="24"/>
                <w:lang w:eastAsia="en-US"/>
              </w:rPr>
            </w:pPr>
            <w:r>
              <w:rPr>
                <w:rFonts w:hint="eastAsia" w:ascii="宋体" w:hAnsi="宋体" w:cs="宋体" w:eastAsiaTheme="minorEastAsia"/>
                <w:kern w:val="0"/>
                <w:sz w:val="24"/>
                <w:lang w:eastAsia="en-US"/>
              </w:rPr>
              <w:t>150.00</w:t>
            </w:r>
          </w:p>
        </w:tc>
      </w:tr>
      <w:tr w14:paraId="18E3DDF6">
        <w:tblPrEx>
          <w:tblCellMar>
            <w:top w:w="0" w:type="dxa"/>
            <w:left w:w="0" w:type="dxa"/>
            <w:bottom w:w="0" w:type="dxa"/>
            <w:right w:w="0" w:type="dxa"/>
          </w:tblCellMar>
        </w:tblPrEx>
        <w:trPr>
          <w:trHeight w:val="407" w:hRule="exact"/>
        </w:trPr>
        <w:tc>
          <w:tcPr>
            <w:tcW w:w="2812" w:type="pct"/>
            <w:tcBorders>
              <w:top w:val="single" w:color="000000" w:sz="4" w:space="0"/>
              <w:left w:val="single" w:color="000000" w:sz="4" w:space="0"/>
              <w:bottom w:val="single" w:color="000000" w:sz="4" w:space="0"/>
              <w:right w:val="single" w:color="000000" w:sz="4" w:space="0"/>
            </w:tcBorders>
          </w:tcPr>
          <w:p w14:paraId="0C56FD74">
            <w:pPr>
              <w:autoSpaceDE w:val="0"/>
              <w:autoSpaceDN w:val="0"/>
              <w:spacing w:line="360" w:lineRule="auto"/>
              <w:jc w:val="left"/>
              <w:rPr>
                <w:rFonts w:ascii="宋体" w:hAnsi="宋体" w:cs="宋体" w:eastAsiaTheme="minorEastAsia"/>
                <w:kern w:val="0"/>
                <w:sz w:val="24"/>
                <w:lang w:eastAsia="en-US"/>
              </w:rPr>
            </w:pPr>
            <w:r>
              <w:rPr>
                <w:rFonts w:hint="eastAsia" w:ascii="宋体" w:hAnsi="宋体" w:cs="宋体" w:eastAsiaTheme="minorEastAsia"/>
                <w:kern w:val="0"/>
                <w:sz w:val="24"/>
                <w:lang w:eastAsia="en-US"/>
              </w:rPr>
              <w:t>第三者每人死亡/伤残责任限额</w:t>
            </w:r>
          </w:p>
        </w:tc>
        <w:tc>
          <w:tcPr>
            <w:tcW w:w="2187" w:type="pct"/>
            <w:tcBorders>
              <w:top w:val="single" w:color="000000" w:sz="4" w:space="0"/>
              <w:left w:val="single" w:color="000000" w:sz="4" w:space="0"/>
              <w:bottom w:val="single" w:color="000000" w:sz="4" w:space="0"/>
              <w:right w:val="single" w:color="000000" w:sz="4" w:space="0"/>
            </w:tcBorders>
          </w:tcPr>
          <w:p w14:paraId="004602BE">
            <w:pPr>
              <w:autoSpaceDE w:val="0"/>
              <w:autoSpaceDN w:val="0"/>
              <w:spacing w:line="360" w:lineRule="auto"/>
              <w:jc w:val="center"/>
              <w:rPr>
                <w:rFonts w:ascii="宋体" w:hAnsi="宋体" w:cs="宋体" w:eastAsiaTheme="minorEastAsia"/>
                <w:kern w:val="0"/>
                <w:sz w:val="24"/>
                <w:lang w:eastAsia="en-US"/>
              </w:rPr>
            </w:pPr>
            <w:r>
              <w:rPr>
                <w:rFonts w:hint="eastAsia" w:ascii="宋体" w:hAnsi="宋体" w:cs="宋体" w:eastAsiaTheme="minorEastAsia"/>
                <w:kern w:val="0"/>
                <w:sz w:val="24"/>
                <w:lang w:eastAsia="en-US"/>
              </w:rPr>
              <w:t>150.00</w:t>
            </w:r>
          </w:p>
        </w:tc>
      </w:tr>
      <w:tr w14:paraId="64603434">
        <w:tblPrEx>
          <w:tblCellMar>
            <w:top w:w="0" w:type="dxa"/>
            <w:left w:w="0" w:type="dxa"/>
            <w:bottom w:w="0" w:type="dxa"/>
            <w:right w:w="0" w:type="dxa"/>
          </w:tblCellMar>
        </w:tblPrEx>
        <w:trPr>
          <w:trHeight w:val="407" w:hRule="exact"/>
        </w:trPr>
        <w:tc>
          <w:tcPr>
            <w:tcW w:w="2812" w:type="pct"/>
            <w:tcBorders>
              <w:top w:val="single" w:color="000000" w:sz="4" w:space="0"/>
              <w:left w:val="single" w:color="000000" w:sz="4" w:space="0"/>
              <w:bottom w:val="single" w:color="000000" w:sz="4" w:space="0"/>
              <w:right w:val="single" w:color="000000" w:sz="4" w:space="0"/>
            </w:tcBorders>
          </w:tcPr>
          <w:p w14:paraId="78C6DCEA">
            <w:pPr>
              <w:autoSpaceDE w:val="0"/>
              <w:autoSpaceDN w:val="0"/>
              <w:spacing w:line="360" w:lineRule="auto"/>
              <w:jc w:val="left"/>
              <w:rPr>
                <w:rFonts w:ascii="宋体" w:hAnsi="宋体" w:cs="宋体" w:eastAsiaTheme="minorEastAsia"/>
                <w:kern w:val="0"/>
                <w:sz w:val="24"/>
                <w:lang w:eastAsia="en-US"/>
              </w:rPr>
            </w:pPr>
            <w:r>
              <w:rPr>
                <w:rFonts w:hint="eastAsia" w:ascii="宋体" w:hAnsi="宋体" w:cs="宋体" w:eastAsiaTheme="minorEastAsia"/>
                <w:kern w:val="0"/>
                <w:sz w:val="24"/>
                <w:lang w:eastAsia="en-US"/>
              </w:rPr>
              <w:t>每次事故每人医疗费用责任限额</w:t>
            </w:r>
          </w:p>
        </w:tc>
        <w:tc>
          <w:tcPr>
            <w:tcW w:w="2187" w:type="pct"/>
            <w:tcBorders>
              <w:top w:val="single" w:color="000000" w:sz="4" w:space="0"/>
              <w:left w:val="single" w:color="000000" w:sz="4" w:space="0"/>
              <w:bottom w:val="single" w:color="000000" w:sz="4" w:space="0"/>
              <w:right w:val="single" w:color="000000" w:sz="4" w:space="0"/>
            </w:tcBorders>
          </w:tcPr>
          <w:p w14:paraId="0015EE36">
            <w:pPr>
              <w:autoSpaceDE w:val="0"/>
              <w:autoSpaceDN w:val="0"/>
              <w:spacing w:line="360" w:lineRule="auto"/>
              <w:jc w:val="center"/>
              <w:rPr>
                <w:rFonts w:ascii="宋体" w:hAnsi="宋体" w:cs="宋体" w:eastAsiaTheme="minorEastAsia"/>
                <w:kern w:val="0"/>
                <w:sz w:val="24"/>
                <w:lang w:eastAsia="en-US"/>
              </w:rPr>
            </w:pPr>
            <w:r>
              <w:rPr>
                <w:rFonts w:hint="eastAsia" w:ascii="宋体" w:hAnsi="宋体" w:cs="宋体" w:eastAsiaTheme="minorEastAsia"/>
                <w:kern w:val="0"/>
                <w:sz w:val="24"/>
                <w:lang w:eastAsia="en-US"/>
              </w:rPr>
              <w:t>30.00</w:t>
            </w:r>
          </w:p>
        </w:tc>
      </w:tr>
      <w:tr w14:paraId="107686A9">
        <w:tblPrEx>
          <w:tblCellMar>
            <w:top w:w="0" w:type="dxa"/>
            <w:left w:w="0" w:type="dxa"/>
            <w:bottom w:w="0" w:type="dxa"/>
            <w:right w:w="0" w:type="dxa"/>
          </w:tblCellMar>
        </w:tblPrEx>
        <w:trPr>
          <w:trHeight w:val="407" w:hRule="exact"/>
        </w:trPr>
        <w:tc>
          <w:tcPr>
            <w:tcW w:w="2812" w:type="pct"/>
            <w:tcBorders>
              <w:top w:val="single" w:color="000000" w:sz="4" w:space="0"/>
              <w:left w:val="single" w:color="000000" w:sz="4" w:space="0"/>
              <w:bottom w:val="single" w:color="000000" w:sz="4" w:space="0"/>
              <w:right w:val="single" w:color="000000" w:sz="4" w:space="0"/>
            </w:tcBorders>
          </w:tcPr>
          <w:p w14:paraId="59BF9DA3">
            <w:pPr>
              <w:autoSpaceDE w:val="0"/>
              <w:autoSpaceDN w:val="0"/>
              <w:spacing w:line="360" w:lineRule="auto"/>
              <w:jc w:val="left"/>
              <w:rPr>
                <w:rFonts w:ascii="宋体" w:hAnsi="宋体" w:cs="宋体" w:eastAsiaTheme="minorEastAsia"/>
                <w:kern w:val="0"/>
                <w:sz w:val="24"/>
                <w:lang w:eastAsia="en-US"/>
              </w:rPr>
            </w:pPr>
            <w:r>
              <w:rPr>
                <w:rFonts w:hint="eastAsia" w:ascii="宋体" w:hAnsi="宋体" w:cs="宋体" w:eastAsiaTheme="minorEastAsia"/>
                <w:kern w:val="0"/>
                <w:sz w:val="24"/>
                <w:lang w:eastAsia="en-US"/>
              </w:rPr>
              <w:t>每次事故救援费用责任限额</w:t>
            </w:r>
          </w:p>
        </w:tc>
        <w:tc>
          <w:tcPr>
            <w:tcW w:w="2187" w:type="pct"/>
            <w:tcBorders>
              <w:top w:val="single" w:color="000000" w:sz="4" w:space="0"/>
              <w:left w:val="single" w:color="000000" w:sz="4" w:space="0"/>
              <w:bottom w:val="single" w:color="000000" w:sz="4" w:space="0"/>
              <w:right w:val="single" w:color="000000" w:sz="4" w:space="0"/>
            </w:tcBorders>
          </w:tcPr>
          <w:p w14:paraId="270F492A">
            <w:pPr>
              <w:autoSpaceDE w:val="0"/>
              <w:autoSpaceDN w:val="0"/>
              <w:spacing w:line="360" w:lineRule="auto"/>
              <w:jc w:val="center"/>
              <w:rPr>
                <w:rFonts w:ascii="宋体" w:hAnsi="宋体" w:cs="宋体" w:eastAsiaTheme="minorEastAsia"/>
                <w:kern w:val="0"/>
                <w:sz w:val="24"/>
                <w:lang w:eastAsia="en-US"/>
              </w:rPr>
            </w:pPr>
            <w:r>
              <w:rPr>
                <w:rFonts w:hint="eastAsia" w:ascii="宋体" w:hAnsi="宋体" w:cs="宋体" w:eastAsiaTheme="minorEastAsia"/>
                <w:kern w:val="0"/>
                <w:sz w:val="24"/>
                <w:lang w:eastAsia="en-US"/>
              </w:rPr>
              <w:t>300.00</w:t>
            </w:r>
          </w:p>
        </w:tc>
      </w:tr>
      <w:tr w14:paraId="23FCE62F">
        <w:tblPrEx>
          <w:tblCellMar>
            <w:top w:w="0" w:type="dxa"/>
            <w:left w:w="0" w:type="dxa"/>
            <w:bottom w:w="0" w:type="dxa"/>
            <w:right w:w="0" w:type="dxa"/>
          </w:tblCellMar>
        </w:tblPrEx>
        <w:trPr>
          <w:trHeight w:val="407" w:hRule="exact"/>
        </w:trPr>
        <w:tc>
          <w:tcPr>
            <w:tcW w:w="2812" w:type="pct"/>
            <w:tcBorders>
              <w:top w:val="single" w:color="000000" w:sz="4" w:space="0"/>
              <w:left w:val="single" w:color="000000" w:sz="4" w:space="0"/>
              <w:bottom w:val="single" w:color="000000" w:sz="4" w:space="0"/>
              <w:right w:val="single" w:color="000000" w:sz="4" w:space="0"/>
            </w:tcBorders>
          </w:tcPr>
          <w:p w14:paraId="2E18AFED">
            <w:pPr>
              <w:autoSpaceDE w:val="0"/>
              <w:autoSpaceDN w:val="0"/>
              <w:spacing w:line="360" w:lineRule="auto"/>
              <w:jc w:val="left"/>
              <w:rPr>
                <w:rFonts w:ascii="宋体" w:hAnsi="宋体" w:cs="宋体" w:eastAsiaTheme="minorEastAsia"/>
                <w:kern w:val="0"/>
                <w:sz w:val="24"/>
                <w:lang w:eastAsia="en-US"/>
              </w:rPr>
            </w:pPr>
            <w:r>
              <w:rPr>
                <w:rFonts w:hint="eastAsia" w:ascii="宋体" w:hAnsi="宋体" w:cs="宋体" w:eastAsiaTheme="minorEastAsia"/>
                <w:kern w:val="0"/>
                <w:sz w:val="24"/>
                <w:lang w:eastAsia="en-US"/>
              </w:rPr>
              <w:t>每次事故每人</w:t>
            </w:r>
            <w:r>
              <w:rPr>
                <w:rFonts w:hint="eastAsia" w:ascii="宋体" w:hAnsi="宋体" w:cs="宋体" w:eastAsiaTheme="minorEastAsia"/>
                <w:b/>
                <w:bCs/>
                <w:kern w:val="0"/>
                <w:sz w:val="24"/>
                <w:lang w:eastAsia="en-US"/>
              </w:rPr>
              <w:t>每天</w:t>
            </w:r>
            <w:r>
              <w:rPr>
                <w:rFonts w:hint="eastAsia" w:ascii="宋体" w:hAnsi="宋体" w:cs="宋体" w:eastAsiaTheme="minorEastAsia"/>
                <w:kern w:val="0"/>
                <w:sz w:val="24"/>
                <w:lang w:eastAsia="en-US"/>
              </w:rPr>
              <w:t>疏散费用限额</w:t>
            </w:r>
          </w:p>
        </w:tc>
        <w:tc>
          <w:tcPr>
            <w:tcW w:w="2187" w:type="pct"/>
            <w:tcBorders>
              <w:top w:val="single" w:color="000000" w:sz="4" w:space="0"/>
              <w:left w:val="single" w:color="000000" w:sz="4" w:space="0"/>
              <w:bottom w:val="single" w:color="000000" w:sz="4" w:space="0"/>
              <w:right w:val="single" w:color="000000" w:sz="4" w:space="0"/>
            </w:tcBorders>
          </w:tcPr>
          <w:p w14:paraId="0421E939">
            <w:pPr>
              <w:autoSpaceDE w:val="0"/>
              <w:autoSpaceDN w:val="0"/>
              <w:spacing w:line="360" w:lineRule="auto"/>
              <w:jc w:val="center"/>
              <w:rPr>
                <w:rFonts w:ascii="宋体" w:hAnsi="宋体" w:cs="宋体" w:eastAsiaTheme="minorEastAsia"/>
                <w:kern w:val="0"/>
                <w:sz w:val="24"/>
                <w:lang w:eastAsia="en-US"/>
              </w:rPr>
            </w:pPr>
            <w:r>
              <w:rPr>
                <w:rFonts w:hint="eastAsia" w:ascii="宋体" w:hAnsi="宋体" w:cs="宋体" w:eastAsiaTheme="minorEastAsia"/>
                <w:kern w:val="0"/>
                <w:sz w:val="24"/>
                <w:lang w:eastAsia="en-US"/>
              </w:rPr>
              <w:t>0.05</w:t>
            </w:r>
          </w:p>
        </w:tc>
      </w:tr>
      <w:tr w14:paraId="5EC46E03">
        <w:tblPrEx>
          <w:tblCellMar>
            <w:top w:w="0" w:type="dxa"/>
            <w:left w:w="0" w:type="dxa"/>
            <w:bottom w:w="0" w:type="dxa"/>
            <w:right w:w="0" w:type="dxa"/>
          </w:tblCellMar>
        </w:tblPrEx>
        <w:trPr>
          <w:trHeight w:val="2012" w:hRule="exact"/>
        </w:trPr>
        <w:tc>
          <w:tcPr>
            <w:tcW w:w="2812" w:type="pct"/>
            <w:tcBorders>
              <w:top w:val="single" w:color="000000" w:sz="4" w:space="0"/>
              <w:left w:val="single" w:color="000000" w:sz="4" w:space="0"/>
              <w:bottom w:val="single" w:color="000000" w:sz="4" w:space="0"/>
              <w:right w:val="single" w:color="000000" w:sz="4" w:space="0"/>
            </w:tcBorders>
          </w:tcPr>
          <w:p w14:paraId="38174E93">
            <w:pPr>
              <w:autoSpaceDE w:val="0"/>
              <w:autoSpaceDN w:val="0"/>
              <w:spacing w:line="360" w:lineRule="auto"/>
              <w:jc w:val="left"/>
              <w:rPr>
                <w:rFonts w:ascii="宋体" w:hAnsi="宋体" w:cs="宋体" w:eastAsiaTheme="minorEastAsia"/>
                <w:kern w:val="0"/>
                <w:sz w:val="24"/>
                <w:lang w:eastAsia="en-US"/>
              </w:rPr>
            </w:pPr>
            <w:r>
              <w:rPr>
                <w:rFonts w:hint="eastAsia" w:ascii="宋体" w:hAnsi="宋体" w:cs="宋体" w:eastAsiaTheme="minorEastAsia"/>
                <w:kern w:val="0"/>
                <w:sz w:val="24"/>
                <w:lang w:eastAsia="en-US"/>
              </w:rPr>
              <w:t>医务人员应急救助补偿金限额</w:t>
            </w:r>
          </w:p>
          <w:p w14:paraId="712E2B66">
            <w:pPr>
              <w:autoSpaceDE w:val="0"/>
              <w:autoSpaceDN w:val="0"/>
              <w:spacing w:line="360" w:lineRule="auto"/>
              <w:ind w:firstLine="4"/>
              <w:rPr>
                <w:rFonts w:ascii="宋体" w:hAnsi="宋体" w:cs="宋体" w:eastAsiaTheme="minorEastAsia"/>
                <w:kern w:val="0"/>
                <w:sz w:val="24"/>
                <w:lang w:eastAsia="en-US"/>
              </w:rPr>
            </w:pPr>
            <w:r>
              <w:rPr>
                <w:rFonts w:hint="eastAsia" w:ascii="宋体" w:hAnsi="宋体" w:cs="宋体" w:eastAsiaTheme="minorEastAsia"/>
                <w:kern w:val="0"/>
                <w:sz w:val="24"/>
                <w:lang w:eastAsia="en-US"/>
              </w:rPr>
              <w:t>（在工作期间因火灾或爆炸等事故原因导</w:t>
            </w:r>
            <w:r>
              <w:rPr>
                <w:rFonts w:hint="eastAsia" w:ascii="宋体" w:hAnsi="宋体" w:cs="宋体" w:eastAsiaTheme="minorEastAsia"/>
                <w:w w:val="99"/>
                <w:kern w:val="0"/>
                <w:sz w:val="24"/>
                <w:lang w:eastAsia="en-US"/>
              </w:rPr>
              <w:t xml:space="preserve"> </w:t>
            </w:r>
            <w:r>
              <w:rPr>
                <w:rFonts w:hint="eastAsia" w:ascii="宋体" w:hAnsi="宋体" w:cs="宋体" w:eastAsiaTheme="minorEastAsia"/>
                <w:kern w:val="0"/>
                <w:sz w:val="24"/>
                <w:lang w:eastAsia="en-US"/>
              </w:rPr>
              <w:t>致死亡或伤残，无法获得被保险人以外事</w:t>
            </w:r>
            <w:r>
              <w:rPr>
                <w:rFonts w:hint="eastAsia" w:ascii="宋体" w:hAnsi="宋体" w:cs="宋体" w:eastAsiaTheme="minorEastAsia"/>
                <w:w w:val="99"/>
                <w:kern w:val="0"/>
                <w:sz w:val="24"/>
                <w:lang w:eastAsia="en-US"/>
              </w:rPr>
              <w:t xml:space="preserve"> </w:t>
            </w:r>
            <w:r>
              <w:rPr>
                <w:rFonts w:hint="eastAsia" w:ascii="宋体" w:hAnsi="宋体" w:cs="宋体" w:eastAsiaTheme="minorEastAsia"/>
                <w:spacing w:val="-5"/>
                <w:kern w:val="0"/>
                <w:sz w:val="24"/>
                <w:lang w:eastAsia="en-US"/>
              </w:rPr>
              <w:t>故责任方经济赔偿的，保险公司负责赔偿）</w:t>
            </w:r>
          </w:p>
        </w:tc>
        <w:tc>
          <w:tcPr>
            <w:tcW w:w="2187" w:type="pct"/>
            <w:tcBorders>
              <w:top w:val="single" w:color="000000" w:sz="4" w:space="0"/>
              <w:left w:val="single" w:color="000000" w:sz="4" w:space="0"/>
              <w:bottom w:val="single" w:color="000000" w:sz="4" w:space="0"/>
              <w:right w:val="single" w:color="000000" w:sz="4" w:space="0"/>
            </w:tcBorders>
          </w:tcPr>
          <w:p w14:paraId="1343EBA2">
            <w:pPr>
              <w:autoSpaceDE w:val="0"/>
              <w:autoSpaceDN w:val="0"/>
              <w:spacing w:line="360" w:lineRule="auto"/>
              <w:jc w:val="center"/>
              <w:rPr>
                <w:rFonts w:ascii="宋体" w:hAnsi="宋体" w:cs="宋体" w:eastAsiaTheme="minorEastAsia"/>
                <w:b/>
                <w:bCs/>
                <w:kern w:val="0"/>
                <w:sz w:val="24"/>
                <w:lang w:eastAsia="en-US"/>
              </w:rPr>
            </w:pPr>
          </w:p>
          <w:p w14:paraId="2FB357D4">
            <w:pPr>
              <w:autoSpaceDE w:val="0"/>
              <w:autoSpaceDN w:val="0"/>
              <w:spacing w:line="360" w:lineRule="auto"/>
              <w:jc w:val="center"/>
              <w:rPr>
                <w:rFonts w:ascii="宋体" w:hAnsi="宋体" w:cs="宋体" w:eastAsiaTheme="minorEastAsia"/>
                <w:b/>
                <w:bCs/>
                <w:kern w:val="0"/>
                <w:sz w:val="24"/>
                <w:lang w:eastAsia="en-US"/>
              </w:rPr>
            </w:pPr>
          </w:p>
          <w:p w14:paraId="0E3D3FC7">
            <w:pPr>
              <w:autoSpaceDE w:val="0"/>
              <w:autoSpaceDN w:val="0"/>
              <w:spacing w:line="360" w:lineRule="auto"/>
              <w:jc w:val="center"/>
              <w:rPr>
                <w:rFonts w:ascii="宋体" w:hAnsi="宋体" w:cs="宋体" w:eastAsiaTheme="minorEastAsia"/>
                <w:kern w:val="0"/>
                <w:sz w:val="24"/>
                <w:lang w:eastAsia="en-US"/>
              </w:rPr>
            </w:pPr>
            <w:r>
              <w:rPr>
                <w:rFonts w:hint="eastAsia" w:ascii="宋体" w:hAnsi="宋体" w:cs="宋体" w:eastAsiaTheme="minorEastAsia"/>
                <w:kern w:val="0"/>
                <w:sz w:val="24"/>
                <w:lang w:eastAsia="en-US"/>
              </w:rPr>
              <w:t>30</w:t>
            </w:r>
          </w:p>
        </w:tc>
      </w:tr>
    </w:tbl>
    <w:p w14:paraId="30BD5630">
      <w:pPr>
        <w:pStyle w:val="4"/>
        <w:spacing w:before="137" w:line="357" w:lineRule="auto"/>
        <w:ind w:right="117"/>
        <w:rPr>
          <w:rFonts w:cs="宋体"/>
        </w:rPr>
      </w:pPr>
    </w:p>
    <w:p w14:paraId="6AA034E5">
      <w:pPr>
        <w:pStyle w:val="9"/>
        <w:ind w:left="0" w:leftChars="0" w:firstLine="0" w:firstLineChars="0"/>
        <w:rPr>
          <w:rFonts w:ascii="宋体" w:hAnsi="宋体" w:cs="宋体"/>
          <w:szCs w:val="24"/>
        </w:rPr>
      </w:pPr>
    </w:p>
    <w:p w14:paraId="2E8F64E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5E7D3">
    <w:pPr>
      <w:pStyle w:val="6"/>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3</w:t>
    </w:r>
    <w:r>
      <w:rPr>
        <w:rStyle w:val="13"/>
      </w:rPr>
      <w:fldChar w:fldCharType="end"/>
    </w:r>
  </w:p>
  <w:p w14:paraId="47EB42F9">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AD4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E5263C"/>
    <w:multiLevelType w:val="singleLevel"/>
    <w:tmpl w:val="26E5263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AB0657"/>
    <w:rsid w:val="157175E7"/>
    <w:rsid w:val="158445FD"/>
    <w:rsid w:val="1829020E"/>
    <w:rsid w:val="30DD752B"/>
    <w:rsid w:val="40BE1BF9"/>
    <w:rsid w:val="43AB0657"/>
    <w:rsid w:val="518855B2"/>
    <w:rsid w:val="56624473"/>
    <w:rsid w:val="570A507F"/>
    <w:rsid w:val="62BF6114"/>
    <w:rsid w:val="7862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100" w:beforeAutospacing="1" w:after="100" w:afterAutospacing="1"/>
      <w:jc w:val="left"/>
      <w:outlineLvl w:val="1"/>
    </w:pPr>
    <w:rPr>
      <w:rFonts w:hint="eastAsia" w:ascii="宋体" w:hAnsi="宋体" w:eastAsia="华文仿宋" w:cs="宋体"/>
      <w:b/>
      <w:kern w:val="0"/>
      <w:sz w:val="28"/>
      <w:szCs w:val="36"/>
      <w:lang w:bidi="ar"/>
    </w:rPr>
  </w:style>
  <w:style w:type="paragraph" w:styleId="3">
    <w:name w:val="heading 3"/>
    <w:basedOn w:val="1"/>
    <w:next w:val="1"/>
    <w:link w:val="15"/>
    <w:semiHidden/>
    <w:unhideWhenUsed/>
    <w:qFormat/>
    <w:uiPriority w:val="0"/>
    <w:pPr>
      <w:keepNext/>
      <w:keepLines/>
      <w:pBdr>
        <w:top w:val="none" w:color="auto" w:sz="0" w:space="1"/>
        <w:left w:val="none" w:color="auto" w:sz="0" w:space="4"/>
        <w:bottom w:val="none" w:color="auto" w:sz="0" w:space="1"/>
        <w:right w:val="none" w:color="auto" w:sz="0" w:space="4"/>
      </w:pBdr>
      <w:autoSpaceDE w:val="0"/>
      <w:autoSpaceDN w:val="0"/>
      <w:adjustRightInd w:val="0"/>
      <w:spacing w:before="360" w:after="120"/>
      <w:jc w:val="left"/>
      <w:outlineLvl w:val="2"/>
    </w:pPr>
    <w:rPr>
      <w:rFonts w:ascii="宋体" w:hAnsi="宋体" w:eastAsia="宋体" w:cs="Times New Roman"/>
      <w:b/>
      <w:kern w:val="0"/>
      <w:sz w:val="24"/>
      <w:szCs w:val="20"/>
      <w:u w:val="single"/>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tabs>
        <w:tab w:val="left" w:pos="567"/>
      </w:tabs>
      <w:spacing w:before="120" w:line="22" w:lineRule="atLeast"/>
    </w:pPr>
    <w:rPr>
      <w:rFonts w:ascii="宋体" w:hAnsi="宋体"/>
      <w:sz w:val="24"/>
    </w:rPr>
  </w:style>
  <w:style w:type="paragraph" w:styleId="5">
    <w:name w:val="Body Text Indent"/>
    <w:basedOn w:val="1"/>
    <w:qFormat/>
    <w:uiPriority w:val="0"/>
    <w:pPr>
      <w:spacing w:line="360" w:lineRule="auto"/>
      <w:ind w:firstLine="570"/>
    </w:pPr>
    <w:rPr>
      <w:sz w:val="24"/>
    </w:rPr>
  </w:style>
  <w:style w:type="paragraph" w:styleId="6">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7">
    <w:name w:val="toc 2"/>
    <w:basedOn w:val="1"/>
    <w:next w:val="1"/>
    <w:qFormat/>
    <w:uiPriority w:val="0"/>
    <w:pPr>
      <w:ind w:left="420" w:leftChars="200"/>
    </w:pPr>
  </w:style>
  <w:style w:type="paragraph" w:styleId="8">
    <w:name w:val="Body Text 2"/>
    <w:basedOn w:val="1"/>
    <w:qFormat/>
    <w:uiPriority w:val="0"/>
    <w:pPr>
      <w:spacing w:after="120" w:afterLines="0" w:afterAutospacing="0" w:line="480" w:lineRule="auto"/>
    </w:pPr>
  </w:style>
  <w:style w:type="paragraph" w:styleId="9">
    <w:name w:val="Body Text First Indent 2"/>
    <w:basedOn w:val="5"/>
    <w:qFormat/>
    <w:uiPriority w:val="0"/>
    <w:pPr>
      <w:spacing w:after="120" w:line="480" w:lineRule="exact"/>
      <w:ind w:left="420" w:leftChars="200" w:firstLine="420" w:firstLineChars="200"/>
    </w:pPr>
    <w:rPr>
      <w:szCs w:val="20"/>
    </w:rPr>
  </w:style>
  <w:style w:type="table" w:styleId="11">
    <w:name w:val="Table Grid"/>
    <w:basedOn w:val="10"/>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basedOn w:val="12"/>
    <w:qFormat/>
    <w:uiPriority w:val="0"/>
  </w:style>
  <w:style w:type="character" w:styleId="14">
    <w:name w:val="Hyperlink"/>
    <w:qFormat/>
    <w:uiPriority w:val="0"/>
    <w:rPr>
      <w:rFonts w:ascii="Times New Roman" w:hAnsi="Times New Roman" w:eastAsia="宋体"/>
      <w:color w:val="0000FF"/>
      <w:u w:val="single"/>
    </w:rPr>
  </w:style>
  <w:style w:type="character" w:customStyle="1" w:styleId="15">
    <w:name w:val="标题 3 字符2"/>
    <w:link w:val="3"/>
    <w:qFormat/>
    <w:uiPriority w:val="9"/>
    <w:rPr>
      <w:rFonts w:ascii="宋体" w:hAnsi="宋体" w:eastAsia="宋体" w:cs="Times New Roman"/>
      <w:b/>
      <w:bCs/>
      <w:sz w:val="22"/>
      <w:szCs w:val="32"/>
      <w:u w:val="none"/>
    </w:rPr>
  </w:style>
  <w:style w:type="paragraph" w:customStyle="1" w:styleId="16">
    <w:name w:val="列出段落1"/>
    <w:basedOn w:val="1"/>
    <w:autoRedefine/>
    <w:qFormat/>
    <w:uiPriority w:val="0"/>
    <w:pPr>
      <w:ind w:firstLine="420" w:firstLineChars="200"/>
    </w:pPr>
    <w:rPr>
      <w:rFonts w:ascii="Calibri" w:hAnsi="Calibri"/>
      <w:szCs w:val="22"/>
    </w:rPr>
  </w:style>
  <w:style w:type="table" w:customStyle="1" w:styleId="17">
    <w:name w:val="Table Normal"/>
    <w:autoRedefine/>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2026-07-20T05:59:00Z</dcterms:created>
  <dc:creator>用户</dc:creator>
  <cp:lastModifiedBy>用户</cp:lastModifiedBy>
  <dcterms:modified xsi:type="dcterms:W3CDTF">2026-07-20T06:00:38Z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79155F4D042C4768A9FC377E65AA4E8D_11</vt:lpwstr>
  </property>
  <property fmtid="{D5CDD505-2E9C-101B-9397-08002B2CF9AE}" pid="4" name="KSOTemplateDocerSaveRecord">
    <vt:lpwstr>eyJoZGlkIjoiNDM0NjI5NmI2YTJkZjcyNjQ4YTRjZjliZTQxZjVhYTAiLCJ1c2VySWQiOiIyOTI2NjUzMzQifQ==</vt:lpwstr>
  </property>
</Properties>
</file>