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500CA2">
      <w:pPr>
        <w:spacing w:line="360" w:lineRule="auto"/>
        <w:jc w:val="center"/>
        <w:outlineLvl w:val="0"/>
        <w:rPr>
          <w:b/>
          <w:sz w:val="36"/>
          <w:szCs w:val="36"/>
        </w:rPr>
      </w:pPr>
      <w:r>
        <w:rPr>
          <w:b/>
          <w:sz w:val="36"/>
          <w:szCs w:val="36"/>
        </w:rPr>
        <w:t>采购需求</w:t>
      </w:r>
    </w:p>
    <w:p w14:paraId="1FF4461F">
      <w:pPr>
        <w:pStyle w:val="6"/>
        <w:tabs>
          <w:tab w:val="right" w:leader="dot" w:pos="8937"/>
        </w:tabs>
      </w:pPr>
    </w:p>
    <w:p w14:paraId="54773DD4">
      <w:pPr>
        <w:pStyle w:val="11"/>
        <w:numPr>
          <w:ilvl w:val="0"/>
          <w:numId w:val="1"/>
        </w:numPr>
        <w:spacing w:line="360" w:lineRule="auto"/>
        <w:ind w:firstLineChars="0"/>
        <w:contextualSpacing/>
        <w:rPr>
          <w:rFonts w:hint="eastAsia" w:ascii="宋体" w:hAnsi="宋体" w:cs="宋体"/>
          <w:b/>
          <w:sz w:val="24"/>
          <w:szCs w:val="24"/>
        </w:rPr>
      </w:pPr>
      <w:r>
        <w:rPr>
          <w:rFonts w:hint="eastAsia" w:ascii="宋体" w:hAnsi="宋体" w:cs="宋体"/>
          <w:b/>
          <w:sz w:val="24"/>
          <w:szCs w:val="24"/>
        </w:rPr>
        <w:t>采购标的</w:t>
      </w:r>
    </w:p>
    <w:p w14:paraId="7B981C9A">
      <w:pPr>
        <w:spacing w:line="360" w:lineRule="auto"/>
        <w:ind w:firstLine="482" w:firstLineChars="200"/>
        <w:contextualSpacing/>
        <w:jc w:val="left"/>
        <w:rPr>
          <w:rFonts w:hint="eastAsia" w:asciiTheme="minorEastAsia" w:hAnsiTheme="minorEastAsia" w:eastAsiaTheme="minorEastAsia"/>
          <w:b/>
          <w:sz w:val="24"/>
        </w:rPr>
      </w:pPr>
      <w:r>
        <w:rPr>
          <w:rFonts w:hint="eastAsia" w:asciiTheme="minorEastAsia" w:hAnsiTheme="minorEastAsia" w:eastAsiaTheme="minorEastAsia"/>
          <w:b/>
          <w:sz w:val="24"/>
        </w:rPr>
        <w:t>（一）</w:t>
      </w:r>
      <w:r>
        <w:rPr>
          <w:rFonts w:asciiTheme="minorEastAsia" w:hAnsiTheme="minorEastAsia" w:eastAsiaTheme="minorEastAsia"/>
          <w:b/>
          <w:sz w:val="24"/>
        </w:rPr>
        <w:t>采购标的</w:t>
      </w:r>
    </w:p>
    <w:tbl>
      <w:tblPr>
        <w:tblStyle w:val="7"/>
        <w:tblW w:w="8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2718"/>
        <w:gridCol w:w="3173"/>
        <w:gridCol w:w="1684"/>
      </w:tblGrid>
      <w:tr w14:paraId="314B8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exact"/>
          <w:jc w:val="center"/>
        </w:trPr>
        <w:tc>
          <w:tcPr>
            <w:tcW w:w="770" w:type="dxa"/>
            <w:vAlign w:val="center"/>
          </w:tcPr>
          <w:p w14:paraId="25182F93">
            <w:pPr>
              <w:spacing w:line="276" w:lineRule="auto"/>
              <w:jc w:val="center"/>
              <w:rPr>
                <w:rFonts w:hint="eastAsia" w:ascii="宋体" w:hAnsi="宋体"/>
                <w:bCs/>
                <w:sz w:val="24"/>
              </w:rPr>
            </w:pPr>
            <w:r>
              <w:rPr>
                <w:rFonts w:hint="eastAsia" w:ascii="宋体" w:hAnsi="宋体"/>
                <w:bCs/>
                <w:sz w:val="24"/>
              </w:rPr>
              <w:t>序号</w:t>
            </w:r>
          </w:p>
        </w:tc>
        <w:tc>
          <w:tcPr>
            <w:tcW w:w="2718" w:type="dxa"/>
            <w:vAlign w:val="center"/>
          </w:tcPr>
          <w:p w14:paraId="71B029E2">
            <w:pPr>
              <w:jc w:val="center"/>
              <w:rPr>
                <w:rFonts w:hint="eastAsia" w:ascii="宋体" w:hAnsi="宋体"/>
                <w:bCs/>
                <w:sz w:val="24"/>
              </w:rPr>
            </w:pPr>
            <w:r>
              <w:rPr>
                <w:rFonts w:hint="eastAsia" w:ascii="宋体" w:hAnsi="宋体" w:cs="宋体"/>
                <w:bCs/>
                <w:sz w:val="24"/>
              </w:rPr>
              <w:t>标的名称</w:t>
            </w:r>
          </w:p>
        </w:tc>
        <w:tc>
          <w:tcPr>
            <w:tcW w:w="3173" w:type="dxa"/>
            <w:vAlign w:val="center"/>
          </w:tcPr>
          <w:p w14:paraId="1AB214D6">
            <w:pPr>
              <w:jc w:val="center"/>
              <w:rPr>
                <w:rFonts w:hint="eastAsia" w:ascii="宋体" w:hAnsi="宋体"/>
                <w:bCs/>
                <w:sz w:val="24"/>
              </w:rPr>
            </w:pPr>
            <w:r>
              <w:rPr>
                <w:rFonts w:hint="eastAsia" w:ascii="宋体" w:hAnsi="宋体" w:cs="宋体"/>
                <w:bCs/>
                <w:sz w:val="24"/>
              </w:rPr>
              <w:t>项目最高限价（万元）</w:t>
            </w:r>
          </w:p>
        </w:tc>
        <w:tc>
          <w:tcPr>
            <w:tcW w:w="1684" w:type="dxa"/>
            <w:vAlign w:val="center"/>
          </w:tcPr>
          <w:p w14:paraId="6F87E3F6">
            <w:pPr>
              <w:jc w:val="center"/>
              <w:rPr>
                <w:rFonts w:hint="eastAsia" w:ascii="宋体" w:hAnsi="宋体"/>
                <w:bCs/>
                <w:sz w:val="24"/>
              </w:rPr>
            </w:pPr>
            <w:r>
              <w:rPr>
                <w:rFonts w:hint="eastAsia" w:ascii="宋体" w:hAnsi="宋体" w:cs="宋体"/>
                <w:bCs/>
                <w:sz w:val="24"/>
              </w:rPr>
              <w:t>数量（套）</w:t>
            </w:r>
          </w:p>
        </w:tc>
      </w:tr>
      <w:tr w14:paraId="347F8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70" w:type="dxa"/>
            <w:vAlign w:val="center"/>
          </w:tcPr>
          <w:p w14:paraId="7C1C5E38">
            <w:pPr>
              <w:spacing w:line="276" w:lineRule="auto"/>
              <w:jc w:val="center"/>
              <w:rPr>
                <w:rFonts w:hint="eastAsia" w:ascii="宋体" w:hAnsi="宋体"/>
                <w:bCs/>
                <w:sz w:val="24"/>
              </w:rPr>
            </w:pPr>
            <w:r>
              <w:rPr>
                <w:rFonts w:ascii="宋体" w:hAnsi="宋体"/>
                <w:bCs/>
                <w:sz w:val="24"/>
              </w:rPr>
              <w:t>1</w:t>
            </w:r>
          </w:p>
        </w:tc>
        <w:tc>
          <w:tcPr>
            <w:tcW w:w="2718" w:type="dxa"/>
            <w:vAlign w:val="center"/>
          </w:tcPr>
          <w:p w14:paraId="3D754E48">
            <w:pPr>
              <w:jc w:val="center"/>
              <w:rPr>
                <w:rFonts w:hint="eastAsia" w:ascii="宋体" w:hAnsi="宋体"/>
                <w:bCs/>
                <w:sz w:val="24"/>
              </w:rPr>
            </w:pPr>
            <w:r>
              <w:rPr>
                <w:rFonts w:hint="eastAsia" w:ascii="宋体" w:hAnsi="宋体"/>
                <w:bCs/>
                <w:sz w:val="24"/>
              </w:rPr>
              <w:t>献血方舱</w:t>
            </w:r>
          </w:p>
        </w:tc>
        <w:tc>
          <w:tcPr>
            <w:tcW w:w="3173" w:type="dxa"/>
            <w:vAlign w:val="center"/>
          </w:tcPr>
          <w:p w14:paraId="62745A72">
            <w:pPr>
              <w:jc w:val="center"/>
              <w:rPr>
                <w:rFonts w:hint="eastAsia" w:ascii="宋体" w:hAnsi="宋体"/>
                <w:bCs/>
                <w:sz w:val="24"/>
              </w:rPr>
            </w:pPr>
            <w:r>
              <w:rPr>
                <w:rFonts w:ascii="宋体" w:hAnsi="宋体"/>
                <w:bCs/>
                <w:sz w:val="24"/>
              </w:rPr>
              <w:t>150</w:t>
            </w:r>
          </w:p>
        </w:tc>
        <w:tc>
          <w:tcPr>
            <w:tcW w:w="1684" w:type="dxa"/>
            <w:vAlign w:val="center"/>
          </w:tcPr>
          <w:p w14:paraId="61F7AFF0">
            <w:pPr>
              <w:jc w:val="center"/>
              <w:rPr>
                <w:rFonts w:hint="eastAsia" w:ascii="宋体" w:hAnsi="宋体"/>
                <w:bCs/>
                <w:sz w:val="24"/>
              </w:rPr>
            </w:pPr>
            <w:r>
              <w:rPr>
                <w:rFonts w:ascii="宋体" w:hAnsi="宋体"/>
                <w:bCs/>
                <w:sz w:val="24"/>
              </w:rPr>
              <w:t>1</w:t>
            </w:r>
          </w:p>
        </w:tc>
      </w:tr>
    </w:tbl>
    <w:p w14:paraId="684BD6F0">
      <w:pPr>
        <w:spacing w:line="360" w:lineRule="auto"/>
        <w:ind w:firstLine="482" w:firstLineChars="200"/>
        <w:contextualSpacing/>
        <w:jc w:val="left"/>
        <w:rPr>
          <w:rFonts w:hint="eastAsia" w:asciiTheme="minorEastAsia" w:hAnsiTheme="minorEastAsia" w:eastAsiaTheme="minorEastAsia"/>
          <w:b/>
          <w:sz w:val="24"/>
        </w:rPr>
      </w:pPr>
      <w:r>
        <w:rPr>
          <w:rFonts w:hint="eastAsia" w:asciiTheme="minorEastAsia" w:hAnsiTheme="minorEastAsia" w:eastAsiaTheme="minorEastAsia"/>
          <w:b/>
          <w:sz w:val="24"/>
        </w:rPr>
        <w:t>（二）项目概况</w:t>
      </w:r>
    </w:p>
    <w:p w14:paraId="234F1E89">
      <w:pPr>
        <w:pStyle w:val="5"/>
        <w:spacing w:line="360" w:lineRule="auto"/>
        <w:ind w:firstLine="480" w:firstLineChars="200"/>
        <w:rPr>
          <w:rFonts w:hint="eastAsia" w:hAnsi="宋体" w:cs="宋体"/>
          <w:bCs/>
        </w:rPr>
      </w:pPr>
      <w:r>
        <w:rPr>
          <w:rFonts w:hint="eastAsia" w:hAnsi="宋体" w:cs="宋体"/>
          <w:bCs/>
        </w:rPr>
        <w:t xml:space="preserve">为进一步优化无偿献血服务环境、改善献血者捐献体验、提升采血服务质量与献血人群满意度，贴合无偿献血公益服务标准化、人性化、现代化建设要求。补齐老旧采血设施短板，优化无偿献血服务环境，提升献血者捐献体验与服务满意度，依托硬件换新、布局优化、设施升级、流程提质，全方位升级献血者暖心服务。新方舱投入使用后，从硬件设施、服务环境、采血流程、人文关怀、安全保障五大维度补齐原有短板，全方位优化献血全流程服务，切实为广大无偿献血者打造舒适、便捷、安全、暖心的献血服务空间，服务效能与献血者体验实现跨越式提升。 </w:t>
      </w:r>
    </w:p>
    <w:p w14:paraId="4DD9836F">
      <w:pPr>
        <w:pStyle w:val="5"/>
        <w:spacing w:line="360" w:lineRule="auto"/>
        <w:ind w:firstLine="480" w:firstLineChars="200"/>
        <w:rPr>
          <w:rFonts w:hint="eastAsia" w:hAnsi="宋体" w:cs="宋体"/>
          <w:bCs/>
        </w:rPr>
      </w:pPr>
      <w:r>
        <w:rPr>
          <w:rFonts w:hint="eastAsia" w:hAnsi="宋体" w:cs="宋体"/>
          <w:bCs/>
        </w:rPr>
        <w:t>方舱外观设计要借鉴使用传统与现代相结合的元素和配色，采用银色航空铝板为主体材质，经阳极氧化工艺处理后具有抗防腐蚀性好、耐用性强的特点。顶部采用双层隔热保温处理，并与灯箱标识融于一体，实现功能性与景观性的和谐统一。</w:t>
      </w:r>
    </w:p>
    <w:p w14:paraId="6AD8E679">
      <w:pPr>
        <w:pStyle w:val="5"/>
        <w:spacing w:line="360" w:lineRule="auto"/>
        <w:ind w:firstLine="480" w:firstLineChars="200"/>
        <w:rPr>
          <w:rFonts w:hint="eastAsia" w:hAnsi="宋体" w:cs="宋体"/>
          <w:bCs/>
          <w:highlight w:val="none"/>
        </w:rPr>
      </w:pPr>
      <w:r>
        <w:rPr>
          <w:rFonts w:hint="eastAsia" w:hAnsi="宋体" w:cs="宋体"/>
          <w:bCs/>
        </w:rPr>
        <w:t>方舱内部装饰风格要将医学元素与现代元素有机融合，兼顾工业美学与功能实用性。舱内遵循献血流程动线合理分区，</w:t>
      </w:r>
      <w:r>
        <w:rPr>
          <w:rFonts w:hint="eastAsia" w:hAnsi="宋体" w:cs="宋体"/>
          <w:bCs/>
          <w:highlight w:val="none"/>
        </w:rPr>
        <w:t>设置健康检查区、血液采集区、献血者休息区、血液存放区、物料存放区、工作人员休息区等区域。配备中央空调、地暖等设备，满足献血场所温湿度及空气质量相关要求。</w:t>
      </w:r>
    </w:p>
    <w:p w14:paraId="6D186BB8">
      <w:pPr>
        <w:pStyle w:val="5"/>
        <w:spacing w:line="360" w:lineRule="auto"/>
        <w:ind w:firstLine="480" w:firstLineChars="200"/>
        <w:rPr>
          <w:rFonts w:hint="eastAsia" w:hAnsi="宋体" w:cs="宋体"/>
          <w:bCs/>
          <w:highlight w:val="none"/>
        </w:rPr>
      </w:pPr>
      <w:r>
        <w:rPr>
          <w:rFonts w:hint="eastAsia" w:hAnsi="宋体" w:cs="宋体"/>
          <w:bCs/>
          <w:highlight w:val="none"/>
        </w:rPr>
        <w:t>以上设计内容需提供效果图，室外效果图不少于2张，室内按照不同空间划分设计，室内效果图不少于4张。</w:t>
      </w:r>
    </w:p>
    <w:p w14:paraId="1863E69A">
      <w:pPr>
        <w:pStyle w:val="5"/>
        <w:spacing w:line="360" w:lineRule="auto"/>
        <w:ind w:firstLine="480" w:firstLineChars="200"/>
        <w:rPr>
          <w:rFonts w:hint="eastAsia" w:hAnsi="宋体" w:cs="宋体"/>
          <w:bCs/>
          <w:highlight w:val="none"/>
        </w:rPr>
      </w:pPr>
      <w:r>
        <w:rPr>
          <w:rFonts w:hint="eastAsia" w:hAnsi="宋体" w:cs="宋体"/>
          <w:bCs/>
          <w:highlight w:val="none"/>
        </w:rPr>
        <w:t>方舱布局符合业务流程要求，应急供电、消防器材和疏散安全等设施均符合献血场所配置行业标准，方舱内部根据使用需求设计不同功能空间，采用一体化设计，包括：吊顶与空调风口及照明灯具一体化，墙体与吊柜、储藏柜一体化，地板与采暖模块一体化，液压装置与底盘一体化，外窗与展示屏一体化等，使方舱可装配设计与一体化设计有机结合。为献血者全方位营造安全、舒适的献血环境。</w:t>
      </w:r>
    </w:p>
    <w:p w14:paraId="4FD90883">
      <w:pPr>
        <w:pStyle w:val="5"/>
        <w:spacing w:line="360" w:lineRule="auto"/>
        <w:ind w:firstLine="480" w:firstLineChars="200"/>
        <w:rPr>
          <w:rFonts w:hint="eastAsia" w:hAnsi="宋体" w:cs="宋体"/>
          <w:bCs/>
        </w:rPr>
      </w:pPr>
      <w:r>
        <w:rPr>
          <w:rFonts w:hint="eastAsia" w:hAnsi="宋体" w:cs="宋体"/>
          <w:bCs/>
          <w:highlight w:val="none"/>
        </w:rPr>
        <w:t>依据《集装箱模块化组合房屋技术规程》T/CECS334-2013，《20J910-3:模块化钢结构房屋建筑构造》建造一个长为12米，宽为3.6米，高为3.3米，重量不大于10吨，功</w:t>
      </w:r>
      <w:r>
        <w:rPr>
          <w:rFonts w:hint="eastAsia" w:hAnsi="宋体" w:cs="宋体"/>
          <w:bCs/>
        </w:rPr>
        <w:t>率不小于18kw，适应温度在-20℃至+45℃之间的可移动献血方舱。</w:t>
      </w:r>
    </w:p>
    <w:p w14:paraId="0C7DE980">
      <w:pPr>
        <w:pStyle w:val="2"/>
        <w:spacing w:line="360" w:lineRule="auto"/>
        <w:rPr>
          <w:rFonts w:hint="eastAsia" w:ascii="宋体" w:hAnsi="宋体" w:cs="宋体"/>
          <w:b/>
          <w:sz w:val="24"/>
        </w:rPr>
      </w:pPr>
      <w:r>
        <w:rPr>
          <w:rFonts w:hint="eastAsia" w:ascii="宋体" w:hAnsi="宋体" w:cs="宋体"/>
          <w:bCs/>
          <w:sz w:val="24"/>
        </w:rPr>
        <w:t>二、</w:t>
      </w:r>
      <w:r>
        <w:rPr>
          <w:rFonts w:hint="eastAsia" w:ascii="宋体" w:hAnsi="宋体" w:cs="宋体"/>
          <w:b/>
          <w:sz w:val="24"/>
        </w:rPr>
        <w:t>商务要求</w:t>
      </w:r>
    </w:p>
    <w:p w14:paraId="4BCD9CB6">
      <w:pPr>
        <w:spacing w:line="360" w:lineRule="auto"/>
        <w:ind w:firstLine="482" w:firstLineChars="200"/>
        <w:contextualSpacing/>
        <w:jc w:val="left"/>
        <w:rPr>
          <w:rFonts w:hint="eastAsia" w:ascii="宋体" w:hAnsi="宋体" w:cs="宋体"/>
          <w:b/>
          <w:sz w:val="24"/>
        </w:rPr>
      </w:pPr>
      <w:r>
        <w:rPr>
          <w:rFonts w:hint="eastAsia" w:ascii="宋体" w:hAnsi="宋体" w:cs="宋体"/>
          <w:b/>
          <w:sz w:val="24"/>
        </w:rPr>
        <w:t>（一）交货时间和地点：</w:t>
      </w:r>
    </w:p>
    <w:p w14:paraId="10B10CFD">
      <w:pPr>
        <w:pStyle w:val="11"/>
        <w:spacing w:line="360" w:lineRule="auto"/>
        <w:ind w:firstLine="480"/>
        <w:contextualSpacing/>
        <w:jc w:val="left"/>
        <w:rPr>
          <w:rFonts w:hint="eastAsia" w:ascii="宋体" w:hAnsi="宋体" w:cs="宋体"/>
          <w:bCs/>
          <w:sz w:val="24"/>
        </w:rPr>
      </w:pPr>
      <w:r>
        <w:rPr>
          <w:rFonts w:ascii="宋体" w:hAnsi="宋体" w:cs="宋体"/>
          <w:bCs/>
          <w:sz w:val="24"/>
        </w:rPr>
        <w:t>1.交货时间：</w:t>
      </w:r>
      <w:r>
        <w:rPr>
          <w:rFonts w:hint="eastAsia" w:ascii="宋体" w:hAnsi="宋体" w:cs="宋体"/>
          <w:bCs/>
          <w:sz w:val="24"/>
        </w:rPr>
        <w:t>合同签订后45</w:t>
      </w:r>
      <w:r>
        <w:rPr>
          <w:rFonts w:ascii="宋体" w:hAnsi="宋体" w:cs="宋体"/>
          <w:bCs/>
          <w:sz w:val="24"/>
        </w:rPr>
        <w:t>个</w:t>
      </w:r>
      <w:r>
        <w:rPr>
          <w:rFonts w:hint="eastAsia" w:ascii="宋体" w:hAnsi="宋体" w:cs="宋体"/>
          <w:bCs/>
          <w:sz w:val="24"/>
          <w:lang w:eastAsia="zh-CN"/>
        </w:rPr>
        <w:t>日历日</w:t>
      </w:r>
      <w:r>
        <w:rPr>
          <w:rFonts w:ascii="宋体" w:hAnsi="宋体" w:cs="宋体"/>
          <w:bCs/>
          <w:sz w:val="24"/>
        </w:rPr>
        <w:t>内完成交货</w:t>
      </w:r>
      <w:r>
        <w:rPr>
          <w:rFonts w:hint="eastAsia" w:ascii="宋体" w:hAnsi="宋体" w:cs="宋体"/>
          <w:bCs/>
          <w:sz w:val="24"/>
        </w:rPr>
        <w:t>。</w:t>
      </w:r>
    </w:p>
    <w:p w14:paraId="38139607">
      <w:pPr>
        <w:spacing w:line="360" w:lineRule="auto"/>
        <w:ind w:firstLine="720" w:firstLineChars="300"/>
        <w:contextualSpacing/>
        <w:jc w:val="left"/>
        <w:rPr>
          <w:rFonts w:hint="eastAsia" w:ascii="宋体" w:hAnsi="宋体" w:cs="宋体"/>
          <w:bCs/>
          <w:sz w:val="24"/>
          <w:szCs w:val="22"/>
        </w:rPr>
      </w:pPr>
      <w:r>
        <w:rPr>
          <w:rFonts w:hint="eastAsia" w:ascii="宋体" w:hAnsi="宋体" w:cs="宋体"/>
          <w:bCs/>
          <w:sz w:val="24"/>
          <w:szCs w:val="22"/>
        </w:rPr>
        <w:t>安装调试：到货后5个</w:t>
      </w:r>
      <w:r>
        <w:rPr>
          <w:rFonts w:hint="eastAsia" w:ascii="宋体" w:hAnsi="宋体" w:cs="宋体"/>
          <w:bCs/>
          <w:sz w:val="24"/>
          <w:szCs w:val="22"/>
          <w:lang w:eastAsia="zh-CN"/>
        </w:rPr>
        <w:t>日历日</w:t>
      </w:r>
      <w:r>
        <w:rPr>
          <w:rFonts w:ascii="宋体" w:hAnsi="宋体" w:cs="宋体"/>
          <w:bCs/>
          <w:sz w:val="24"/>
          <w:szCs w:val="22"/>
        </w:rPr>
        <w:t>内完成</w:t>
      </w:r>
      <w:r>
        <w:rPr>
          <w:rFonts w:hint="eastAsia" w:ascii="宋体" w:hAnsi="宋体" w:cs="宋体"/>
          <w:bCs/>
          <w:sz w:val="24"/>
          <w:szCs w:val="22"/>
        </w:rPr>
        <w:t>安装、</w:t>
      </w:r>
      <w:r>
        <w:rPr>
          <w:rFonts w:ascii="宋体" w:hAnsi="宋体" w:cs="宋体"/>
          <w:bCs/>
          <w:sz w:val="24"/>
          <w:szCs w:val="22"/>
        </w:rPr>
        <w:t>调试</w:t>
      </w:r>
      <w:r>
        <w:rPr>
          <w:rFonts w:hint="eastAsia" w:ascii="宋体" w:hAnsi="宋体" w:cs="宋体"/>
          <w:bCs/>
          <w:sz w:val="24"/>
          <w:szCs w:val="22"/>
        </w:rPr>
        <w:t>工作。</w:t>
      </w:r>
    </w:p>
    <w:p w14:paraId="7D5CE591">
      <w:pPr>
        <w:pStyle w:val="5"/>
        <w:spacing w:line="360" w:lineRule="auto"/>
        <w:ind w:firstLine="480" w:firstLineChars="200"/>
        <w:rPr>
          <w:rFonts w:hint="eastAsia" w:hAnsi="宋体" w:cs="宋体"/>
          <w:bCs/>
        </w:rPr>
      </w:pPr>
      <w:r>
        <w:rPr>
          <w:rFonts w:hint="eastAsia" w:hAnsi="宋体" w:cs="宋体"/>
          <w:bCs/>
        </w:rPr>
        <w:t>2.交货地点：采购人指定地点</w:t>
      </w:r>
    </w:p>
    <w:p w14:paraId="2358C3DA">
      <w:pPr>
        <w:spacing w:line="360" w:lineRule="auto"/>
        <w:ind w:firstLine="482" w:firstLineChars="200"/>
        <w:contextualSpacing/>
        <w:jc w:val="left"/>
        <w:rPr>
          <w:rFonts w:hint="eastAsia" w:ascii="宋体" w:hAnsi="宋体" w:cs="宋体"/>
          <w:sz w:val="24"/>
        </w:rPr>
      </w:pPr>
      <w:r>
        <w:rPr>
          <w:rFonts w:hint="eastAsia" w:ascii="宋体" w:hAnsi="宋体" w:cs="宋体"/>
          <w:b/>
          <w:sz w:val="24"/>
        </w:rPr>
        <w:t>（二）付款条件（进度和方式）：</w:t>
      </w:r>
      <w:r>
        <w:rPr>
          <w:rFonts w:hint="eastAsia" w:ascii="宋体" w:hAnsi="宋体" w:cs="宋体"/>
          <w:bCs/>
          <w:sz w:val="24"/>
        </w:rPr>
        <w:t>见第六章《拟签订的合同文本》</w:t>
      </w:r>
    </w:p>
    <w:p w14:paraId="7E21BA90">
      <w:pPr>
        <w:pStyle w:val="6"/>
        <w:tabs>
          <w:tab w:val="right" w:leader="dot" w:pos="8937"/>
        </w:tabs>
        <w:spacing w:line="360" w:lineRule="auto"/>
        <w:ind w:left="0" w:leftChars="0" w:firstLine="482" w:firstLineChars="200"/>
        <w:jc w:val="left"/>
        <w:rPr>
          <w:rFonts w:hint="eastAsia" w:ascii="宋体" w:hAnsi="宋体" w:cs="宋体"/>
          <w:sz w:val="24"/>
        </w:rPr>
      </w:pPr>
      <w:r>
        <w:rPr>
          <w:rFonts w:hint="eastAsia" w:ascii="宋体" w:hAnsi="宋体" w:cs="宋体"/>
          <w:b/>
          <w:bCs/>
          <w:sz w:val="24"/>
        </w:rPr>
        <w:t>（三）包装和运输</w:t>
      </w:r>
      <w:r>
        <w:rPr>
          <w:rFonts w:hint="eastAsia" w:ascii="宋体" w:hAnsi="宋体" w:cs="宋体"/>
          <w:sz w:val="24"/>
        </w:rPr>
        <w:t>（如适用，须满足《关于印发〈商品包装政府采购需求标准（试行）〉、〈快递包装政府采购需求标准（试行）〉的通知》（财办库﹝2020﹞123号））</w:t>
      </w:r>
    </w:p>
    <w:p w14:paraId="1DB477FE"/>
    <w:p w14:paraId="56CB4CE8">
      <w:pPr>
        <w:spacing w:line="360" w:lineRule="auto"/>
        <w:ind w:firstLine="482" w:firstLineChars="200"/>
        <w:outlineLvl w:val="1"/>
        <w:rPr>
          <w:rFonts w:hint="eastAsia" w:ascii="宋体" w:hAnsi="宋体" w:cs="宋体"/>
          <w:b/>
          <w:bCs/>
          <w:sz w:val="24"/>
        </w:rPr>
      </w:pPr>
      <w:r>
        <w:rPr>
          <w:rFonts w:hint="eastAsia" w:ascii="宋体" w:hAnsi="宋体" w:cs="宋体"/>
          <w:b/>
          <w:bCs/>
          <w:sz w:val="24"/>
        </w:rPr>
        <w:t>三、技术要求</w:t>
      </w:r>
    </w:p>
    <w:p w14:paraId="2C00EF4D">
      <w:pPr>
        <w:spacing w:line="360" w:lineRule="auto"/>
        <w:ind w:firstLine="482" w:firstLineChars="200"/>
        <w:contextualSpacing/>
        <w:outlineLvl w:val="1"/>
        <w:rPr>
          <w:rFonts w:hint="eastAsia" w:ascii="宋体" w:hAnsi="宋体" w:cs="宋体"/>
          <w:b/>
          <w:bCs/>
          <w:sz w:val="24"/>
        </w:rPr>
      </w:pPr>
      <w:r>
        <w:rPr>
          <w:rFonts w:hint="eastAsia" w:ascii="宋体" w:hAnsi="宋体" w:cs="宋体"/>
          <w:b/>
          <w:bCs/>
          <w:sz w:val="24"/>
        </w:rPr>
        <w:t>（一）基本要求</w:t>
      </w:r>
    </w:p>
    <w:p w14:paraId="7EF5DB2D">
      <w:pPr>
        <w:spacing w:line="360" w:lineRule="auto"/>
        <w:ind w:firstLine="482" w:firstLineChars="200"/>
        <w:contextualSpacing/>
        <w:rPr>
          <w:rFonts w:hint="eastAsia" w:ascii="宋体" w:hAnsi="宋体" w:cs="宋体"/>
          <w:b/>
          <w:bCs/>
          <w:sz w:val="24"/>
        </w:rPr>
      </w:pPr>
      <w:r>
        <w:rPr>
          <w:rFonts w:hint="eastAsia" w:ascii="宋体" w:hAnsi="宋体" w:cs="宋体"/>
          <w:b/>
          <w:bCs/>
          <w:sz w:val="24"/>
        </w:rPr>
        <w:t>1.采购标的需实现的功能或者目标</w:t>
      </w:r>
    </w:p>
    <w:p w14:paraId="5EFB4E5B">
      <w:pPr>
        <w:spacing w:line="360" w:lineRule="auto"/>
        <w:ind w:firstLine="480" w:firstLineChars="200"/>
        <w:contextualSpacing/>
        <w:rPr>
          <w:rFonts w:hint="eastAsia" w:ascii="宋体" w:hAnsi="宋体" w:cs="宋体"/>
          <w:b/>
          <w:bCs/>
          <w:sz w:val="24"/>
        </w:rPr>
      </w:pPr>
      <w:r>
        <w:rPr>
          <w:rFonts w:hint="eastAsia" w:ascii="宋体" w:hAnsi="宋体"/>
          <w:sz w:val="24"/>
        </w:rPr>
        <w:t>本次采购是“献血方舱购置”，供应商应根据招标文件所提出的设备技术规格和服务要求，以满足招标文件要求的产品、优良的货物和优惠的价格，充分显示自己的竞争实力。</w:t>
      </w:r>
    </w:p>
    <w:p w14:paraId="6E945719">
      <w:pPr>
        <w:spacing w:line="360" w:lineRule="auto"/>
        <w:ind w:firstLine="482" w:firstLineChars="200"/>
        <w:contextualSpacing/>
        <w:rPr>
          <w:rFonts w:hint="eastAsia" w:ascii="宋体" w:hAnsi="宋体" w:cs="宋体"/>
          <w:b/>
          <w:bCs/>
          <w:sz w:val="24"/>
        </w:rPr>
      </w:pPr>
      <w:r>
        <w:rPr>
          <w:rFonts w:hint="eastAsia" w:ascii="宋体" w:hAnsi="宋体" w:cs="宋体"/>
          <w:b/>
          <w:bCs/>
          <w:sz w:val="24"/>
        </w:rPr>
        <w:t>2.需执行的国家相关标准、行业标准、地方标准或者其他标准、规范：</w:t>
      </w:r>
    </w:p>
    <w:p w14:paraId="764CB47A">
      <w:pPr>
        <w:spacing w:line="360" w:lineRule="auto"/>
        <w:ind w:firstLine="480" w:firstLineChars="200"/>
        <w:jc w:val="left"/>
        <w:rPr>
          <w:rFonts w:hint="eastAsia" w:ascii="宋体" w:hAnsi="宋体" w:cs="宋体"/>
          <w:sz w:val="24"/>
        </w:rPr>
      </w:pPr>
      <w:r>
        <w:rPr>
          <w:rFonts w:hint="eastAsia" w:ascii="宋体" w:hAnsi="宋体" w:cs="宋体"/>
          <w:sz w:val="24"/>
        </w:rPr>
        <w:t>★2.1冰箱1、冰箱2、饮水机、微波炉须取得中国强制性产品认证（提供3C认证证书复印件加盖投标人单位公章）</w:t>
      </w:r>
    </w:p>
    <w:p w14:paraId="34D7622B">
      <w:pPr>
        <w:spacing w:line="360" w:lineRule="auto"/>
        <w:ind w:firstLine="480" w:firstLineChars="200"/>
        <w:jc w:val="left"/>
      </w:pPr>
      <w:r>
        <w:rPr>
          <w:rFonts w:hint="eastAsia" w:ascii="宋体" w:hAnsi="宋体" w:cs="宋体"/>
          <w:sz w:val="24"/>
        </w:rPr>
        <w:t>2.2投标产品及制造商应符合国家有关部门规定的相应技术法规及标准。如国家有关部门对投标产品或其制造商有强制性规定或要求的，投标产品及其制造商必须符合相应规定或要求，且投标人须提供相关证明文件的复印件加盖投标单位公章。</w:t>
      </w:r>
    </w:p>
    <w:p w14:paraId="5279FAEB">
      <w:pPr>
        <w:spacing w:line="360" w:lineRule="auto"/>
        <w:ind w:firstLine="482" w:firstLineChars="200"/>
        <w:contextualSpacing/>
        <w:rPr>
          <w:rFonts w:hint="eastAsia" w:ascii="宋体" w:hAnsi="宋体" w:cs="宋体"/>
          <w:b/>
          <w:bCs/>
          <w:sz w:val="24"/>
        </w:rPr>
      </w:pPr>
      <w:r>
        <w:rPr>
          <w:rFonts w:hint="eastAsia" w:ascii="宋体" w:hAnsi="宋体" w:cs="宋体"/>
          <w:b/>
          <w:bCs/>
          <w:sz w:val="24"/>
        </w:rPr>
        <w:t>3.为落实政府采购政策需满足的要求</w:t>
      </w:r>
    </w:p>
    <w:p w14:paraId="0838F5AB">
      <w:pPr>
        <w:spacing w:line="360" w:lineRule="auto"/>
        <w:ind w:firstLine="480" w:firstLineChars="200"/>
        <w:jc w:val="left"/>
        <w:rPr>
          <w:rFonts w:hint="eastAsia" w:ascii="宋体" w:hAnsi="宋体" w:cs="宋体"/>
          <w:kern w:val="0"/>
          <w:sz w:val="24"/>
        </w:rPr>
      </w:pPr>
      <w:r>
        <w:rPr>
          <w:rFonts w:hint="eastAsia" w:ascii="宋体" w:hAnsi="宋体" w:cs="宋体"/>
          <w:kern w:val="0"/>
          <w:sz w:val="24"/>
        </w:rPr>
        <w:t>3.1促进中小企业发展政策：根据《政府采购促进中小企业发展管理办法》规定，本项目采购货物为小型或微型企业制造的，投标人应出具招标文件要求的《中小企业声明函》给予证明，否则评标时不予认可。投标人应对提交的中小企业声明函的真实性负责，提交的中小企业声明函不真实的，应承担相应的法律责任。（注：依据《政府采购促进中小企业发展管理办法》规定享受扶持政策获得政府采购合同的小微企业不得将合同分包给大中型企业，中型企业不得将合同分包给大型企业。）</w:t>
      </w:r>
    </w:p>
    <w:p w14:paraId="78233FA3">
      <w:pPr>
        <w:spacing w:line="360" w:lineRule="auto"/>
        <w:ind w:firstLine="480" w:firstLineChars="200"/>
        <w:jc w:val="left"/>
        <w:rPr>
          <w:rFonts w:hint="eastAsia" w:ascii="宋体" w:hAnsi="宋体" w:cs="宋体"/>
          <w:kern w:val="0"/>
          <w:sz w:val="24"/>
        </w:rPr>
      </w:pPr>
      <w:r>
        <w:rPr>
          <w:rFonts w:hint="eastAsia" w:ascii="宋体" w:hAnsi="宋体" w:cs="宋体"/>
          <w:kern w:val="0"/>
          <w:sz w:val="24"/>
        </w:rPr>
        <w:t>3.2监狱企业扶持政策：投标人如为监狱企业将视同为小型或微型企业，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14:paraId="78A6AA7A">
      <w:pPr>
        <w:spacing w:line="360" w:lineRule="auto"/>
        <w:ind w:firstLine="480" w:firstLineChars="200"/>
        <w:jc w:val="left"/>
        <w:rPr>
          <w:rFonts w:hint="eastAsia" w:ascii="宋体" w:hAnsi="宋体" w:cs="宋体"/>
          <w:kern w:val="0"/>
          <w:sz w:val="24"/>
        </w:rPr>
      </w:pPr>
      <w:r>
        <w:rPr>
          <w:rFonts w:hint="eastAsia" w:ascii="宋体" w:hAnsi="宋体" w:cs="宋体"/>
          <w:kern w:val="0"/>
          <w:sz w:val="24"/>
        </w:rPr>
        <w:t>3.3促进残疾人就业政府采购政策：根据《三部门联合发布关于促进残疾人就业政府采购政策的通知》（财库〔2017〕141 号）规定，符合条件的残疾人福利性单位在参加本项目政府采购活动时，投标人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w:t>
      </w:r>
    </w:p>
    <w:p w14:paraId="4F9C8970">
      <w:pPr>
        <w:spacing w:line="360" w:lineRule="auto"/>
        <w:ind w:firstLine="480" w:firstLineChars="200"/>
        <w:jc w:val="left"/>
        <w:rPr>
          <w:rFonts w:hint="eastAsia" w:ascii="宋体" w:hAnsi="宋体" w:cs="宋体"/>
          <w:kern w:val="0"/>
          <w:sz w:val="24"/>
        </w:rPr>
      </w:pPr>
      <w:r>
        <w:rPr>
          <w:rFonts w:hint="eastAsia" w:ascii="宋体" w:hAnsi="宋体" w:cs="宋体"/>
          <w:kern w:val="0"/>
          <w:sz w:val="24"/>
        </w:rPr>
        <w:t>3.4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14:paraId="6EC29354">
      <w:pPr>
        <w:spacing w:line="360" w:lineRule="auto"/>
        <w:ind w:firstLine="480" w:firstLineChars="200"/>
        <w:jc w:val="left"/>
        <w:rPr>
          <w:rFonts w:hint="eastAsia" w:ascii="宋体" w:hAnsi="宋体" w:cs="宋体"/>
          <w:kern w:val="0"/>
          <w:sz w:val="24"/>
        </w:rPr>
      </w:pPr>
      <w:r>
        <w:rPr>
          <w:rFonts w:hint="eastAsia" w:ascii="宋体" w:hAnsi="宋体" w:cs="宋体"/>
          <w:kern w:val="0"/>
          <w:sz w:val="24"/>
        </w:rPr>
        <w:t>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14:paraId="46D408FD">
      <w:pPr>
        <w:spacing w:line="360" w:lineRule="auto"/>
        <w:ind w:firstLine="480" w:firstLineChars="200"/>
        <w:jc w:val="left"/>
        <w:rPr>
          <w:rFonts w:hint="eastAsia" w:ascii="宋体" w:hAnsi="宋体" w:cs="宋体"/>
          <w:kern w:val="0"/>
          <w:sz w:val="24"/>
        </w:rPr>
      </w:pPr>
      <w:r>
        <w:rPr>
          <w:rFonts w:hint="eastAsia" w:ascii="宋体" w:hAnsi="宋体" w:cs="宋体"/>
          <w:kern w:val="0"/>
          <w:sz w:val="24"/>
        </w:rPr>
        <w:t>3.6实施本国产品标准及相关政策：依据《国务院办公厅关于在政府采购中实施本国产品标准及相关政策的通知》（国办发〔2025〕34 号）规定，本项目</w:t>
      </w:r>
      <w:r>
        <w:rPr>
          <w:rFonts w:hint="eastAsia"/>
          <w:sz w:val="24"/>
        </w:rPr>
        <w:t>既有本国产品又有非本国产品参与竞争的，如</w:t>
      </w:r>
      <w:r>
        <w:rPr>
          <w:rFonts w:hint="eastAsia" w:ascii="宋体" w:hAnsi="宋体" w:cs="宋体"/>
          <w:kern w:val="0"/>
          <w:sz w:val="24"/>
        </w:rPr>
        <w:t>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投标人应出具招标文件要求的证明材料给予证明，否则评标时不予认可。投标人应对提交的证明材料真实性负责，提交证明材料不真实的，应承担相应的法律责任。</w:t>
      </w:r>
    </w:p>
    <w:p w14:paraId="3A507C99">
      <w:pPr>
        <w:spacing w:line="360" w:lineRule="auto"/>
        <w:ind w:firstLine="482" w:firstLineChars="200"/>
        <w:jc w:val="left"/>
        <w:outlineLvl w:val="1"/>
        <w:rPr>
          <w:rFonts w:hint="eastAsia" w:ascii="宋体" w:hAnsi="宋体" w:cs="宋体"/>
          <w:sz w:val="24"/>
        </w:rPr>
      </w:pPr>
      <w:r>
        <w:rPr>
          <w:rFonts w:hint="eastAsia" w:ascii="宋体" w:hAnsi="宋体" w:cs="宋体"/>
          <w:b/>
          <w:bCs/>
          <w:sz w:val="24"/>
        </w:rPr>
        <w:t>（二）具体要求</w:t>
      </w:r>
    </w:p>
    <w:p w14:paraId="002768C8">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一</w:t>
      </w:r>
      <w:r>
        <w:rPr>
          <w:rFonts w:hint="eastAsia" w:ascii="宋体" w:hAnsi="宋体" w:cs="宋体"/>
          <w:sz w:val="24"/>
          <w:lang w:eastAsia="zh-CN"/>
        </w:rPr>
        <w:t>）</w:t>
      </w:r>
      <w:r>
        <w:rPr>
          <w:rFonts w:hint="eastAsia" w:ascii="宋体" w:hAnsi="宋体" w:cs="宋体"/>
          <w:sz w:val="24"/>
          <w:lang w:val="en-US" w:eastAsia="zh-CN"/>
        </w:rPr>
        <w:t>设计要求</w:t>
      </w:r>
    </w:p>
    <w:p w14:paraId="78A4B5A2">
      <w:pPr>
        <w:spacing w:line="360" w:lineRule="auto"/>
        <w:ind w:firstLine="480" w:firstLineChars="200"/>
        <w:rPr>
          <w:rFonts w:hint="eastAsia" w:eastAsia="宋体"/>
          <w:lang w:val="en-US" w:eastAsia="zh-CN"/>
        </w:rPr>
      </w:pPr>
      <w:r>
        <w:rPr>
          <w:rFonts w:hint="eastAsia" w:ascii="宋体" w:hAnsi="宋体" w:cs="宋体"/>
          <w:sz w:val="24"/>
        </w:rPr>
        <w:t>方舱内部设置健康检查区、血液采集区、献血者休息区、血液存放区、物料存放区、工作人员休息区等区域。配备中央空调、地暖等设备</w:t>
      </w:r>
      <w:r>
        <w:rPr>
          <w:rFonts w:hint="eastAsia" w:ascii="宋体" w:hAnsi="宋体" w:cs="宋体"/>
          <w:sz w:val="24"/>
          <w:lang w:eastAsia="zh-CN"/>
        </w:rPr>
        <w:t>。应急供电、消防器材和疏散安全等设施均符合献血场所配置行业标准，方舱内部根据使用需求设计不同功能空间，采用一体化设计，包括：吊顶与空调风口及照明灯具一体化，墙体与吊柜、储藏柜一体化，地板与采暖模块一体化，液压装置与底盘一体化，外窗与展示屏一体化等，使方舱可装配设计与一体化设计有机结合。</w:t>
      </w:r>
      <w:r>
        <w:rPr>
          <w:rFonts w:hint="eastAsia" w:ascii="宋体" w:hAnsi="宋体" w:cs="宋体"/>
          <w:sz w:val="24"/>
          <w:lang w:val="en-US" w:eastAsia="zh-CN"/>
        </w:rPr>
        <w:t>投标时</w:t>
      </w:r>
      <w:r>
        <w:rPr>
          <w:rFonts w:hint="eastAsia" w:ascii="宋体" w:hAnsi="宋体" w:cs="宋体"/>
          <w:sz w:val="24"/>
          <w:lang w:eastAsia="zh-CN"/>
        </w:rPr>
        <w:t>需提供效果图，室外效果图不少于2张，室内按照不同空间划分设计，室内效果图不少于4张。</w:t>
      </w:r>
    </w:p>
    <w:p w14:paraId="22017DD6">
      <w:pPr>
        <w:spacing w:line="360" w:lineRule="auto"/>
        <w:ind w:firstLine="480" w:firstLineChars="200"/>
        <w:rPr>
          <w:rFonts w:hint="eastAsia" w:ascii="宋体" w:hAnsi="宋体" w:cs="宋体"/>
          <w:sz w:val="24"/>
        </w:rPr>
      </w:pPr>
      <w:r>
        <w:rPr>
          <w:rFonts w:hint="eastAsia" w:ascii="宋体" w:hAnsi="宋体" w:cs="宋体"/>
          <w:sz w:val="24"/>
          <w:lang w:val="en-US" w:eastAsia="zh-CN"/>
        </w:rPr>
        <w:t>二</w:t>
      </w:r>
      <w:r>
        <w:rPr>
          <w:rFonts w:hint="eastAsia" w:ascii="宋体" w:hAnsi="宋体" w:cs="宋体"/>
          <w:sz w:val="24"/>
        </w:rPr>
        <w:t>）方舱本体</w:t>
      </w:r>
    </w:p>
    <w:p w14:paraId="2312AD5B">
      <w:pPr>
        <w:spacing w:line="360" w:lineRule="auto"/>
        <w:ind w:firstLine="480" w:firstLineChars="200"/>
        <w:rPr>
          <w:rFonts w:hint="eastAsia" w:ascii="宋体" w:hAnsi="宋体" w:cs="宋体"/>
          <w:sz w:val="24"/>
        </w:rPr>
      </w:pPr>
      <w:r>
        <w:rPr>
          <w:rFonts w:hint="eastAsia" w:ascii="宋体" w:hAnsi="宋体" w:cs="宋体"/>
          <w:sz w:val="24"/>
        </w:rPr>
        <w:t>1.方舱外形：长为12米，宽为3.6米，高为3.3米，总重量≤10吨，总功率不小于18kw，适应温度在-20℃至+45℃之间的可移动献血方舱。</w:t>
      </w:r>
    </w:p>
    <w:p w14:paraId="2FE82840">
      <w:pPr>
        <w:spacing w:line="360" w:lineRule="auto"/>
        <w:ind w:firstLine="480" w:firstLineChars="200"/>
        <w:rPr>
          <w:rFonts w:hint="eastAsia" w:ascii="宋体" w:hAnsi="宋体" w:cs="宋体"/>
          <w:sz w:val="24"/>
        </w:rPr>
      </w:pPr>
      <w:r>
        <w:rPr>
          <w:rFonts w:hint="eastAsia" w:ascii="宋体" w:hAnsi="宋体" w:cs="宋体"/>
          <w:sz w:val="24"/>
        </w:rPr>
        <w:t>2.主体框架：钢架主材厚度≥6mm,与钢架链接辅材厚度≥3mm，所有钢材均需具备防腐及防锈性能，焊接处均做防腐处理。本体坚固耐用不变形，结构设计牢固安全，使用寿命≥10年，抗风等级≥10级，抗震烈度达到8度及以上，整体为复合钢结构。</w:t>
      </w:r>
    </w:p>
    <w:p w14:paraId="2DA46238">
      <w:pPr>
        <w:spacing w:line="360" w:lineRule="auto"/>
        <w:ind w:firstLine="480" w:firstLineChars="200"/>
        <w:rPr>
          <w:rFonts w:hint="eastAsia" w:ascii="宋体" w:hAnsi="宋体" w:cs="宋体"/>
          <w:sz w:val="24"/>
        </w:rPr>
      </w:pPr>
      <w:r>
        <w:rPr>
          <w:rFonts w:hint="eastAsia" w:ascii="宋体" w:hAnsi="宋体" w:cs="宋体"/>
          <w:sz w:val="24"/>
        </w:rPr>
        <w:t>3.舱体：外表采用</w:t>
      </w:r>
      <w:bookmarkStart w:id="0" w:name="OLE_LINK1"/>
      <w:r>
        <w:rPr>
          <w:rFonts w:hint="eastAsia" w:ascii="宋体" w:hAnsi="宋体" w:cs="宋体"/>
          <w:sz w:val="24"/>
        </w:rPr>
        <w:t>航空铝板</w:t>
      </w:r>
      <w:bookmarkEnd w:id="0"/>
      <w:r>
        <w:rPr>
          <w:rFonts w:hint="eastAsia" w:ascii="宋体" w:hAnsi="宋体" w:cs="宋体"/>
          <w:sz w:val="24"/>
        </w:rPr>
        <w:t>，内外双层；单层厚度≥2.5mm，氧化工艺/烤漆，漆面厚度≥250um；舱体中间≥100mm</w:t>
      </w:r>
      <w:bookmarkStart w:id="1" w:name="OLE_LINK2"/>
      <w:r>
        <w:rPr>
          <w:rFonts w:hint="eastAsia" w:ascii="宋体" w:hAnsi="宋体" w:cs="宋体"/>
          <w:sz w:val="24"/>
        </w:rPr>
        <w:t>聚氨酯发泡工艺</w:t>
      </w:r>
      <w:bookmarkEnd w:id="1"/>
      <w:r>
        <w:rPr>
          <w:rFonts w:hint="eastAsia" w:ascii="宋体" w:hAnsi="宋体" w:cs="宋体"/>
          <w:sz w:val="24"/>
        </w:rPr>
        <w:t>，防火等级不低于B1级；隔热层铺设；舱体采用整体铝板工艺。</w:t>
      </w:r>
    </w:p>
    <w:p w14:paraId="2C099AFA">
      <w:pPr>
        <w:spacing w:line="360" w:lineRule="auto"/>
        <w:ind w:firstLine="480" w:firstLineChars="200"/>
        <w:rPr>
          <w:rFonts w:hint="eastAsia" w:ascii="宋体" w:hAnsi="宋体" w:cs="宋体"/>
          <w:sz w:val="24"/>
        </w:rPr>
      </w:pPr>
      <w:r>
        <w:rPr>
          <w:rFonts w:hint="eastAsia" w:ascii="宋体" w:hAnsi="宋体" w:cs="宋体"/>
          <w:sz w:val="24"/>
        </w:rPr>
        <w:t>4.舱身：舱身包住整个底盘，四组定制轮胎轮毂，带车轴，可短距离移动，轮毂抛光工艺，机械研磨至镜面效果，光泽度极高，表面光滑如镜，舱身与地面缝隙≤5mm。</w:t>
      </w:r>
    </w:p>
    <w:p w14:paraId="1E8F65E0">
      <w:pPr>
        <w:spacing w:line="360" w:lineRule="auto"/>
        <w:ind w:firstLine="480" w:firstLineChars="200"/>
        <w:rPr>
          <w:rFonts w:hint="eastAsia" w:ascii="宋体" w:hAnsi="宋体" w:cs="宋体"/>
          <w:sz w:val="24"/>
        </w:rPr>
      </w:pPr>
      <w:r>
        <w:rPr>
          <w:rFonts w:hint="eastAsia" w:ascii="宋体" w:hAnsi="宋体" w:cs="宋体"/>
          <w:sz w:val="24"/>
        </w:rPr>
        <w:t>5.底盘：使用电动平衡支撑系统，静态时底盘保证稳固。</w:t>
      </w:r>
    </w:p>
    <w:p w14:paraId="6233F366">
      <w:pPr>
        <w:spacing w:line="360" w:lineRule="auto"/>
        <w:ind w:firstLine="480" w:firstLineChars="200"/>
        <w:rPr>
          <w:rFonts w:hint="eastAsia" w:ascii="宋体" w:hAnsi="宋体" w:cs="宋体"/>
          <w:sz w:val="24"/>
        </w:rPr>
      </w:pPr>
      <w:r>
        <w:rPr>
          <w:rFonts w:hint="eastAsia" w:ascii="宋体" w:hAnsi="宋体" w:cs="宋体"/>
          <w:sz w:val="24"/>
          <w:lang w:val="en-US" w:eastAsia="zh-CN"/>
        </w:rPr>
        <w:t>三</w:t>
      </w:r>
      <w:r>
        <w:rPr>
          <w:rFonts w:hint="eastAsia" w:ascii="宋体" w:hAnsi="宋体" w:cs="宋体"/>
          <w:sz w:val="24"/>
        </w:rPr>
        <w:t>）舱体表面装置</w:t>
      </w:r>
    </w:p>
    <w:p w14:paraId="442139A3">
      <w:pPr>
        <w:spacing w:line="360" w:lineRule="auto"/>
        <w:ind w:firstLine="480" w:firstLineChars="200"/>
        <w:rPr>
          <w:rFonts w:hint="eastAsia" w:ascii="宋体" w:hAnsi="宋体" w:cs="宋体"/>
          <w:sz w:val="24"/>
        </w:rPr>
      </w:pPr>
      <w:r>
        <w:rPr>
          <w:rFonts w:hint="eastAsia" w:ascii="宋体" w:hAnsi="宋体" w:cs="宋体"/>
          <w:sz w:val="24"/>
        </w:rPr>
        <w:t>1.照明灯（≥30个）：设置景观照明、“首都献血”发光字及“北京市红十字血液中心”发光LOGO。</w:t>
      </w:r>
    </w:p>
    <w:p w14:paraId="1DA0BABE">
      <w:pPr>
        <w:spacing w:line="360" w:lineRule="auto"/>
        <w:ind w:firstLine="480" w:firstLineChars="200"/>
        <w:rPr>
          <w:rFonts w:hint="eastAsia" w:ascii="宋体" w:hAnsi="宋体" w:cs="宋体"/>
          <w:sz w:val="24"/>
        </w:rPr>
      </w:pPr>
      <w:r>
        <w:rPr>
          <w:rFonts w:hint="eastAsia" w:ascii="宋体" w:hAnsi="宋体" w:cs="宋体"/>
          <w:sz w:val="24"/>
        </w:rPr>
        <w:t>2.自助登记系统（1套）</w:t>
      </w:r>
    </w:p>
    <w:p w14:paraId="7DA9E4E9">
      <w:pPr>
        <w:spacing w:line="360" w:lineRule="auto"/>
        <w:ind w:firstLine="480" w:firstLineChars="200"/>
        <w:rPr>
          <w:rFonts w:hint="eastAsia" w:ascii="宋体" w:hAnsi="宋体" w:cs="宋体"/>
          <w:sz w:val="24"/>
        </w:rPr>
      </w:pPr>
      <w:r>
        <w:rPr>
          <w:rFonts w:hint="eastAsia" w:ascii="宋体" w:hAnsi="宋体" w:cs="宋体"/>
          <w:sz w:val="24"/>
        </w:rPr>
        <w:t>2.1屏幕：≥32寸，分辨率：≥1920×1080，电容触控≥十点，可触屏打印。</w:t>
      </w:r>
    </w:p>
    <w:p w14:paraId="59E94A40">
      <w:pPr>
        <w:spacing w:line="360" w:lineRule="auto"/>
        <w:ind w:firstLine="480" w:firstLineChars="200"/>
        <w:rPr>
          <w:rFonts w:hint="eastAsia" w:ascii="宋体" w:hAnsi="宋体" w:cs="宋体"/>
          <w:sz w:val="24"/>
        </w:rPr>
      </w:pPr>
      <w:r>
        <w:rPr>
          <w:rFonts w:hint="eastAsia" w:ascii="宋体" w:hAnsi="宋体" w:cs="宋体"/>
          <w:sz w:val="24"/>
        </w:rPr>
        <w:t>2.2主板：内存≥16G，固态硬盘≥500GB。</w:t>
      </w:r>
    </w:p>
    <w:p w14:paraId="0889AB2C">
      <w:pPr>
        <w:spacing w:line="360" w:lineRule="auto"/>
        <w:ind w:firstLine="480" w:firstLineChars="200"/>
        <w:rPr>
          <w:rFonts w:hint="eastAsia" w:ascii="宋体" w:hAnsi="宋体" w:cs="宋体"/>
          <w:sz w:val="24"/>
        </w:rPr>
      </w:pPr>
      <w:r>
        <w:rPr>
          <w:rFonts w:hint="eastAsia" w:ascii="宋体" w:hAnsi="宋体" w:cs="宋体"/>
          <w:sz w:val="24"/>
        </w:rPr>
        <w:t>2.3含A4激光黑白打印机（双面打印），纸仓≥550张。</w:t>
      </w:r>
    </w:p>
    <w:p w14:paraId="320C65CF">
      <w:pPr>
        <w:spacing w:line="360" w:lineRule="auto"/>
        <w:ind w:firstLine="480" w:firstLineChars="200"/>
        <w:rPr>
          <w:rFonts w:hint="eastAsia" w:ascii="宋体" w:hAnsi="宋体" w:cs="宋体"/>
          <w:sz w:val="24"/>
        </w:rPr>
      </w:pPr>
      <w:r>
        <w:rPr>
          <w:rFonts w:hint="eastAsia" w:ascii="宋体" w:hAnsi="宋体" w:cs="宋体"/>
          <w:sz w:val="24"/>
        </w:rPr>
        <w:t>2.4身份证阅读器：公安部认证模块、符合国家标准的非接触卡，感应距离≥50mm，感应面积为≥100mm×120mm。</w:t>
      </w:r>
    </w:p>
    <w:p w14:paraId="06496510">
      <w:pPr>
        <w:spacing w:line="360" w:lineRule="auto"/>
        <w:ind w:firstLine="480" w:firstLineChars="200"/>
        <w:rPr>
          <w:rFonts w:hint="eastAsia" w:ascii="宋体" w:hAnsi="宋体" w:cs="宋体"/>
          <w:sz w:val="24"/>
        </w:rPr>
      </w:pPr>
      <w:r>
        <w:rPr>
          <w:rFonts w:hint="eastAsia" w:ascii="宋体" w:hAnsi="宋体" w:cs="宋体"/>
          <w:sz w:val="24"/>
        </w:rPr>
        <w:t>2.5内置二维码扫描模块：图像尺寸:≥600×450；像素运动容差:100mm/s(4in/s)。</w:t>
      </w:r>
    </w:p>
    <w:p w14:paraId="4298AC64">
      <w:pPr>
        <w:spacing w:line="360" w:lineRule="auto"/>
        <w:ind w:firstLine="480" w:firstLineChars="200"/>
        <w:rPr>
          <w:rFonts w:hint="eastAsia" w:ascii="宋体" w:hAnsi="宋体" w:cs="宋体"/>
          <w:sz w:val="24"/>
        </w:rPr>
      </w:pPr>
      <w:r>
        <w:rPr>
          <w:rFonts w:hint="eastAsia" w:ascii="宋体" w:hAnsi="宋体" w:cs="宋体"/>
          <w:sz w:val="24"/>
        </w:rPr>
        <w:t>2.6人脸识别摄像头</w:t>
      </w:r>
    </w:p>
    <w:p w14:paraId="1CB289FE">
      <w:pPr>
        <w:spacing w:line="360" w:lineRule="auto"/>
        <w:ind w:firstLine="480" w:firstLineChars="200"/>
        <w:rPr>
          <w:rFonts w:hint="eastAsia" w:ascii="宋体" w:hAnsi="宋体" w:cs="宋体"/>
          <w:sz w:val="24"/>
        </w:rPr>
      </w:pPr>
      <w:r>
        <w:rPr>
          <w:rFonts w:hint="eastAsia" w:ascii="宋体" w:hAnsi="宋体" w:cs="宋体"/>
          <w:sz w:val="24"/>
        </w:rPr>
        <w:t>2.6.1光学尺寸：1/2.7英寸CMOS。</w:t>
      </w:r>
    </w:p>
    <w:p w14:paraId="53D91F01">
      <w:pPr>
        <w:spacing w:line="360" w:lineRule="auto"/>
        <w:ind w:firstLine="480" w:firstLineChars="200"/>
        <w:rPr>
          <w:rFonts w:hint="eastAsia" w:ascii="宋体" w:hAnsi="宋体" w:cs="宋体"/>
          <w:sz w:val="24"/>
        </w:rPr>
      </w:pPr>
      <w:r>
        <w:rPr>
          <w:rFonts w:hint="eastAsia" w:ascii="宋体" w:hAnsi="宋体" w:cs="宋体"/>
          <w:sz w:val="24"/>
        </w:rPr>
        <w:t>2.6.2传感器分辨率：≥1920（H）×1080（V）。</w:t>
      </w:r>
    </w:p>
    <w:p w14:paraId="5C19D455">
      <w:pPr>
        <w:spacing w:line="360" w:lineRule="auto"/>
        <w:ind w:firstLine="480" w:firstLineChars="200"/>
        <w:rPr>
          <w:rFonts w:hint="eastAsia" w:ascii="宋体" w:hAnsi="宋体" w:cs="宋体"/>
          <w:sz w:val="24"/>
        </w:rPr>
      </w:pPr>
      <w:r>
        <w:rPr>
          <w:rFonts w:hint="eastAsia" w:ascii="宋体" w:hAnsi="宋体" w:cs="宋体"/>
          <w:sz w:val="24"/>
        </w:rPr>
        <w:t>2.6.3单位像素尺寸：≥3.0um×3.0um。</w:t>
      </w:r>
    </w:p>
    <w:p w14:paraId="053EB5E4">
      <w:pPr>
        <w:spacing w:line="360" w:lineRule="auto"/>
        <w:ind w:firstLine="480" w:firstLineChars="200"/>
        <w:rPr>
          <w:rFonts w:hint="eastAsia" w:ascii="宋体" w:hAnsi="宋体" w:cs="宋体"/>
          <w:sz w:val="24"/>
        </w:rPr>
      </w:pPr>
      <w:r>
        <w:rPr>
          <w:rFonts w:hint="eastAsia" w:ascii="宋体" w:hAnsi="宋体" w:cs="宋体"/>
          <w:sz w:val="24"/>
        </w:rPr>
        <w:t>2.6.4彩色滤光片。</w:t>
      </w:r>
    </w:p>
    <w:p w14:paraId="7E9EF689">
      <w:pPr>
        <w:spacing w:line="360" w:lineRule="auto"/>
        <w:ind w:firstLine="480" w:firstLineChars="200"/>
        <w:rPr>
          <w:rFonts w:hint="eastAsia" w:ascii="宋体" w:hAnsi="宋体" w:cs="宋体"/>
          <w:sz w:val="24"/>
        </w:rPr>
      </w:pPr>
      <w:r>
        <w:rPr>
          <w:rFonts w:hint="eastAsia" w:ascii="宋体" w:hAnsi="宋体" w:cs="宋体"/>
          <w:sz w:val="24"/>
        </w:rPr>
        <w:t>2.6.5快门类型电子滚动快门。</w:t>
      </w:r>
    </w:p>
    <w:p w14:paraId="51E51A4C">
      <w:pPr>
        <w:spacing w:line="360" w:lineRule="auto"/>
        <w:ind w:firstLine="480" w:firstLineChars="200"/>
        <w:rPr>
          <w:rFonts w:hint="eastAsia" w:ascii="宋体" w:hAnsi="宋体" w:cs="宋体"/>
          <w:sz w:val="24"/>
        </w:rPr>
      </w:pPr>
      <w:r>
        <w:rPr>
          <w:rFonts w:hint="eastAsia" w:ascii="宋体" w:hAnsi="宋体" w:cs="宋体"/>
          <w:sz w:val="24"/>
        </w:rPr>
        <w:t>2.6.6光圈F2.0，AEC/增益/白平衡自动，聚焦距离固定30cm,接口USB2.0或3.0。</w:t>
      </w:r>
    </w:p>
    <w:p w14:paraId="1F544E55">
      <w:pPr>
        <w:spacing w:line="360" w:lineRule="auto"/>
        <w:ind w:firstLine="480" w:firstLineChars="200"/>
        <w:rPr>
          <w:rFonts w:hint="eastAsia" w:ascii="宋体" w:hAnsi="宋体" w:cs="宋体"/>
          <w:sz w:val="24"/>
        </w:rPr>
      </w:pPr>
      <w:r>
        <w:rPr>
          <w:rFonts w:hint="eastAsia" w:ascii="宋体" w:hAnsi="宋体" w:cs="宋体"/>
          <w:sz w:val="24"/>
        </w:rPr>
        <w:t>3.窗户：</w:t>
      </w:r>
    </w:p>
    <w:p w14:paraId="5F4A215D">
      <w:pPr>
        <w:spacing w:line="360" w:lineRule="auto"/>
        <w:ind w:firstLine="480" w:firstLineChars="200"/>
        <w:rPr>
          <w:rFonts w:hint="eastAsia" w:ascii="宋体" w:hAnsi="宋体" w:cs="宋体"/>
          <w:sz w:val="24"/>
        </w:rPr>
      </w:pPr>
      <w:r>
        <w:rPr>
          <w:rFonts w:hint="eastAsia" w:ascii="宋体" w:hAnsi="宋体" w:cs="宋体"/>
          <w:sz w:val="24"/>
        </w:rPr>
        <w:t>3.1八边形造型窗户：4扇，带包边工艺。</w:t>
      </w:r>
    </w:p>
    <w:p w14:paraId="0D4E4657">
      <w:pPr>
        <w:spacing w:line="360" w:lineRule="auto"/>
        <w:ind w:firstLine="480" w:firstLineChars="200"/>
        <w:rPr>
          <w:rFonts w:hint="eastAsia" w:ascii="宋体" w:hAnsi="宋体" w:cs="宋体"/>
          <w:sz w:val="24"/>
        </w:rPr>
      </w:pPr>
      <w:r>
        <w:rPr>
          <w:rFonts w:hint="eastAsia" w:ascii="宋体" w:hAnsi="宋体" w:cs="宋体"/>
          <w:sz w:val="24"/>
        </w:rPr>
        <w:t>3.2方舱头部尾部矩形窗户：2扇，带装饰外框。</w:t>
      </w:r>
    </w:p>
    <w:p w14:paraId="4A68CDBD">
      <w:pPr>
        <w:spacing w:line="360" w:lineRule="auto"/>
        <w:ind w:firstLine="480" w:firstLineChars="200"/>
        <w:rPr>
          <w:rFonts w:hint="eastAsia" w:ascii="宋体" w:hAnsi="宋体" w:cs="宋体"/>
          <w:sz w:val="24"/>
        </w:rPr>
      </w:pPr>
      <w:r>
        <w:rPr>
          <w:rFonts w:hint="eastAsia" w:ascii="宋体" w:hAnsi="宋体" w:cs="宋体"/>
          <w:sz w:val="24"/>
        </w:rPr>
        <w:t>3.3上述窗户玻璃为电控雾化钢化玻璃（通电透明，断电雾化），可见光透射比≥70%，厚度偏差±0.2mm，耐高温性能（120℃±5℃），涂膜硬度：≥HB级。</w:t>
      </w:r>
    </w:p>
    <w:p w14:paraId="7FD7FFB4">
      <w:pPr>
        <w:spacing w:line="360" w:lineRule="auto"/>
        <w:ind w:firstLine="480" w:firstLineChars="200"/>
        <w:rPr>
          <w:rFonts w:hint="eastAsia" w:ascii="宋体" w:hAnsi="宋体" w:cs="宋体"/>
          <w:sz w:val="24"/>
        </w:rPr>
      </w:pPr>
      <w:r>
        <w:rPr>
          <w:rFonts w:hint="eastAsia" w:ascii="宋体" w:hAnsi="宋体" w:cs="宋体"/>
          <w:sz w:val="24"/>
        </w:rPr>
        <w:t>4.电动舱门：配置电动舱门2樘，配置防蚊防蝇设施；门体采用航空铝板，厚度≥3mm，门框钢板厚度≥4mm，符合气密性（50秒内压差≤1.5kPa）和水密性要求，确保开关寿命≥10万次。经项拉伸强度：≥5700N/5cm，纬向拉伸强度≥5100N/5cm，撕裂强度：主方向≥900N，次方向≥80N；使用温度：-30℃~ 70℃，防火等级不低于B1级。</w:t>
      </w:r>
    </w:p>
    <w:p w14:paraId="0ABC59C3">
      <w:pPr>
        <w:spacing w:line="360" w:lineRule="auto"/>
        <w:ind w:firstLine="480" w:firstLineChars="200"/>
        <w:rPr>
          <w:rFonts w:hint="eastAsia" w:ascii="宋体" w:hAnsi="宋体" w:cs="宋体"/>
          <w:sz w:val="24"/>
        </w:rPr>
      </w:pPr>
      <w:r>
        <w:rPr>
          <w:rFonts w:hint="eastAsia" w:ascii="宋体" w:hAnsi="宋体" w:cs="宋体"/>
          <w:sz w:val="24"/>
        </w:rPr>
        <w:t>5.遮阳帘（1套）：具备防紫外线、隔热功能，紫外线遮光率≥97%，</w:t>
      </w:r>
      <w:bookmarkStart w:id="2" w:name="OLE_LINK4"/>
      <w:r>
        <w:rPr>
          <w:rFonts w:hint="eastAsia" w:ascii="宋体" w:hAnsi="宋体" w:cs="宋体"/>
          <w:sz w:val="24"/>
        </w:rPr>
        <w:t>隔热系数≤0.</w:t>
      </w:r>
      <w:bookmarkEnd w:id="2"/>
      <w:r>
        <w:rPr>
          <w:rFonts w:hint="eastAsia" w:ascii="宋体" w:hAnsi="宋体" w:cs="宋体"/>
          <w:sz w:val="24"/>
        </w:rPr>
        <w:t>2，‌厚度‌：0.52±5%毫米，克重440g/㎡±5%，‌防火等级‌：不低于B1级，耐光色牢度不低于4.5级。</w:t>
      </w:r>
    </w:p>
    <w:p w14:paraId="11AAAFEC">
      <w:pPr>
        <w:spacing w:line="360" w:lineRule="auto"/>
        <w:ind w:firstLine="480" w:firstLineChars="200"/>
        <w:rPr>
          <w:rFonts w:hint="eastAsia" w:ascii="宋体" w:hAnsi="宋体" w:cs="宋体"/>
          <w:sz w:val="24"/>
        </w:rPr>
      </w:pPr>
      <w:r>
        <w:rPr>
          <w:rFonts w:hint="eastAsia" w:ascii="宋体" w:hAnsi="宋体" w:cs="宋体"/>
          <w:sz w:val="24"/>
          <w:lang w:val="en-US" w:eastAsia="zh-CN"/>
        </w:rPr>
        <w:t>四</w:t>
      </w:r>
      <w:r>
        <w:rPr>
          <w:rFonts w:hint="eastAsia" w:ascii="宋体" w:hAnsi="宋体" w:cs="宋体"/>
          <w:sz w:val="24"/>
        </w:rPr>
        <w:t>）方舱内装</w:t>
      </w:r>
    </w:p>
    <w:p w14:paraId="328689F6">
      <w:pPr>
        <w:spacing w:line="360" w:lineRule="auto"/>
        <w:ind w:firstLine="480" w:firstLineChars="200"/>
        <w:rPr>
          <w:rFonts w:hint="eastAsia" w:ascii="宋体" w:hAnsi="宋体" w:cs="宋体"/>
          <w:sz w:val="24"/>
        </w:rPr>
      </w:pPr>
      <w:r>
        <w:rPr>
          <w:rFonts w:hint="eastAsia" w:ascii="宋体" w:hAnsi="宋体" w:cs="宋体"/>
          <w:sz w:val="24"/>
        </w:rPr>
        <w:t>1.内墙（1套）：航空铝板安装，航空铝板吊顶；隔断定制，空间分隔采用平移电动门3樘。</w:t>
      </w:r>
    </w:p>
    <w:p w14:paraId="7244401F">
      <w:pPr>
        <w:spacing w:line="360" w:lineRule="auto"/>
        <w:ind w:firstLine="480" w:firstLineChars="200"/>
        <w:rPr>
          <w:rFonts w:hint="eastAsia" w:ascii="宋体" w:hAnsi="宋体" w:cs="宋体"/>
          <w:sz w:val="24"/>
        </w:rPr>
      </w:pPr>
      <w:r>
        <w:rPr>
          <w:rFonts w:hint="eastAsia" w:ascii="宋体" w:hAnsi="宋体" w:cs="宋体"/>
          <w:sz w:val="24"/>
        </w:rPr>
        <w:t>2.舱内照明（1套），LED灯带，定制棚灯，筒灯等。</w:t>
      </w:r>
    </w:p>
    <w:p w14:paraId="0DCE1CF8">
      <w:pPr>
        <w:spacing w:line="360" w:lineRule="auto"/>
        <w:ind w:firstLine="480" w:firstLineChars="200"/>
        <w:rPr>
          <w:rFonts w:hint="eastAsia" w:ascii="宋体" w:hAnsi="宋体" w:cs="宋体"/>
          <w:sz w:val="24"/>
        </w:rPr>
      </w:pPr>
      <w:r>
        <w:rPr>
          <w:rFonts w:hint="eastAsia" w:ascii="宋体" w:hAnsi="宋体" w:cs="宋体"/>
          <w:sz w:val="24"/>
        </w:rPr>
        <w:t>2.1光源功率：单颗LED功率：≥5-15mW；输入电压：一般为3.0-3.4V。</w:t>
      </w:r>
    </w:p>
    <w:p w14:paraId="7809E6EE">
      <w:pPr>
        <w:spacing w:line="360" w:lineRule="auto"/>
        <w:ind w:firstLine="480" w:firstLineChars="200"/>
        <w:rPr>
          <w:rFonts w:hint="eastAsia" w:ascii="宋体" w:hAnsi="宋体" w:cs="宋体"/>
          <w:sz w:val="24"/>
        </w:rPr>
      </w:pPr>
      <w:r>
        <w:rPr>
          <w:rFonts w:hint="eastAsia" w:ascii="宋体" w:hAnsi="宋体" w:cs="宋体"/>
          <w:sz w:val="24"/>
        </w:rPr>
        <w:t>2.2发光角度：10°-120°。</w:t>
      </w:r>
    </w:p>
    <w:p w14:paraId="071745E3">
      <w:pPr>
        <w:spacing w:line="360" w:lineRule="auto"/>
        <w:ind w:firstLine="480" w:firstLineChars="200"/>
        <w:rPr>
          <w:rFonts w:hint="eastAsia" w:ascii="宋体" w:hAnsi="宋体" w:cs="宋体"/>
          <w:sz w:val="24"/>
        </w:rPr>
      </w:pPr>
      <w:r>
        <w:rPr>
          <w:rFonts w:hint="eastAsia" w:ascii="宋体" w:hAnsi="宋体" w:cs="宋体"/>
          <w:sz w:val="24"/>
        </w:rPr>
        <w:t>2.3可调角设计‌色温‌：普通照明≥6500K‌，显色指数（Ra）：常规照明≥80，高要求场景（采血位）≥99。</w:t>
      </w:r>
    </w:p>
    <w:p w14:paraId="6C2C776A">
      <w:pPr>
        <w:spacing w:line="360" w:lineRule="auto"/>
        <w:ind w:firstLine="480" w:firstLineChars="200"/>
        <w:rPr>
          <w:rFonts w:hint="eastAsia" w:ascii="宋体" w:hAnsi="宋体" w:cs="宋体"/>
          <w:sz w:val="24"/>
        </w:rPr>
      </w:pPr>
      <w:r>
        <w:rPr>
          <w:rFonts w:hint="eastAsia" w:ascii="宋体" w:hAnsi="宋体" w:cs="宋体"/>
          <w:sz w:val="24"/>
        </w:rPr>
        <w:t>2.4平均寿命：普通LED≥60,000小时，新型阵列≥50,000小时（有效寿命≥10,000小时），具有环保性：不含汞等有害物质，光污染低≤45cd/m²。</w:t>
      </w:r>
    </w:p>
    <w:p w14:paraId="26E25733">
      <w:pPr>
        <w:spacing w:line="360" w:lineRule="auto"/>
        <w:ind w:firstLine="480" w:firstLineChars="200"/>
        <w:rPr>
          <w:rFonts w:hint="eastAsia" w:ascii="宋体" w:hAnsi="宋体" w:cs="宋体"/>
          <w:sz w:val="24"/>
        </w:rPr>
      </w:pPr>
      <w:r>
        <w:rPr>
          <w:rFonts w:hint="eastAsia" w:ascii="宋体" w:hAnsi="宋体" w:cs="宋体"/>
          <w:sz w:val="24"/>
        </w:rPr>
        <w:t>3.地板（1套）：采用蜂窝板（三层，上下均为铝板）+石英砂地板革。</w:t>
      </w:r>
    </w:p>
    <w:p w14:paraId="71DE8D68">
      <w:pPr>
        <w:spacing w:line="360" w:lineRule="auto"/>
        <w:ind w:firstLine="480" w:firstLineChars="200"/>
        <w:rPr>
          <w:rFonts w:hint="eastAsia" w:ascii="宋体" w:hAnsi="宋体" w:cs="宋体"/>
          <w:sz w:val="24"/>
        </w:rPr>
      </w:pPr>
      <w:r>
        <w:rPr>
          <w:rFonts w:hint="eastAsia" w:ascii="宋体" w:hAnsi="宋体" w:cs="宋体"/>
          <w:sz w:val="24"/>
        </w:rPr>
        <w:t>3.1蜂窝板：</w:t>
      </w:r>
    </w:p>
    <w:p w14:paraId="5B566C6E">
      <w:pPr>
        <w:spacing w:line="360" w:lineRule="auto"/>
        <w:ind w:firstLine="480" w:firstLineChars="200"/>
        <w:rPr>
          <w:rFonts w:hint="eastAsia" w:ascii="宋体" w:hAnsi="宋体" w:cs="宋体"/>
          <w:sz w:val="24"/>
        </w:rPr>
      </w:pPr>
      <w:r>
        <w:rPr>
          <w:rFonts w:hint="eastAsia" w:ascii="宋体" w:hAnsi="宋体" w:cs="宋体"/>
          <w:sz w:val="24"/>
        </w:rPr>
        <w:t>3.1.1面板层：采用双层高锰合金铝板，厚度0.8–1.5mm，表面处理阳极氧化蜂窝芯层：厚度10–25mm，由铝合金箔（厚度0.04–0.06mm）构成六边形阵列，边长5–6mm，密度3.6–7kg/m³，孔隙率≥95%。</w:t>
      </w:r>
    </w:p>
    <w:p w14:paraId="56675653">
      <w:pPr>
        <w:spacing w:line="360" w:lineRule="auto"/>
        <w:ind w:firstLine="480" w:firstLineChars="200"/>
        <w:rPr>
          <w:rFonts w:hint="eastAsia" w:ascii="宋体" w:hAnsi="宋体" w:cs="宋体"/>
          <w:sz w:val="24"/>
        </w:rPr>
      </w:pPr>
      <w:r>
        <w:rPr>
          <w:rFonts w:hint="eastAsia" w:ascii="宋体" w:hAnsi="宋体" w:cs="宋体"/>
          <w:sz w:val="24"/>
        </w:rPr>
        <w:t>3.1.2背板层：厚度0.6–1.0mm，与面板同材质，需具备防潮防锈处理。</w:t>
      </w:r>
    </w:p>
    <w:p w14:paraId="025B5A88">
      <w:pPr>
        <w:spacing w:line="360" w:lineRule="auto"/>
        <w:ind w:firstLine="480" w:firstLineChars="200"/>
        <w:rPr>
          <w:rFonts w:hint="eastAsia" w:ascii="宋体" w:hAnsi="宋体" w:cs="宋体"/>
          <w:sz w:val="24"/>
        </w:rPr>
      </w:pPr>
      <w:r>
        <w:rPr>
          <w:rFonts w:hint="eastAsia" w:ascii="宋体" w:hAnsi="宋体" w:cs="宋体"/>
          <w:sz w:val="24"/>
        </w:rPr>
        <w:t>3.1.3表面处理：氟碳喷涂，三涂两烤工艺。</w:t>
      </w:r>
    </w:p>
    <w:p w14:paraId="6D66D350">
      <w:pPr>
        <w:spacing w:line="360" w:lineRule="auto"/>
        <w:ind w:firstLine="480" w:firstLineChars="200"/>
        <w:rPr>
          <w:rFonts w:hint="eastAsia" w:ascii="宋体" w:hAnsi="宋体" w:cs="宋体"/>
          <w:sz w:val="24"/>
        </w:rPr>
      </w:pPr>
      <w:r>
        <w:rPr>
          <w:rFonts w:hint="eastAsia" w:ascii="宋体" w:hAnsi="宋体" w:cs="宋体"/>
          <w:sz w:val="24"/>
        </w:rPr>
        <w:t>3.1.4物理性能：抗压强度≥270MPa，密度6-7kg/m³，平整度≤0.1mm。</w:t>
      </w:r>
    </w:p>
    <w:p w14:paraId="44FC4392">
      <w:pPr>
        <w:spacing w:line="360" w:lineRule="auto"/>
        <w:ind w:firstLine="480" w:firstLineChars="200"/>
        <w:rPr>
          <w:rFonts w:hint="eastAsia" w:ascii="宋体" w:hAnsi="宋体" w:cs="宋体"/>
          <w:sz w:val="24"/>
        </w:rPr>
      </w:pPr>
      <w:r>
        <w:rPr>
          <w:rFonts w:hint="eastAsia" w:ascii="宋体" w:hAnsi="宋体" w:cs="宋体"/>
          <w:sz w:val="24"/>
        </w:rPr>
        <w:t>3.2石英砂地板革应满足：GB/T 4085-2015（PVC卷材地板）、JG/T 547-2017（防滑地板）标准。</w:t>
      </w:r>
    </w:p>
    <w:p w14:paraId="3396A5F1">
      <w:pPr>
        <w:spacing w:line="360" w:lineRule="auto"/>
        <w:ind w:firstLine="480" w:firstLineChars="200"/>
        <w:rPr>
          <w:rFonts w:hint="eastAsia" w:ascii="宋体" w:hAnsi="宋体" w:cs="宋体"/>
          <w:sz w:val="24"/>
        </w:rPr>
      </w:pPr>
      <w:r>
        <w:rPr>
          <w:rFonts w:hint="eastAsia" w:ascii="宋体" w:hAnsi="宋体" w:cs="宋体"/>
          <w:sz w:val="24"/>
        </w:rPr>
        <w:t>3.2.1厚度：2-3mm，需与蜂窝板结合紧密，避免脱落。‌‌</w:t>
      </w:r>
    </w:p>
    <w:p w14:paraId="4AF8EA8A">
      <w:pPr>
        <w:spacing w:line="360" w:lineRule="auto"/>
        <w:ind w:firstLine="480" w:firstLineChars="200"/>
        <w:rPr>
          <w:rFonts w:hint="eastAsia" w:ascii="宋体" w:hAnsi="宋体" w:cs="宋体"/>
          <w:sz w:val="24"/>
        </w:rPr>
      </w:pPr>
      <w:r>
        <w:rPr>
          <w:rFonts w:hint="eastAsia" w:ascii="宋体" w:hAnsi="宋体" w:cs="宋体"/>
          <w:sz w:val="24"/>
        </w:rPr>
        <w:t>4.石墨烯电热膜地板采暖系统（1套）</w:t>
      </w:r>
    </w:p>
    <w:p w14:paraId="65EFF549">
      <w:pPr>
        <w:spacing w:line="360" w:lineRule="auto"/>
        <w:ind w:firstLine="480" w:firstLineChars="200"/>
        <w:rPr>
          <w:rFonts w:hint="eastAsia" w:ascii="宋体" w:hAnsi="宋体" w:cs="宋体"/>
          <w:sz w:val="24"/>
        </w:rPr>
      </w:pPr>
      <w:r>
        <w:rPr>
          <w:rFonts w:hint="eastAsia" w:ascii="宋体" w:hAnsi="宋体" w:cs="宋体"/>
          <w:sz w:val="24"/>
        </w:rPr>
        <w:t>4.1电热转换效率：≥95%。</w:t>
      </w:r>
    </w:p>
    <w:p w14:paraId="472AE000">
      <w:pPr>
        <w:spacing w:line="360" w:lineRule="auto"/>
        <w:ind w:firstLine="480" w:firstLineChars="200"/>
        <w:rPr>
          <w:rFonts w:hint="eastAsia" w:ascii="宋体" w:hAnsi="宋体" w:cs="宋体"/>
          <w:sz w:val="24"/>
        </w:rPr>
      </w:pPr>
      <w:r>
        <w:rPr>
          <w:rFonts w:hint="eastAsia" w:ascii="宋体" w:hAnsi="宋体" w:cs="宋体"/>
          <w:sz w:val="24"/>
        </w:rPr>
        <w:t>4.2热导率：石墨烯材料热导率≥5300 W/(m·K)。</w:t>
      </w:r>
    </w:p>
    <w:p w14:paraId="7366FAF3">
      <w:pPr>
        <w:spacing w:line="360" w:lineRule="auto"/>
        <w:ind w:firstLine="480" w:firstLineChars="200"/>
        <w:rPr>
          <w:rFonts w:hint="eastAsia" w:ascii="宋体" w:hAnsi="宋体" w:cs="宋体"/>
          <w:sz w:val="24"/>
        </w:rPr>
      </w:pPr>
      <w:r>
        <w:rPr>
          <w:rFonts w:hint="eastAsia" w:ascii="宋体" w:hAnsi="宋体" w:cs="宋体"/>
          <w:sz w:val="24"/>
        </w:rPr>
        <w:t>4.3升温速度：通电后10-30分钟地面温度≥30-40℃。</w:t>
      </w:r>
    </w:p>
    <w:p w14:paraId="14F2F2D3">
      <w:pPr>
        <w:spacing w:line="360" w:lineRule="auto"/>
        <w:ind w:firstLine="480" w:firstLineChars="200"/>
        <w:rPr>
          <w:rFonts w:hint="eastAsia" w:ascii="宋体" w:hAnsi="宋体" w:cs="宋体"/>
          <w:sz w:val="24"/>
        </w:rPr>
      </w:pPr>
      <w:r>
        <w:rPr>
          <w:rFonts w:hint="eastAsia" w:ascii="宋体" w:hAnsi="宋体" w:cs="宋体"/>
          <w:sz w:val="24"/>
        </w:rPr>
        <w:t>4.4功率范围：270W至1400W。</w:t>
      </w:r>
    </w:p>
    <w:p w14:paraId="0A62ACE1">
      <w:pPr>
        <w:spacing w:line="360" w:lineRule="auto"/>
        <w:ind w:firstLine="480" w:firstLineChars="200"/>
        <w:rPr>
          <w:rFonts w:hint="eastAsia" w:ascii="宋体" w:hAnsi="宋体" w:cs="宋体"/>
          <w:sz w:val="24"/>
        </w:rPr>
      </w:pPr>
      <w:r>
        <w:rPr>
          <w:rFonts w:hint="eastAsia" w:ascii="宋体" w:hAnsi="宋体" w:cs="宋体"/>
          <w:sz w:val="24"/>
        </w:rPr>
        <w:t>4.5使用寿命：设计寿命≥10年。</w:t>
      </w:r>
    </w:p>
    <w:p w14:paraId="216246B2">
      <w:pPr>
        <w:spacing w:line="360" w:lineRule="auto"/>
        <w:ind w:firstLine="480" w:firstLineChars="200"/>
        <w:rPr>
          <w:rFonts w:hint="eastAsia" w:ascii="宋体" w:hAnsi="宋体" w:cs="宋体"/>
          <w:sz w:val="24"/>
        </w:rPr>
      </w:pPr>
      <w:r>
        <w:rPr>
          <w:rFonts w:hint="eastAsia" w:ascii="宋体" w:hAnsi="宋体" w:cs="宋体"/>
          <w:sz w:val="24"/>
        </w:rPr>
        <w:t>4.6防水：不低于IPX7级、防漏电、防过热三重保护，支持智能断电系统。</w:t>
      </w:r>
    </w:p>
    <w:p w14:paraId="17701829">
      <w:pPr>
        <w:spacing w:line="360" w:lineRule="auto"/>
        <w:ind w:firstLine="480" w:firstLineChars="200"/>
        <w:rPr>
          <w:rFonts w:hint="eastAsia" w:ascii="宋体" w:hAnsi="宋体" w:cs="宋体"/>
          <w:sz w:val="24"/>
        </w:rPr>
      </w:pPr>
      <w:r>
        <w:rPr>
          <w:rFonts w:hint="eastAsia" w:ascii="宋体" w:hAnsi="宋体" w:cs="宋体"/>
          <w:sz w:val="24"/>
        </w:rPr>
        <w:t xml:space="preserve">4.7安装特性，厚度：模块化设计厚度≤15cm，适配层高受限空间；裸膜厚度≤1mm，总系统厚度可控。 </w:t>
      </w:r>
    </w:p>
    <w:p w14:paraId="64A69BF6">
      <w:pPr>
        <w:spacing w:line="360" w:lineRule="auto"/>
        <w:ind w:firstLine="480" w:firstLineChars="200"/>
        <w:rPr>
          <w:rFonts w:hint="eastAsia" w:ascii="宋体" w:hAnsi="宋体" w:cs="宋体"/>
          <w:sz w:val="24"/>
        </w:rPr>
      </w:pPr>
      <w:r>
        <w:rPr>
          <w:rFonts w:hint="eastAsia" w:ascii="宋体" w:hAnsi="宋体" w:cs="宋体"/>
          <w:sz w:val="24"/>
        </w:rPr>
        <w:t>5.全舱智能控制系统（1套）：</w:t>
      </w:r>
    </w:p>
    <w:p w14:paraId="0AEEFD1D">
      <w:pPr>
        <w:spacing w:line="360" w:lineRule="auto"/>
        <w:ind w:firstLine="480" w:firstLineChars="200"/>
        <w:rPr>
          <w:rFonts w:hint="eastAsia" w:ascii="宋体" w:hAnsi="宋体" w:cs="宋体"/>
          <w:sz w:val="24"/>
        </w:rPr>
      </w:pPr>
      <w:r>
        <w:rPr>
          <w:rFonts w:hint="eastAsia" w:ascii="宋体" w:hAnsi="宋体" w:cs="宋体"/>
          <w:sz w:val="24"/>
        </w:rPr>
        <w:t xml:space="preserve">#5.1智能门锁：支持远程开锁、指纹识别、密码输入、蓝牙配对等多种开锁方式，可联动灯光、空调等设备，智能开关支持远程控制照明设备开关状态。 </w:t>
      </w:r>
    </w:p>
    <w:p w14:paraId="0055A759">
      <w:pPr>
        <w:spacing w:line="360" w:lineRule="auto"/>
        <w:ind w:firstLine="480" w:firstLineChars="200"/>
        <w:rPr>
          <w:rFonts w:hint="eastAsia" w:ascii="宋体" w:hAnsi="宋体" w:cs="宋体"/>
          <w:sz w:val="24"/>
        </w:rPr>
      </w:pPr>
      <w:r>
        <w:rPr>
          <w:rFonts w:hint="eastAsia" w:ascii="宋体" w:hAnsi="宋体" w:cs="宋体"/>
          <w:sz w:val="24"/>
        </w:rPr>
        <w:t>5.2顶部空调/暖气设备：调节温度、风力、模式（如制冷/制热）等。</w:t>
      </w:r>
    </w:p>
    <w:p w14:paraId="3126B275">
      <w:pPr>
        <w:spacing w:line="360" w:lineRule="auto"/>
        <w:ind w:firstLine="480" w:firstLineChars="200"/>
        <w:rPr>
          <w:rFonts w:hint="eastAsia" w:ascii="宋体" w:hAnsi="宋体" w:cs="宋体"/>
          <w:sz w:val="24"/>
        </w:rPr>
      </w:pPr>
      <w:r>
        <w:rPr>
          <w:rFonts w:hint="eastAsia" w:ascii="宋体" w:hAnsi="宋体" w:cs="宋体"/>
          <w:sz w:val="24"/>
        </w:rPr>
        <w:t>5.3智能窗帘：控制开合比例、定时开关。</w:t>
      </w:r>
    </w:p>
    <w:p w14:paraId="521DF3E3">
      <w:pPr>
        <w:spacing w:line="360" w:lineRule="auto"/>
        <w:ind w:firstLine="480" w:firstLineChars="200"/>
        <w:rPr>
          <w:rFonts w:hint="eastAsia" w:ascii="宋体" w:hAnsi="宋体" w:cs="宋体"/>
          <w:sz w:val="24"/>
        </w:rPr>
      </w:pPr>
      <w:r>
        <w:rPr>
          <w:rFonts w:hint="eastAsia" w:ascii="宋体" w:hAnsi="宋体" w:cs="宋体"/>
          <w:sz w:val="24"/>
        </w:rPr>
        <w:t>5.4照明系统：亮度调节、开关控制。</w:t>
      </w:r>
    </w:p>
    <w:p w14:paraId="25715BC2">
      <w:pPr>
        <w:spacing w:line="360" w:lineRule="auto"/>
        <w:ind w:firstLine="480" w:firstLineChars="200"/>
        <w:rPr>
          <w:rFonts w:hint="eastAsia" w:ascii="宋体" w:hAnsi="宋体" w:cs="宋体"/>
          <w:sz w:val="24"/>
        </w:rPr>
      </w:pPr>
      <w:r>
        <w:rPr>
          <w:rFonts w:hint="eastAsia" w:ascii="宋体" w:hAnsi="宋体" w:cs="宋体"/>
          <w:sz w:val="24"/>
        </w:rPr>
        <w:t>5.5安防系统：实时监控画面查看、报警阈值设置等。</w:t>
      </w:r>
    </w:p>
    <w:p w14:paraId="7E950C1B">
      <w:pPr>
        <w:spacing w:line="360" w:lineRule="auto"/>
        <w:ind w:firstLine="480" w:firstLineChars="200"/>
        <w:rPr>
          <w:rFonts w:hint="eastAsia" w:ascii="宋体" w:hAnsi="宋体" w:cs="宋体"/>
          <w:sz w:val="24"/>
        </w:rPr>
      </w:pPr>
      <w:r>
        <w:rPr>
          <w:rFonts w:hint="eastAsia" w:ascii="宋体" w:hAnsi="宋体" w:cs="宋体"/>
          <w:sz w:val="24"/>
        </w:rPr>
        <w:t>5.6环境监测：温湿度显示及调节目标值设定。</w:t>
      </w:r>
    </w:p>
    <w:p w14:paraId="41CFD007">
      <w:pPr>
        <w:spacing w:line="360" w:lineRule="auto"/>
        <w:ind w:firstLine="480" w:firstLineChars="200"/>
        <w:rPr>
          <w:rFonts w:hint="eastAsia" w:ascii="宋体" w:hAnsi="宋体" w:cs="宋体"/>
          <w:sz w:val="24"/>
        </w:rPr>
      </w:pPr>
      <w:r>
        <w:rPr>
          <w:rFonts w:hint="eastAsia" w:ascii="宋体" w:hAnsi="宋体" w:cs="宋体"/>
          <w:sz w:val="24"/>
        </w:rPr>
        <w:t>5.7远程可控。</w:t>
      </w:r>
    </w:p>
    <w:p w14:paraId="7C500815">
      <w:pPr>
        <w:spacing w:line="360" w:lineRule="auto"/>
        <w:ind w:firstLine="480" w:firstLineChars="200"/>
        <w:rPr>
          <w:rFonts w:hint="eastAsia" w:ascii="宋体" w:hAnsi="宋体" w:cs="宋体"/>
          <w:sz w:val="24"/>
        </w:rPr>
      </w:pPr>
      <w:r>
        <w:rPr>
          <w:rFonts w:hint="eastAsia" w:ascii="宋体" w:hAnsi="宋体" w:cs="宋体"/>
          <w:sz w:val="24"/>
        </w:rPr>
        <w:t>6.内装材料及辅材（1套）：内装材料必须符合材料环保标准，所用材料必须符合GB 50325-2020《民用建筑工程室内环境污染控制标准》。甲醛释放量在饰面人造板材≤0.124mg/m³。水性涂料TVOC含量≤80g/L，溶剂型涂料≤20g/L。内部电线，网线，五孔插座/三孔插座/USB开关面板/室外防水插座电源/配电箱等均应符合国标。</w:t>
      </w:r>
    </w:p>
    <w:p w14:paraId="034024FD">
      <w:pPr>
        <w:spacing w:line="360" w:lineRule="auto"/>
        <w:ind w:firstLine="480" w:firstLineChars="200"/>
        <w:rPr>
          <w:rFonts w:hint="eastAsia" w:ascii="宋体" w:hAnsi="宋体" w:cs="宋体"/>
          <w:sz w:val="24"/>
        </w:rPr>
      </w:pPr>
      <w:r>
        <w:rPr>
          <w:rFonts w:hint="eastAsia" w:ascii="宋体" w:hAnsi="宋体" w:cs="宋体"/>
          <w:sz w:val="24"/>
        </w:rPr>
        <w:t>7.</w:t>
      </w:r>
      <w:r>
        <w:rPr>
          <w:rFonts w:ascii="宋体" w:hAnsi="宋体" w:eastAsia="宋体" w:cs="宋体"/>
          <w:sz w:val="24"/>
          <w:szCs w:val="24"/>
        </w:rPr>
        <w:t>集成家具（1 套）：投标人承诺按照采购人方舱设计方案要求，提供配套集成家具，并结合</w:t>
      </w:r>
      <w:r>
        <w:rPr>
          <w:rFonts w:hint="eastAsia" w:ascii="宋体" w:hAnsi="宋体" w:cs="宋体"/>
          <w:sz w:val="24"/>
          <w:szCs w:val="24"/>
          <w:lang w:val="en-US" w:eastAsia="zh-CN"/>
        </w:rPr>
        <w:t>内装</w:t>
      </w:r>
      <w:r>
        <w:rPr>
          <w:rFonts w:ascii="宋体" w:hAnsi="宋体" w:eastAsia="宋体" w:cs="宋体"/>
          <w:sz w:val="24"/>
          <w:szCs w:val="24"/>
        </w:rPr>
        <w:t>完工后的剩余空间进行量身定制，产品包含采血台，分别满足采血作业、献血人员休息使用需求。</w:t>
      </w:r>
    </w:p>
    <w:p w14:paraId="13A35297">
      <w:pPr>
        <w:spacing w:line="360" w:lineRule="auto"/>
        <w:ind w:firstLine="480" w:firstLineChars="200"/>
        <w:rPr>
          <w:rFonts w:hint="eastAsia" w:ascii="宋体" w:hAnsi="宋体" w:cs="宋体"/>
          <w:sz w:val="24"/>
        </w:rPr>
      </w:pPr>
      <w:r>
        <w:rPr>
          <w:rFonts w:hint="eastAsia" w:ascii="宋体" w:hAnsi="宋体" w:cs="宋体"/>
          <w:sz w:val="24"/>
          <w:lang w:val="en-US" w:eastAsia="zh-CN"/>
        </w:rPr>
        <w:t>五</w:t>
      </w:r>
      <w:r>
        <w:rPr>
          <w:rFonts w:hint="eastAsia" w:ascii="宋体" w:hAnsi="宋体" w:cs="宋体"/>
          <w:sz w:val="24"/>
        </w:rPr>
        <w:t>）方舱设备</w:t>
      </w:r>
    </w:p>
    <w:p w14:paraId="043B40CA">
      <w:pPr>
        <w:spacing w:line="360" w:lineRule="auto"/>
        <w:ind w:firstLine="480" w:firstLineChars="200"/>
        <w:rPr>
          <w:rFonts w:hint="eastAsia" w:ascii="宋体" w:hAnsi="宋体" w:cs="宋体"/>
          <w:sz w:val="24"/>
        </w:rPr>
      </w:pPr>
      <w:r>
        <w:rPr>
          <w:rFonts w:hint="eastAsia" w:ascii="宋体" w:hAnsi="宋体" w:cs="宋体"/>
          <w:sz w:val="24"/>
        </w:rPr>
        <w:t>1.采血位（4个）具备良好的人体工程学设计，下方腿部可以抬起，两侧扶手设计需符合人体工程学，支持高度、角度调节，实现半卧位、侧卧位采血。稳固性强，座位承重≥180kg，且在使用过程中无晃动、位移现象。材质应易清洁、消毒，防止交叉感染，表面皮革舒适柔软，符合人体工程学原理，采用防水、抗菌的皮革材质。电源电压：AC 220V 50Hz，电源需配备防触电保护装置，电机电压≤24V，确保操作安全，功率：≤250W，带USB插口。</w:t>
      </w:r>
    </w:p>
    <w:p w14:paraId="74B30ACE">
      <w:pPr>
        <w:spacing w:line="360" w:lineRule="auto"/>
        <w:ind w:firstLine="480" w:firstLineChars="200"/>
        <w:rPr>
          <w:rFonts w:hint="eastAsia" w:ascii="宋体" w:hAnsi="宋体" w:cs="宋体"/>
          <w:sz w:val="24"/>
        </w:rPr>
      </w:pPr>
      <w:r>
        <w:rPr>
          <w:rFonts w:hint="eastAsia" w:ascii="宋体" w:hAnsi="宋体" w:cs="宋体"/>
          <w:sz w:val="24"/>
        </w:rPr>
        <w:t>2.冰箱1（1台）：具有数字显示功能；箱内温度2℃-8℃；有效容积：≥140L；电压：~220v，频率：50Hz；具备断电报警功能；具备高低温报警功能；配备不低于4层搁架。</w:t>
      </w:r>
    </w:p>
    <w:p w14:paraId="4F22F14E">
      <w:pPr>
        <w:spacing w:line="360" w:lineRule="auto"/>
        <w:ind w:firstLine="480" w:firstLineChars="200"/>
        <w:rPr>
          <w:rFonts w:hint="eastAsia" w:ascii="宋体" w:hAnsi="宋体" w:cs="宋体"/>
          <w:sz w:val="24"/>
        </w:rPr>
      </w:pPr>
      <w:r>
        <w:rPr>
          <w:rFonts w:hint="eastAsia" w:ascii="宋体" w:hAnsi="宋体" w:cs="宋体"/>
          <w:sz w:val="24"/>
        </w:rPr>
        <w:t>3.冰箱2（1台）：电压：~220v，频率：50Hz,防触电，保护类别：不低于I类，总容积：≥100L，冷冻室容积：≥20L，冷藏室容积：≥80L。</w:t>
      </w:r>
    </w:p>
    <w:p w14:paraId="7EE1563D">
      <w:pPr>
        <w:spacing w:line="360" w:lineRule="auto"/>
        <w:ind w:firstLine="480" w:firstLineChars="200"/>
        <w:rPr>
          <w:rFonts w:hint="eastAsia" w:ascii="宋体" w:hAnsi="宋体" w:cs="宋体"/>
          <w:sz w:val="24"/>
        </w:rPr>
      </w:pPr>
      <w:r>
        <w:rPr>
          <w:rFonts w:hint="eastAsia" w:ascii="宋体" w:hAnsi="宋体" w:cs="宋体"/>
          <w:sz w:val="24"/>
        </w:rPr>
        <w:t>4.微波炉（1台）：电压：~220v，频率：50Hz,额定输入功率：≥1200W，微波输出功率：≥700W，额定微波频率：2450MHz。</w:t>
      </w:r>
    </w:p>
    <w:p w14:paraId="2A00F9F5">
      <w:pPr>
        <w:spacing w:line="360" w:lineRule="auto"/>
        <w:ind w:firstLine="480" w:firstLineChars="200"/>
        <w:rPr>
          <w:rFonts w:hint="eastAsia" w:ascii="宋体" w:hAnsi="宋体" w:cs="宋体"/>
          <w:sz w:val="24"/>
        </w:rPr>
      </w:pPr>
      <w:r>
        <w:rPr>
          <w:rFonts w:hint="eastAsia" w:ascii="宋体" w:hAnsi="宋体" w:cs="宋体"/>
          <w:sz w:val="24"/>
        </w:rPr>
        <w:t>5.饮料柜（1台）：电压：~220v，频率：50Hz，容量≥40L,温度范围：≥35-55℃。</w:t>
      </w:r>
    </w:p>
    <w:p w14:paraId="3F095C86">
      <w:pPr>
        <w:spacing w:line="360" w:lineRule="auto"/>
        <w:ind w:firstLine="480" w:firstLineChars="200"/>
        <w:rPr>
          <w:rFonts w:hint="eastAsia" w:ascii="宋体" w:hAnsi="宋体" w:cs="宋体"/>
          <w:sz w:val="24"/>
        </w:rPr>
      </w:pPr>
      <w:r>
        <w:rPr>
          <w:rFonts w:hint="eastAsia" w:ascii="宋体" w:hAnsi="宋体" w:cs="宋体"/>
          <w:sz w:val="24"/>
        </w:rPr>
        <w:t>6.饮水机（1台）：额定电压：~220v，频率50Hz，制热功率≥550W，制冷功率≥70W，制冷水能力≤15℃（0.5L/h）,使用环境温度10℃-50℃，使用环境湿度≤90℃，制热水能力≥90℃（5L/h）。</w:t>
      </w:r>
    </w:p>
    <w:p w14:paraId="5954B6BE">
      <w:pPr>
        <w:spacing w:line="360" w:lineRule="auto"/>
        <w:ind w:firstLine="480" w:firstLineChars="200"/>
        <w:rPr>
          <w:rFonts w:hint="eastAsia" w:ascii="宋体" w:hAnsi="宋体" w:cs="宋体"/>
          <w:sz w:val="24"/>
        </w:rPr>
      </w:pPr>
      <w:r>
        <w:rPr>
          <w:rFonts w:hint="eastAsia" w:ascii="宋体" w:hAnsi="宋体" w:cs="宋体"/>
          <w:sz w:val="24"/>
        </w:rPr>
        <w:t>7.中央空调及新风系统（1套）：额定电压：12-24v，频率50Hz，额定制冷容量≥20KW,额定制热量容量≥22.4KW。</w:t>
      </w:r>
    </w:p>
    <w:p w14:paraId="75C6B027">
      <w:pPr>
        <w:spacing w:line="360" w:lineRule="auto"/>
        <w:ind w:firstLine="480" w:firstLineChars="200"/>
        <w:rPr>
          <w:rFonts w:hint="eastAsia" w:ascii="宋体" w:hAnsi="宋体" w:cs="宋体"/>
          <w:sz w:val="24"/>
        </w:rPr>
      </w:pPr>
      <w:r>
        <w:rPr>
          <w:rFonts w:hint="eastAsia" w:ascii="宋体" w:hAnsi="宋体" w:cs="宋体"/>
          <w:sz w:val="24"/>
        </w:rPr>
        <w:t>8.监控系统：</w:t>
      </w:r>
    </w:p>
    <w:p w14:paraId="71FBE2B6">
      <w:pPr>
        <w:spacing w:line="360" w:lineRule="auto"/>
        <w:ind w:firstLine="480" w:firstLineChars="200"/>
        <w:rPr>
          <w:rFonts w:hint="eastAsia" w:ascii="宋体" w:hAnsi="宋体" w:cs="宋体"/>
          <w:sz w:val="24"/>
        </w:rPr>
      </w:pPr>
      <w:r>
        <w:rPr>
          <w:rFonts w:hint="eastAsia" w:ascii="宋体" w:hAnsi="宋体" w:cs="宋体"/>
          <w:sz w:val="24"/>
        </w:rPr>
        <w:t>8.1企业级模块化路由器（1台）：</w:t>
      </w:r>
    </w:p>
    <w:p w14:paraId="12574FF2">
      <w:pPr>
        <w:spacing w:line="360" w:lineRule="auto"/>
        <w:ind w:firstLine="480" w:firstLineChars="200"/>
        <w:rPr>
          <w:rFonts w:hint="eastAsia" w:ascii="宋体" w:hAnsi="宋体" w:cs="宋体"/>
          <w:sz w:val="24"/>
        </w:rPr>
      </w:pPr>
      <w:r>
        <w:rPr>
          <w:rFonts w:hint="eastAsia" w:ascii="宋体" w:hAnsi="宋体" w:cs="宋体"/>
          <w:sz w:val="24"/>
        </w:rPr>
        <w:t>8.1.1固定接口：3×GE（含1×Combo光电复用接口），≥2个USB 2.0端口，≥1个Mini-USB控制台端口，≥1个串行辅助。</w:t>
      </w:r>
    </w:p>
    <w:p w14:paraId="567A80D8">
      <w:pPr>
        <w:spacing w:line="360" w:lineRule="auto"/>
        <w:ind w:firstLine="480" w:firstLineChars="200"/>
        <w:rPr>
          <w:rFonts w:hint="eastAsia" w:ascii="宋体" w:hAnsi="宋体" w:cs="宋体"/>
          <w:sz w:val="24"/>
        </w:rPr>
      </w:pPr>
      <w:r>
        <w:rPr>
          <w:rFonts w:hint="eastAsia" w:ascii="宋体" w:hAnsi="宋体" w:cs="宋体"/>
          <w:sz w:val="24"/>
        </w:rPr>
        <w:t>8.1.2扩展插槽：SIC插槽≥4个，支持FE、GE、EPON/GPON、3G/LTE等多种接口模块。</w:t>
      </w:r>
    </w:p>
    <w:p w14:paraId="6DABA249">
      <w:pPr>
        <w:spacing w:line="360" w:lineRule="auto"/>
        <w:ind w:firstLine="480" w:firstLineChars="200"/>
        <w:rPr>
          <w:rFonts w:hint="eastAsia" w:ascii="宋体" w:hAnsi="宋体" w:cs="宋体"/>
          <w:sz w:val="24"/>
        </w:rPr>
      </w:pPr>
      <w:r>
        <w:rPr>
          <w:rFonts w:hint="eastAsia" w:ascii="宋体" w:hAnsi="宋体" w:cs="宋体"/>
          <w:sz w:val="24"/>
        </w:rPr>
        <w:t>8.2硬盘录像机（1台）：</w:t>
      </w:r>
    </w:p>
    <w:p w14:paraId="1CDF69AC">
      <w:pPr>
        <w:spacing w:line="360" w:lineRule="auto"/>
        <w:ind w:firstLine="480" w:firstLineChars="200"/>
        <w:rPr>
          <w:rFonts w:hint="eastAsia" w:ascii="宋体" w:hAnsi="宋体" w:cs="宋体"/>
          <w:sz w:val="24"/>
        </w:rPr>
      </w:pPr>
      <w:r>
        <w:rPr>
          <w:rFonts w:hint="eastAsia" w:ascii="宋体" w:hAnsi="宋体" w:cs="宋体"/>
          <w:sz w:val="24"/>
        </w:rPr>
        <w:t>8.2.1前智能分析：支持前智能人脸检测、人脸识别、周界防范、智能动检、立体行为分析、人群分布、人数统计、车牌识别功能。</w:t>
      </w:r>
    </w:p>
    <w:p w14:paraId="2F109D81">
      <w:pPr>
        <w:spacing w:line="360" w:lineRule="auto"/>
        <w:ind w:firstLine="480" w:firstLineChars="200"/>
        <w:rPr>
          <w:rFonts w:hint="eastAsia" w:ascii="宋体" w:hAnsi="宋体" w:cs="宋体"/>
          <w:sz w:val="24"/>
        </w:rPr>
      </w:pPr>
      <w:r>
        <w:rPr>
          <w:rFonts w:hint="eastAsia" w:ascii="宋体" w:hAnsi="宋体" w:cs="宋体"/>
          <w:sz w:val="24"/>
        </w:rPr>
        <w:t>8.2.2周界前智能性能（路数）：全通道（最大处理6个事件/秒）。</w:t>
      </w:r>
    </w:p>
    <w:p w14:paraId="05ED945E">
      <w:pPr>
        <w:spacing w:line="360" w:lineRule="auto"/>
        <w:ind w:firstLine="480" w:firstLineChars="200"/>
        <w:rPr>
          <w:rFonts w:hint="eastAsia" w:ascii="宋体" w:hAnsi="宋体" w:cs="宋体"/>
          <w:sz w:val="24"/>
        </w:rPr>
      </w:pPr>
      <w:r>
        <w:rPr>
          <w:rFonts w:hint="eastAsia" w:ascii="宋体" w:hAnsi="宋体" w:cs="宋体"/>
          <w:sz w:val="24"/>
        </w:rPr>
        <w:t>8.2.3人脸识别前智能性能（路数）：全通道（最大处理6个事件/秒）。</w:t>
      </w:r>
    </w:p>
    <w:p w14:paraId="3B0707B8">
      <w:pPr>
        <w:spacing w:line="360" w:lineRule="auto"/>
        <w:ind w:firstLine="480" w:firstLineChars="200"/>
        <w:rPr>
          <w:rFonts w:hint="eastAsia" w:ascii="宋体" w:hAnsi="宋体" w:cs="宋体"/>
          <w:sz w:val="24"/>
        </w:rPr>
      </w:pPr>
      <w:r>
        <w:rPr>
          <w:rFonts w:hint="eastAsia" w:ascii="宋体" w:hAnsi="宋体" w:cs="宋体"/>
          <w:sz w:val="24"/>
        </w:rPr>
        <w:t>8.2.4接入路数：≥8路。</w:t>
      </w:r>
    </w:p>
    <w:p w14:paraId="6D6AF1E9">
      <w:pPr>
        <w:spacing w:line="360" w:lineRule="auto"/>
        <w:ind w:firstLine="480" w:firstLineChars="200"/>
        <w:rPr>
          <w:rFonts w:hint="eastAsia" w:ascii="宋体" w:hAnsi="宋体" w:cs="宋体"/>
          <w:sz w:val="24"/>
        </w:rPr>
      </w:pPr>
      <w:r>
        <w:rPr>
          <w:rFonts w:hint="eastAsia" w:ascii="宋体" w:hAnsi="宋体" w:cs="宋体"/>
          <w:sz w:val="24"/>
        </w:rPr>
        <w:t>8.2.5分辨率：支持12MP；8MP；6MP；5MP；4MP；3MP；1080p；720p；960p；D1；CIF；QCIF等。</w:t>
      </w:r>
    </w:p>
    <w:p w14:paraId="2A0ED67A">
      <w:pPr>
        <w:spacing w:line="360" w:lineRule="auto"/>
        <w:ind w:firstLine="480" w:firstLineChars="200"/>
        <w:rPr>
          <w:rFonts w:hint="eastAsia" w:ascii="宋体" w:hAnsi="宋体" w:cs="宋体"/>
          <w:sz w:val="24"/>
        </w:rPr>
      </w:pPr>
      <w:r>
        <w:rPr>
          <w:rFonts w:hint="eastAsia" w:ascii="宋体" w:hAnsi="宋体" w:cs="宋体"/>
          <w:sz w:val="24"/>
        </w:rPr>
        <w:t>8.2.6报警输入：≥4路；报警输出：≥2路。</w:t>
      </w:r>
    </w:p>
    <w:p w14:paraId="31B329DD">
      <w:pPr>
        <w:spacing w:line="360" w:lineRule="auto"/>
        <w:ind w:firstLine="480" w:firstLineChars="200"/>
        <w:rPr>
          <w:rFonts w:hint="eastAsia" w:ascii="宋体" w:hAnsi="宋体" w:cs="宋体"/>
          <w:sz w:val="24"/>
        </w:rPr>
      </w:pPr>
      <w:r>
        <w:rPr>
          <w:rFonts w:hint="eastAsia" w:ascii="宋体" w:hAnsi="宋体" w:cs="宋体"/>
          <w:sz w:val="24"/>
        </w:rPr>
        <w:t>#8.2.7硬盘接口：≥4个；SATA，单盘：≥20T。</w:t>
      </w:r>
    </w:p>
    <w:p w14:paraId="726BBA7D">
      <w:pPr>
        <w:spacing w:line="360" w:lineRule="auto"/>
        <w:ind w:firstLine="480" w:firstLineChars="200"/>
        <w:rPr>
          <w:rFonts w:hint="eastAsia" w:ascii="宋体" w:hAnsi="宋体" w:cs="宋体"/>
          <w:sz w:val="24"/>
        </w:rPr>
      </w:pPr>
      <w:r>
        <w:rPr>
          <w:rFonts w:hint="eastAsia" w:ascii="宋体" w:hAnsi="宋体" w:cs="宋体"/>
          <w:sz w:val="24"/>
        </w:rPr>
        <w:t>8.2.8网络接口：≥2个（10M/100M/1000M以太网口，RJ-45）。</w:t>
      </w:r>
    </w:p>
    <w:p w14:paraId="540767D0">
      <w:pPr>
        <w:spacing w:line="360" w:lineRule="auto"/>
        <w:ind w:firstLine="480" w:firstLineChars="200"/>
        <w:rPr>
          <w:rFonts w:hint="eastAsia" w:ascii="宋体" w:hAnsi="宋体" w:cs="宋体"/>
          <w:sz w:val="24"/>
        </w:rPr>
      </w:pPr>
      <w:r>
        <w:rPr>
          <w:rFonts w:hint="eastAsia" w:ascii="宋体" w:hAnsi="宋体" w:cs="宋体"/>
          <w:sz w:val="24"/>
        </w:rPr>
        <w:t>8.3半球摄像机（≥8个）</w:t>
      </w:r>
    </w:p>
    <w:p w14:paraId="1DDC9A3B">
      <w:pPr>
        <w:spacing w:line="360" w:lineRule="auto"/>
        <w:ind w:firstLine="480" w:firstLineChars="200"/>
        <w:rPr>
          <w:rFonts w:hint="eastAsia" w:ascii="宋体" w:hAnsi="宋体" w:cs="宋体"/>
          <w:sz w:val="24"/>
        </w:rPr>
      </w:pPr>
      <w:r>
        <w:rPr>
          <w:rFonts w:hint="eastAsia" w:ascii="宋体" w:hAnsi="宋体" w:cs="宋体"/>
          <w:sz w:val="24"/>
        </w:rPr>
        <w:t>8.3.1传感器类型：1/3英寸CMOS。</w:t>
      </w:r>
    </w:p>
    <w:p w14:paraId="212EEA46">
      <w:pPr>
        <w:spacing w:line="360" w:lineRule="auto"/>
        <w:ind w:firstLine="480" w:firstLineChars="200"/>
        <w:rPr>
          <w:rFonts w:hint="eastAsia" w:ascii="宋体" w:hAnsi="宋体" w:cs="宋体"/>
          <w:sz w:val="24"/>
        </w:rPr>
      </w:pPr>
      <w:r>
        <w:rPr>
          <w:rFonts w:hint="eastAsia" w:ascii="宋体" w:hAnsi="宋体" w:cs="宋体"/>
          <w:sz w:val="24"/>
        </w:rPr>
        <w:t>8.3.2像素：≥400万。</w:t>
      </w:r>
    </w:p>
    <w:p w14:paraId="571A2E25">
      <w:pPr>
        <w:spacing w:line="360" w:lineRule="auto"/>
        <w:ind w:firstLine="480" w:firstLineChars="200"/>
        <w:rPr>
          <w:rFonts w:hint="eastAsia" w:ascii="宋体" w:hAnsi="宋体" w:cs="宋体"/>
          <w:sz w:val="24"/>
        </w:rPr>
      </w:pPr>
      <w:r>
        <w:rPr>
          <w:rFonts w:hint="eastAsia" w:ascii="宋体" w:hAnsi="宋体" w:cs="宋体"/>
          <w:sz w:val="24"/>
        </w:rPr>
        <w:t>8.3.3最大分辨率：≥2560×1440。</w:t>
      </w:r>
    </w:p>
    <w:p w14:paraId="719C6A50">
      <w:pPr>
        <w:spacing w:line="360" w:lineRule="auto"/>
        <w:ind w:firstLine="480" w:firstLineChars="200"/>
        <w:rPr>
          <w:rFonts w:hint="eastAsia" w:ascii="宋体" w:hAnsi="宋体" w:cs="宋体"/>
          <w:sz w:val="24"/>
        </w:rPr>
      </w:pPr>
      <w:r>
        <w:rPr>
          <w:rFonts w:hint="eastAsia" w:ascii="宋体" w:hAnsi="宋体" w:cs="宋体"/>
          <w:sz w:val="24"/>
        </w:rPr>
        <w:t>8.3.4补光灯：1颗红外灯。</w:t>
      </w:r>
    </w:p>
    <w:p w14:paraId="75C196A7">
      <w:pPr>
        <w:spacing w:line="360" w:lineRule="auto"/>
        <w:ind w:firstLine="480" w:firstLineChars="200"/>
        <w:rPr>
          <w:rFonts w:hint="eastAsia" w:ascii="宋体" w:hAnsi="宋体" w:cs="宋体"/>
          <w:sz w:val="24"/>
        </w:rPr>
      </w:pPr>
      <w:r>
        <w:rPr>
          <w:rFonts w:hint="eastAsia" w:ascii="宋体" w:hAnsi="宋体" w:cs="宋体"/>
          <w:sz w:val="24"/>
        </w:rPr>
        <w:t>8.3.5镜头类型：定焦。</w:t>
      </w:r>
    </w:p>
    <w:p w14:paraId="6E472D70">
      <w:pPr>
        <w:spacing w:line="360" w:lineRule="auto"/>
        <w:ind w:firstLine="480" w:firstLineChars="200"/>
        <w:rPr>
          <w:rFonts w:hint="eastAsia" w:ascii="宋体" w:hAnsi="宋体" w:cs="宋体"/>
          <w:sz w:val="24"/>
        </w:rPr>
      </w:pPr>
      <w:r>
        <w:rPr>
          <w:rFonts w:hint="eastAsia" w:ascii="宋体" w:hAnsi="宋体" w:cs="宋体"/>
          <w:sz w:val="24"/>
        </w:rPr>
        <w:t>8.3.6镜头焦距：≥3.6mm。</w:t>
      </w:r>
    </w:p>
    <w:p w14:paraId="2B1BD880">
      <w:pPr>
        <w:spacing w:line="360" w:lineRule="auto"/>
        <w:ind w:firstLine="480" w:firstLineChars="200"/>
        <w:rPr>
          <w:rFonts w:hint="eastAsia" w:ascii="宋体" w:hAnsi="宋体" w:cs="宋体"/>
          <w:sz w:val="24"/>
        </w:rPr>
      </w:pPr>
      <w:r>
        <w:rPr>
          <w:rFonts w:hint="eastAsia" w:ascii="宋体" w:hAnsi="宋体" w:cs="宋体"/>
          <w:sz w:val="24"/>
        </w:rPr>
        <w:t>8.3.7镜头光圈：F2.0。</w:t>
      </w:r>
    </w:p>
    <w:p w14:paraId="40BF4DD2">
      <w:pPr>
        <w:spacing w:line="360" w:lineRule="auto"/>
        <w:ind w:firstLine="480" w:firstLineChars="200"/>
        <w:rPr>
          <w:rFonts w:hint="eastAsia" w:ascii="宋体" w:hAnsi="宋体" w:cs="宋体"/>
          <w:sz w:val="24"/>
        </w:rPr>
      </w:pPr>
      <w:r>
        <w:rPr>
          <w:rFonts w:hint="eastAsia" w:ascii="宋体" w:hAnsi="宋体" w:cs="宋体"/>
          <w:sz w:val="24"/>
        </w:rPr>
        <w:t>8.3.8智能编码：H.264：支持；H.265：支持；宽动态：支持；内置MIC：支持。</w:t>
      </w:r>
    </w:p>
    <w:p w14:paraId="19353F8C">
      <w:pPr>
        <w:spacing w:line="360" w:lineRule="auto"/>
        <w:ind w:firstLine="480" w:firstLineChars="200"/>
        <w:rPr>
          <w:rFonts w:hint="eastAsia" w:ascii="宋体" w:hAnsi="宋体" w:cs="宋体"/>
          <w:sz w:val="24"/>
        </w:rPr>
      </w:pPr>
      <w:r>
        <w:rPr>
          <w:rFonts w:hint="eastAsia" w:ascii="宋体" w:hAnsi="宋体" w:cs="宋体"/>
          <w:sz w:val="24"/>
        </w:rPr>
        <w:t>8.3.9报警事件：网络断开；IP冲突；非法访问；动态检测；视频遮挡；音频异常侦测；安全异常。</w:t>
      </w:r>
    </w:p>
    <w:p w14:paraId="170D5D49">
      <w:pPr>
        <w:spacing w:line="360" w:lineRule="auto"/>
        <w:ind w:firstLine="480" w:firstLineChars="200"/>
        <w:rPr>
          <w:rFonts w:hint="eastAsia" w:ascii="宋体" w:hAnsi="宋体" w:cs="宋体"/>
          <w:sz w:val="24"/>
        </w:rPr>
      </w:pPr>
      <w:r>
        <w:rPr>
          <w:rFonts w:hint="eastAsia" w:ascii="宋体" w:hAnsi="宋体" w:cs="宋体"/>
          <w:sz w:val="24"/>
        </w:rPr>
        <w:t>8.3.10预览用户数：≥6个（总带宽：≥24M）。</w:t>
      </w:r>
    </w:p>
    <w:p w14:paraId="67FFA944">
      <w:pPr>
        <w:spacing w:line="360" w:lineRule="auto"/>
        <w:ind w:firstLine="480" w:firstLineChars="200"/>
        <w:rPr>
          <w:rFonts w:hint="eastAsia" w:ascii="宋体" w:hAnsi="宋体" w:cs="宋体"/>
          <w:sz w:val="24"/>
        </w:rPr>
      </w:pPr>
      <w:r>
        <w:rPr>
          <w:rFonts w:hint="eastAsia" w:ascii="宋体" w:hAnsi="宋体" w:cs="宋体"/>
          <w:sz w:val="24"/>
        </w:rPr>
        <w:t>8.3.11供电方式：DC12V/PoE。</w:t>
      </w:r>
    </w:p>
    <w:p w14:paraId="1002C434">
      <w:pPr>
        <w:spacing w:line="360" w:lineRule="auto"/>
        <w:ind w:firstLine="480" w:firstLineChars="200"/>
        <w:rPr>
          <w:rFonts w:hint="eastAsia" w:ascii="宋体" w:hAnsi="宋体" w:cs="宋体"/>
          <w:sz w:val="24"/>
        </w:rPr>
      </w:pPr>
      <w:r>
        <w:rPr>
          <w:rFonts w:hint="eastAsia" w:ascii="宋体" w:hAnsi="宋体" w:cs="宋体"/>
          <w:sz w:val="24"/>
        </w:rPr>
        <w:t>8.3.12防护等级：不低于IP67；外壳防护等级：不低于IK10。</w:t>
      </w:r>
    </w:p>
    <w:p w14:paraId="27553309">
      <w:pPr>
        <w:spacing w:line="360" w:lineRule="auto"/>
        <w:ind w:firstLine="480" w:firstLineChars="200"/>
        <w:rPr>
          <w:rFonts w:hint="eastAsia" w:ascii="宋体" w:hAnsi="宋体" w:cs="宋体"/>
          <w:sz w:val="24"/>
        </w:rPr>
      </w:pPr>
      <w:r>
        <w:rPr>
          <w:rFonts w:hint="eastAsia" w:ascii="宋体" w:hAnsi="宋体" w:cs="宋体"/>
          <w:sz w:val="24"/>
        </w:rPr>
        <w:t>8.4机械硬盘（2块）：单盘容量：≥4TB；缓存：≥256MB；转速：≥5400RPM；</w:t>
      </w:r>
    </w:p>
    <w:p w14:paraId="7DD142B2">
      <w:pPr>
        <w:spacing w:line="360" w:lineRule="auto"/>
        <w:ind w:firstLine="480" w:firstLineChars="200"/>
        <w:rPr>
          <w:rFonts w:hint="eastAsia" w:ascii="宋体" w:hAnsi="宋体" w:cs="宋体"/>
          <w:sz w:val="24"/>
        </w:rPr>
      </w:pPr>
      <w:r>
        <w:rPr>
          <w:rFonts w:hint="eastAsia" w:ascii="宋体" w:hAnsi="宋体" w:cs="宋体"/>
          <w:sz w:val="24"/>
        </w:rPr>
        <w:t>硬盘接口：SATA。</w:t>
      </w:r>
    </w:p>
    <w:p w14:paraId="76A5DDFD">
      <w:pPr>
        <w:spacing w:line="360" w:lineRule="auto"/>
        <w:ind w:firstLine="480" w:firstLineChars="200"/>
        <w:rPr>
          <w:rFonts w:hint="eastAsia" w:ascii="宋体" w:hAnsi="宋体" w:cs="宋体"/>
          <w:sz w:val="24"/>
        </w:rPr>
      </w:pPr>
      <w:r>
        <w:rPr>
          <w:rFonts w:hint="eastAsia" w:ascii="宋体" w:hAnsi="宋体" w:cs="宋体"/>
          <w:sz w:val="24"/>
        </w:rPr>
        <w:t>8.5 POE交换机（1台）：</w:t>
      </w:r>
    </w:p>
    <w:p w14:paraId="310C70D8">
      <w:pPr>
        <w:spacing w:line="360" w:lineRule="auto"/>
        <w:ind w:firstLine="480" w:firstLineChars="200"/>
        <w:rPr>
          <w:rFonts w:hint="eastAsia" w:ascii="宋体" w:hAnsi="宋体" w:cs="宋体"/>
          <w:sz w:val="24"/>
        </w:rPr>
      </w:pPr>
      <w:r>
        <w:rPr>
          <w:rFonts w:hint="eastAsia" w:ascii="宋体" w:hAnsi="宋体" w:cs="宋体"/>
          <w:sz w:val="24"/>
        </w:rPr>
        <w:t>8.5.1交换容量：≥128Gbps。</w:t>
      </w:r>
    </w:p>
    <w:p w14:paraId="26D3967C">
      <w:pPr>
        <w:spacing w:line="360" w:lineRule="auto"/>
        <w:ind w:firstLine="480" w:firstLineChars="200"/>
        <w:rPr>
          <w:rFonts w:hint="eastAsia" w:ascii="宋体" w:hAnsi="宋体" w:cs="宋体"/>
          <w:sz w:val="24"/>
        </w:rPr>
      </w:pPr>
      <w:r>
        <w:rPr>
          <w:rFonts w:hint="eastAsia" w:ascii="宋体" w:hAnsi="宋体" w:cs="宋体"/>
          <w:sz w:val="24"/>
        </w:rPr>
        <w:t>8.5.2包转发率：≥30Mpps。</w:t>
      </w:r>
    </w:p>
    <w:p w14:paraId="77227F1F">
      <w:pPr>
        <w:spacing w:line="360" w:lineRule="auto"/>
        <w:ind w:firstLine="480" w:firstLineChars="200"/>
        <w:rPr>
          <w:rFonts w:hint="eastAsia" w:ascii="宋体" w:hAnsi="宋体" w:cs="宋体"/>
          <w:sz w:val="24"/>
        </w:rPr>
      </w:pPr>
      <w:r>
        <w:rPr>
          <w:rFonts w:hint="eastAsia" w:ascii="宋体" w:hAnsi="宋体" w:cs="宋体"/>
          <w:sz w:val="24"/>
        </w:rPr>
        <w:t>8.5.3业务端口：≥16个10/100BASE-T电口(PoE)、≥2个10/100/1000BASE-T电口(Combo)、≥2个1000BASE-X SFP端口环网协议支持STP、RSTP。</w:t>
      </w:r>
    </w:p>
    <w:p w14:paraId="1F5A0191">
      <w:pPr>
        <w:spacing w:line="360" w:lineRule="auto"/>
        <w:ind w:firstLine="480" w:firstLineChars="200"/>
        <w:rPr>
          <w:rFonts w:hint="eastAsia" w:ascii="宋体" w:hAnsi="宋体" w:cs="宋体"/>
          <w:sz w:val="24"/>
        </w:rPr>
      </w:pPr>
      <w:r>
        <w:rPr>
          <w:rFonts w:hint="eastAsia" w:ascii="宋体" w:hAnsi="宋体" w:cs="宋体"/>
          <w:sz w:val="24"/>
        </w:rPr>
        <w:t>8.5.4支持VLAN功能。</w:t>
      </w:r>
    </w:p>
    <w:p w14:paraId="4E97C6D4">
      <w:pPr>
        <w:spacing w:line="360" w:lineRule="auto"/>
        <w:ind w:firstLine="480" w:firstLineChars="200"/>
        <w:rPr>
          <w:rFonts w:hint="eastAsia" w:ascii="宋体" w:hAnsi="宋体" w:cs="宋体"/>
          <w:sz w:val="24"/>
        </w:rPr>
      </w:pPr>
      <w:r>
        <w:rPr>
          <w:rFonts w:hint="eastAsia" w:ascii="宋体" w:hAnsi="宋体" w:cs="宋体"/>
          <w:sz w:val="24"/>
        </w:rPr>
        <w:t>8.5.5链路聚合。</w:t>
      </w:r>
    </w:p>
    <w:p w14:paraId="321503DF">
      <w:pPr>
        <w:spacing w:line="360" w:lineRule="auto"/>
        <w:ind w:firstLine="480" w:firstLineChars="200"/>
        <w:rPr>
          <w:rFonts w:hint="eastAsia" w:ascii="宋体" w:hAnsi="宋体" w:cs="宋体"/>
          <w:sz w:val="24"/>
        </w:rPr>
      </w:pPr>
      <w:r>
        <w:rPr>
          <w:rFonts w:hint="eastAsia" w:ascii="宋体" w:hAnsi="宋体" w:cs="宋体"/>
          <w:sz w:val="24"/>
        </w:rPr>
        <w:t>8.5.6设备管理：WEB管理、APP管理。</w:t>
      </w:r>
    </w:p>
    <w:p w14:paraId="1E2C0886">
      <w:pPr>
        <w:spacing w:line="360" w:lineRule="auto"/>
        <w:ind w:firstLine="480" w:firstLineChars="200"/>
        <w:rPr>
          <w:rFonts w:hint="eastAsia" w:ascii="宋体" w:hAnsi="宋体" w:cs="宋体"/>
          <w:sz w:val="24"/>
        </w:rPr>
      </w:pPr>
      <w:r>
        <w:rPr>
          <w:rFonts w:hint="eastAsia" w:ascii="宋体" w:hAnsi="宋体" w:cs="宋体"/>
          <w:sz w:val="24"/>
        </w:rPr>
        <w:t>8.5.7供电方式：100～240VAC。</w:t>
      </w:r>
    </w:p>
    <w:p w14:paraId="2EC85BCC">
      <w:pPr>
        <w:spacing w:line="360" w:lineRule="auto"/>
        <w:ind w:firstLine="480" w:firstLineChars="200"/>
        <w:rPr>
          <w:rFonts w:hint="eastAsia" w:ascii="宋体" w:hAnsi="宋体" w:cs="宋体"/>
          <w:sz w:val="24"/>
        </w:rPr>
      </w:pPr>
      <w:r>
        <w:rPr>
          <w:rFonts w:hint="eastAsia" w:ascii="宋体" w:hAnsi="宋体" w:cs="宋体"/>
          <w:sz w:val="24"/>
        </w:rPr>
        <w:t>8.5.8空载功耗：≤6W。</w:t>
      </w:r>
    </w:p>
    <w:p w14:paraId="6CA6CC8B">
      <w:pPr>
        <w:spacing w:line="360" w:lineRule="auto"/>
        <w:ind w:firstLine="480" w:firstLineChars="200"/>
        <w:rPr>
          <w:rFonts w:hint="eastAsia" w:ascii="宋体" w:hAnsi="宋体" w:cs="宋体"/>
          <w:sz w:val="24"/>
        </w:rPr>
      </w:pPr>
      <w:r>
        <w:rPr>
          <w:rFonts w:hint="eastAsia" w:ascii="宋体" w:hAnsi="宋体" w:cs="宋体"/>
          <w:sz w:val="24"/>
        </w:rPr>
        <w:t>8.5.9散热方式：内置风扇散热。</w:t>
      </w:r>
    </w:p>
    <w:p w14:paraId="23A4175D">
      <w:pPr>
        <w:spacing w:line="360" w:lineRule="auto"/>
        <w:ind w:firstLine="480" w:firstLineChars="200"/>
        <w:rPr>
          <w:rFonts w:hint="eastAsia" w:ascii="宋体" w:hAnsi="宋体" w:cs="宋体"/>
          <w:sz w:val="24"/>
        </w:rPr>
      </w:pPr>
      <w:r>
        <w:rPr>
          <w:rFonts w:hint="eastAsia" w:ascii="宋体" w:hAnsi="宋体" w:cs="宋体"/>
          <w:sz w:val="24"/>
        </w:rPr>
        <w:t>8.5.10安装方式：桌面式、机架式安装。</w:t>
      </w:r>
    </w:p>
    <w:p w14:paraId="47D6DB7B">
      <w:pPr>
        <w:spacing w:line="360" w:lineRule="auto"/>
        <w:ind w:firstLine="480" w:firstLineChars="200"/>
        <w:rPr>
          <w:rFonts w:hint="eastAsia" w:ascii="宋体" w:hAnsi="宋体" w:cs="宋体"/>
          <w:sz w:val="24"/>
        </w:rPr>
      </w:pPr>
      <w:r>
        <w:rPr>
          <w:rFonts w:hint="eastAsia" w:ascii="宋体" w:hAnsi="宋体" w:cs="宋体"/>
          <w:sz w:val="24"/>
        </w:rPr>
        <w:t>8.6网卡（1个）：三网通,支持APP控制，无线速率：≥150M，卡插卡，非机卡绑定,含一年流量每月≥2000G。</w:t>
      </w:r>
    </w:p>
    <w:p w14:paraId="4BB86C3E">
      <w:pPr>
        <w:spacing w:line="360" w:lineRule="auto"/>
        <w:ind w:firstLine="480" w:firstLineChars="200"/>
        <w:rPr>
          <w:rFonts w:hint="eastAsia" w:ascii="宋体" w:hAnsi="宋体" w:cs="宋体"/>
          <w:sz w:val="24"/>
        </w:rPr>
      </w:pPr>
      <w:r>
        <w:rPr>
          <w:rFonts w:hint="eastAsia" w:ascii="宋体" w:hAnsi="宋体" w:cs="宋体"/>
          <w:sz w:val="24"/>
        </w:rPr>
        <w:t>9.宣传拼接屏</w:t>
      </w:r>
    </w:p>
    <w:p w14:paraId="16EFD3B8">
      <w:pPr>
        <w:spacing w:line="360" w:lineRule="auto"/>
        <w:ind w:firstLine="480" w:firstLineChars="200"/>
        <w:rPr>
          <w:rFonts w:hint="eastAsia" w:ascii="宋体" w:hAnsi="宋体" w:cs="宋体"/>
          <w:sz w:val="24"/>
        </w:rPr>
      </w:pPr>
      <w:r>
        <w:rPr>
          <w:rFonts w:hint="eastAsia" w:ascii="宋体" w:hAnsi="宋体" w:cs="宋体"/>
          <w:sz w:val="24"/>
        </w:rPr>
        <w:t>9.1室内宣传拼接屏（1套）：</w:t>
      </w:r>
    </w:p>
    <w:p w14:paraId="04A5B80A">
      <w:pPr>
        <w:spacing w:line="360" w:lineRule="auto"/>
        <w:ind w:firstLine="480" w:firstLineChars="200"/>
        <w:rPr>
          <w:rFonts w:hint="eastAsia" w:ascii="宋体" w:hAnsi="宋体" w:cs="宋体"/>
          <w:sz w:val="24"/>
        </w:rPr>
      </w:pPr>
      <w:r>
        <w:rPr>
          <w:rFonts w:hint="eastAsia" w:ascii="宋体" w:hAnsi="宋体" w:cs="宋体"/>
          <w:sz w:val="24"/>
        </w:rPr>
        <w:t>9.1.1观看距离：3-5米。</w:t>
      </w:r>
    </w:p>
    <w:p w14:paraId="3169E01D">
      <w:pPr>
        <w:spacing w:line="360" w:lineRule="auto"/>
        <w:ind w:firstLine="480" w:firstLineChars="200"/>
        <w:rPr>
          <w:rFonts w:hint="eastAsia" w:ascii="宋体" w:hAnsi="宋体" w:cs="宋体"/>
          <w:sz w:val="24"/>
        </w:rPr>
      </w:pPr>
      <w:r>
        <w:rPr>
          <w:rFonts w:hint="eastAsia" w:ascii="宋体" w:hAnsi="宋体" w:cs="宋体"/>
          <w:sz w:val="24"/>
        </w:rPr>
        <w:t>9.1.2亮度范围：300-1000cd/㎡，对比度：≥10000:1。</w:t>
      </w:r>
    </w:p>
    <w:p w14:paraId="5E5EA226">
      <w:pPr>
        <w:spacing w:line="360" w:lineRule="auto"/>
        <w:ind w:firstLine="480" w:firstLineChars="200"/>
        <w:rPr>
          <w:rFonts w:hint="eastAsia" w:ascii="宋体" w:hAnsi="宋体" w:cs="宋体"/>
          <w:sz w:val="24"/>
        </w:rPr>
      </w:pPr>
      <w:r>
        <w:rPr>
          <w:rFonts w:hint="eastAsia" w:ascii="宋体" w:hAnsi="宋体" w:cs="宋体"/>
          <w:sz w:val="24"/>
        </w:rPr>
        <w:t>9.1.3功耗：平均12-350W/㎡。</w:t>
      </w:r>
    </w:p>
    <w:p w14:paraId="73A8FD04">
      <w:pPr>
        <w:spacing w:line="360" w:lineRule="auto"/>
        <w:ind w:firstLine="480" w:firstLineChars="200"/>
        <w:rPr>
          <w:rFonts w:hint="eastAsia" w:ascii="宋体" w:hAnsi="宋体" w:cs="宋体"/>
          <w:sz w:val="24"/>
        </w:rPr>
      </w:pPr>
      <w:r>
        <w:rPr>
          <w:rFonts w:hint="eastAsia" w:ascii="宋体" w:hAnsi="宋体" w:cs="宋体"/>
          <w:sz w:val="24"/>
        </w:rPr>
        <w:t>9.1.4散热设计‌：压铸铝合金箱体，无风扇静音结构。</w:t>
      </w:r>
    </w:p>
    <w:p w14:paraId="2936C312">
      <w:pPr>
        <w:spacing w:line="360" w:lineRule="auto"/>
        <w:ind w:firstLine="480" w:firstLineChars="200"/>
        <w:rPr>
          <w:rFonts w:hint="eastAsia" w:ascii="宋体" w:hAnsi="宋体" w:cs="宋体"/>
          <w:sz w:val="24"/>
        </w:rPr>
      </w:pPr>
      <w:r>
        <w:rPr>
          <w:rFonts w:hint="eastAsia" w:ascii="宋体" w:hAnsi="宋体" w:cs="宋体"/>
          <w:sz w:val="24"/>
        </w:rPr>
        <w:t>9.1.5防护等级：不低于IP20（仅防尘）。</w:t>
      </w:r>
    </w:p>
    <w:p w14:paraId="7D5C9C99">
      <w:pPr>
        <w:spacing w:line="360" w:lineRule="auto"/>
        <w:ind w:firstLine="480" w:firstLineChars="200"/>
        <w:rPr>
          <w:rFonts w:hint="eastAsia" w:ascii="宋体" w:hAnsi="宋体" w:cs="宋体"/>
          <w:sz w:val="24"/>
        </w:rPr>
      </w:pPr>
      <w:r>
        <w:rPr>
          <w:rFonts w:hint="eastAsia" w:ascii="宋体" w:hAnsi="宋体" w:cs="宋体"/>
          <w:sz w:val="24"/>
        </w:rPr>
        <w:t>#9.1.6寿命：≥100,000小时。</w:t>
      </w:r>
    </w:p>
    <w:p w14:paraId="4C1B964C">
      <w:pPr>
        <w:spacing w:line="360" w:lineRule="auto"/>
        <w:ind w:firstLine="480" w:firstLineChars="200"/>
        <w:rPr>
          <w:rFonts w:hint="eastAsia" w:ascii="宋体" w:hAnsi="宋体" w:cs="宋体"/>
          <w:sz w:val="24"/>
        </w:rPr>
      </w:pPr>
      <w:r>
        <w:rPr>
          <w:rFonts w:hint="eastAsia" w:ascii="宋体" w:hAnsi="宋体" w:cs="宋体"/>
          <w:sz w:val="24"/>
        </w:rPr>
        <w:t>9.1.7盲点率：出厂时＜0.0003%。</w:t>
      </w:r>
    </w:p>
    <w:p w14:paraId="656067EE">
      <w:pPr>
        <w:spacing w:line="360" w:lineRule="auto"/>
        <w:ind w:firstLine="480" w:firstLineChars="200"/>
        <w:rPr>
          <w:rFonts w:hint="eastAsia" w:ascii="宋体" w:hAnsi="宋体" w:cs="宋体"/>
          <w:sz w:val="24"/>
        </w:rPr>
      </w:pPr>
      <w:r>
        <w:rPr>
          <w:rFonts w:hint="eastAsia" w:ascii="宋体" w:hAnsi="宋体" w:cs="宋体"/>
          <w:sz w:val="24"/>
        </w:rPr>
        <w:t>9.2室外宣传拼接屏（1套）</w:t>
      </w:r>
    </w:p>
    <w:p w14:paraId="7980EE52">
      <w:pPr>
        <w:spacing w:line="360" w:lineRule="auto"/>
        <w:ind w:firstLine="480" w:firstLineChars="200"/>
        <w:rPr>
          <w:rFonts w:hint="eastAsia" w:ascii="宋体" w:hAnsi="宋体" w:cs="宋体"/>
          <w:sz w:val="24"/>
        </w:rPr>
      </w:pPr>
      <w:r>
        <w:rPr>
          <w:rFonts w:hint="eastAsia" w:ascii="宋体" w:hAnsi="宋体" w:cs="宋体"/>
          <w:sz w:val="24"/>
        </w:rPr>
        <w:t>9.2.1亮度与可视性：白平衡亮度≥5000cd/㎡，可视角度水平。≥100°-170°，垂直≥100°-140°，最佳视距离≥3米。</w:t>
      </w:r>
    </w:p>
    <w:p w14:paraId="6AFFF637">
      <w:pPr>
        <w:spacing w:line="360" w:lineRule="auto"/>
        <w:ind w:firstLine="480" w:firstLineChars="200"/>
        <w:rPr>
          <w:rFonts w:hint="eastAsia" w:ascii="宋体" w:hAnsi="宋体" w:cs="宋体"/>
          <w:sz w:val="24"/>
        </w:rPr>
      </w:pPr>
      <w:r>
        <w:rPr>
          <w:rFonts w:hint="eastAsia" w:ascii="宋体" w:hAnsi="宋体" w:cs="宋体"/>
          <w:sz w:val="24"/>
        </w:rPr>
        <w:t>9.2.2全屏为全彩屏，色彩与刷新：支持16.7M全彩显示，灰度等级不低于256级，对比度≥6000:1。</w:t>
      </w:r>
    </w:p>
    <w:p w14:paraId="42127385">
      <w:pPr>
        <w:spacing w:line="360" w:lineRule="auto"/>
        <w:ind w:firstLine="480" w:firstLineChars="200"/>
        <w:rPr>
          <w:rFonts w:hint="eastAsia" w:ascii="宋体" w:hAnsi="宋体" w:cs="宋体"/>
          <w:sz w:val="24"/>
        </w:rPr>
      </w:pPr>
      <w:r>
        <w:rPr>
          <w:rFonts w:hint="eastAsia" w:ascii="宋体" w:hAnsi="宋体" w:cs="宋体"/>
          <w:sz w:val="24"/>
        </w:rPr>
        <w:t>9.2.3电气与环境适应性：功耗与电压，峰值功耗≤800W/㎡，平均功耗≤240W。</w:t>
      </w:r>
    </w:p>
    <w:p w14:paraId="565C1350">
      <w:pPr>
        <w:spacing w:line="360" w:lineRule="auto"/>
        <w:ind w:firstLine="480" w:firstLineChars="200"/>
        <w:rPr>
          <w:rFonts w:hint="eastAsia" w:ascii="宋体" w:hAnsi="宋体" w:cs="宋体"/>
          <w:sz w:val="24"/>
        </w:rPr>
      </w:pPr>
      <w:r>
        <w:rPr>
          <w:rFonts w:hint="eastAsia" w:ascii="宋体" w:hAnsi="宋体" w:cs="宋体"/>
          <w:sz w:val="24"/>
        </w:rPr>
        <w:t>9.2.4防护等级：防水防尘不低于IP65，工作温度范围-20℃至+60℃。</w:t>
      </w:r>
    </w:p>
    <w:p w14:paraId="38E11306">
      <w:pPr>
        <w:spacing w:line="360" w:lineRule="auto"/>
        <w:ind w:firstLine="480" w:firstLineChars="200"/>
        <w:rPr>
          <w:rFonts w:hint="eastAsia" w:ascii="宋体" w:hAnsi="宋体" w:cs="宋体"/>
          <w:sz w:val="24"/>
        </w:rPr>
      </w:pPr>
      <w:r>
        <w:rPr>
          <w:rFonts w:hint="eastAsia" w:ascii="宋体" w:hAnsi="宋体" w:cs="宋体"/>
          <w:sz w:val="24"/>
        </w:rPr>
        <w:t>10.外接电源</w:t>
      </w:r>
    </w:p>
    <w:p w14:paraId="73BD3239">
      <w:pPr>
        <w:spacing w:line="360" w:lineRule="auto"/>
        <w:ind w:firstLine="480" w:firstLineChars="200"/>
        <w:rPr>
          <w:rFonts w:hint="eastAsia" w:ascii="宋体" w:hAnsi="宋体" w:cs="宋体"/>
          <w:sz w:val="24"/>
        </w:rPr>
      </w:pPr>
      <w:r>
        <w:rPr>
          <w:rFonts w:hint="eastAsia" w:ascii="宋体" w:hAnsi="宋体" w:cs="宋体"/>
          <w:sz w:val="24"/>
        </w:rPr>
        <w:t>10.1设置16A电源插座，用于户外照明及音响等设备用电，电源盒嵌入舱体，外开盖板门有安全锁。</w:t>
      </w:r>
    </w:p>
    <w:p w14:paraId="58E116B5">
      <w:pPr>
        <w:spacing w:line="360" w:lineRule="auto"/>
        <w:ind w:firstLine="482" w:firstLineChars="200"/>
        <w:contextualSpacing/>
        <w:jc w:val="left"/>
        <w:rPr>
          <w:rFonts w:hint="eastAsia" w:asciiTheme="minorEastAsia" w:hAnsiTheme="minorEastAsia" w:eastAsiaTheme="minorEastAsia"/>
          <w:b/>
          <w:sz w:val="24"/>
        </w:rPr>
      </w:pPr>
      <w:r>
        <w:rPr>
          <w:rFonts w:hint="eastAsia" w:asciiTheme="minorEastAsia" w:hAnsiTheme="minorEastAsia" w:eastAsiaTheme="minorEastAsia"/>
          <w:b/>
          <w:sz w:val="24"/>
          <w:lang w:val="en-US" w:eastAsia="zh-CN"/>
        </w:rPr>
        <w:t>六</w:t>
      </w:r>
      <w:r>
        <w:rPr>
          <w:rFonts w:hint="eastAsia" w:asciiTheme="minorEastAsia" w:hAnsiTheme="minorEastAsia" w:eastAsiaTheme="minorEastAsia"/>
          <w:b/>
          <w:sz w:val="24"/>
        </w:rPr>
        <w:t>）基本配置清单</w:t>
      </w:r>
    </w:p>
    <w:tbl>
      <w:tblPr>
        <w:tblStyle w:val="7"/>
        <w:tblW w:w="486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7"/>
        <w:gridCol w:w="3996"/>
        <w:gridCol w:w="1970"/>
        <w:gridCol w:w="1276"/>
      </w:tblGrid>
      <w:tr w14:paraId="07AFD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Align w:val="center"/>
          </w:tcPr>
          <w:p w14:paraId="3CE497F6">
            <w:pPr>
              <w:jc w:val="center"/>
              <w:rPr>
                <w:rFonts w:hint="eastAsia" w:ascii="宋体" w:hAnsi="宋体"/>
                <w:b/>
                <w:bCs/>
                <w:sz w:val="24"/>
                <w:szCs w:val="32"/>
              </w:rPr>
            </w:pPr>
            <w:r>
              <w:rPr>
                <w:rFonts w:hint="eastAsia" w:ascii="宋体" w:hAnsi="宋体"/>
                <w:b/>
                <w:bCs/>
                <w:sz w:val="24"/>
                <w:szCs w:val="32"/>
              </w:rPr>
              <w:t>序号</w:t>
            </w:r>
          </w:p>
        </w:tc>
        <w:tc>
          <w:tcPr>
            <w:tcW w:w="2407" w:type="pct"/>
            <w:vAlign w:val="center"/>
          </w:tcPr>
          <w:p w14:paraId="37CDB120">
            <w:pPr>
              <w:jc w:val="center"/>
              <w:rPr>
                <w:rFonts w:hint="eastAsia" w:ascii="宋体" w:hAnsi="宋体"/>
                <w:b/>
                <w:bCs/>
                <w:sz w:val="24"/>
                <w:szCs w:val="32"/>
              </w:rPr>
            </w:pPr>
            <w:r>
              <w:rPr>
                <w:rFonts w:hint="eastAsia" w:ascii="宋体" w:hAnsi="宋体"/>
                <w:b/>
                <w:bCs/>
                <w:sz w:val="24"/>
                <w:szCs w:val="32"/>
              </w:rPr>
              <w:t>标的名称</w:t>
            </w:r>
          </w:p>
        </w:tc>
        <w:tc>
          <w:tcPr>
            <w:tcW w:w="1187" w:type="pct"/>
            <w:vAlign w:val="center"/>
          </w:tcPr>
          <w:p w14:paraId="79F8BD96">
            <w:pPr>
              <w:jc w:val="center"/>
              <w:rPr>
                <w:rFonts w:hint="eastAsia" w:ascii="宋体" w:hAnsi="宋体"/>
                <w:b/>
                <w:bCs/>
                <w:sz w:val="24"/>
                <w:szCs w:val="32"/>
              </w:rPr>
            </w:pPr>
            <w:r>
              <w:rPr>
                <w:rFonts w:hint="eastAsia" w:ascii="宋体" w:hAnsi="宋体"/>
                <w:b/>
                <w:bCs/>
                <w:sz w:val="24"/>
                <w:szCs w:val="32"/>
              </w:rPr>
              <w:t>数量</w:t>
            </w:r>
          </w:p>
        </w:tc>
        <w:tc>
          <w:tcPr>
            <w:tcW w:w="768" w:type="pct"/>
            <w:vAlign w:val="center"/>
          </w:tcPr>
          <w:p w14:paraId="038D560B">
            <w:pPr>
              <w:jc w:val="center"/>
              <w:rPr>
                <w:rFonts w:hint="eastAsia" w:ascii="宋体" w:hAnsi="宋体"/>
                <w:b/>
                <w:bCs/>
                <w:sz w:val="24"/>
                <w:szCs w:val="32"/>
              </w:rPr>
            </w:pPr>
            <w:r>
              <w:rPr>
                <w:rFonts w:hint="eastAsia" w:ascii="宋体" w:hAnsi="宋体"/>
                <w:b/>
                <w:bCs/>
                <w:sz w:val="24"/>
                <w:szCs w:val="32"/>
              </w:rPr>
              <w:t>备注</w:t>
            </w:r>
          </w:p>
        </w:tc>
      </w:tr>
      <w:tr w14:paraId="25B8F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Align w:val="center"/>
          </w:tcPr>
          <w:p w14:paraId="2AD7B75E">
            <w:pPr>
              <w:widowControl/>
              <w:jc w:val="center"/>
              <w:textAlignment w:val="center"/>
              <w:rPr>
                <w:rFonts w:hint="eastAsia" w:ascii="宋体" w:hAnsi="宋体" w:cs="宋体"/>
                <w:sz w:val="24"/>
              </w:rPr>
            </w:pPr>
            <w:r>
              <w:rPr>
                <w:rFonts w:hint="eastAsia" w:ascii="宋体" w:hAnsi="宋体" w:cs="宋体"/>
                <w:sz w:val="24"/>
              </w:rPr>
              <w:t>1</w:t>
            </w:r>
          </w:p>
        </w:tc>
        <w:tc>
          <w:tcPr>
            <w:tcW w:w="2407" w:type="pct"/>
            <w:vAlign w:val="center"/>
          </w:tcPr>
          <w:p w14:paraId="17A6A565">
            <w:pPr>
              <w:widowControl/>
              <w:jc w:val="center"/>
              <w:textAlignment w:val="center"/>
              <w:rPr>
                <w:rFonts w:hint="eastAsia" w:ascii="宋体" w:hAnsi="宋体"/>
                <w:sz w:val="24"/>
              </w:rPr>
            </w:pPr>
            <w:r>
              <w:rPr>
                <w:rFonts w:hint="eastAsia" w:ascii="宋体" w:hAnsi="宋体" w:cs="宋体"/>
                <w:bCs/>
                <w:sz w:val="24"/>
              </w:rPr>
              <w:t>方舱</w:t>
            </w:r>
            <w:r>
              <w:rPr>
                <w:rFonts w:hint="eastAsia" w:asciiTheme="minorEastAsia" w:hAnsiTheme="minorEastAsia" w:eastAsiaTheme="minorEastAsia"/>
                <w:bCs/>
                <w:sz w:val="24"/>
              </w:rPr>
              <w:t>本体</w:t>
            </w:r>
          </w:p>
        </w:tc>
        <w:tc>
          <w:tcPr>
            <w:tcW w:w="1187" w:type="pct"/>
            <w:vAlign w:val="center"/>
          </w:tcPr>
          <w:p w14:paraId="39F942F2">
            <w:pPr>
              <w:widowControl/>
              <w:jc w:val="center"/>
              <w:textAlignment w:val="center"/>
              <w:rPr>
                <w:rFonts w:hint="eastAsia" w:ascii="宋体" w:hAnsi="宋体" w:cs="等线"/>
                <w:color w:val="000000"/>
                <w:kern w:val="0"/>
                <w:sz w:val="24"/>
                <w:lang w:bidi="ar"/>
              </w:rPr>
            </w:pPr>
            <w:r>
              <w:rPr>
                <w:rFonts w:hint="eastAsia" w:ascii="宋体" w:hAnsi="宋体" w:cs="等线"/>
                <w:color w:val="000000"/>
                <w:kern w:val="0"/>
                <w:sz w:val="24"/>
                <w:lang w:bidi="ar"/>
              </w:rPr>
              <w:t>1套</w:t>
            </w:r>
          </w:p>
        </w:tc>
        <w:tc>
          <w:tcPr>
            <w:tcW w:w="768" w:type="pct"/>
            <w:vAlign w:val="center"/>
          </w:tcPr>
          <w:p w14:paraId="160C4185">
            <w:pPr>
              <w:widowControl/>
              <w:jc w:val="center"/>
              <w:textAlignment w:val="center"/>
              <w:rPr>
                <w:rFonts w:hint="eastAsia" w:ascii="宋体" w:hAnsi="宋体" w:cs="宋体"/>
                <w:color w:val="000000"/>
                <w:sz w:val="24"/>
              </w:rPr>
            </w:pPr>
          </w:p>
        </w:tc>
      </w:tr>
      <w:tr w14:paraId="2FCF5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Align w:val="center"/>
          </w:tcPr>
          <w:p w14:paraId="46EF9857">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2</w:t>
            </w:r>
          </w:p>
        </w:tc>
        <w:tc>
          <w:tcPr>
            <w:tcW w:w="4363" w:type="pct"/>
            <w:gridSpan w:val="3"/>
            <w:vAlign w:val="center"/>
          </w:tcPr>
          <w:p w14:paraId="4AB5C67C">
            <w:pPr>
              <w:widowControl/>
              <w:jc w:val="center"/>
              <w:textAlignment w:val="center"/>
              <w:rPr>
                <w:rFonts w:hint="eastAsia" w:ascii="宋体" w:hAnsi="宋体" w:cs="宋体"/>
                <w:color w:val="000000"/>
                <w:sz w:val="24"/>
              </w:rPr>
            </w:pPr>
            <w:r>
              <w:rPr>
                <w:rFonts w:hint="eastAsia" w:asciiTheme="minorEastAsia" w:hAnsiTheme="minorEastAsia" w:eastAsiaTheme="minorEastAsia"/>
                <w:bCs/>
                <w:sz w:val="24"/>
              </w:rPr>
              <w:t>舱体表面装置</w:t>
            </w:r>
          </w:p>
        </w:tc>
      </w:tr>
      <w:tr w14:paraId="39252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Align w:val="center"/>
          </w:tcPr>
          <w:p w14:paraId="2E6DFC59">
            <w:pPr>
              <w:widowControl/>
              <w:jc w:val="center"/>
              <w:textAlignment w:val="center"/>
              <w:rPr>
                <w:rFonts w:hint="eastAsia" w:ascii="宋体" w:hAnsi="宋体" w:cs="宋体"/>
                <w:sz w:val="24"/>
              </w:rPr>
            </w:pPr>
            <w:r>
              <w:rPr>
                <w:rFonts w:hint="eastAsia" w:ascii="宋体" w:hAnsi="宋体" w:cs="宋体"/>
                <w:sz w:val="24"/>
              </w:rPr>
              <w:t>2.1</w:t>
            </w:r>
          </w:p>
        </w:tc>
        <w:tc>
          <w:tcPr>
            <w:tcW w:w="2407" w:type="pct"/>
            <w:vAlign w:val="center"/>
          </w:tcPr>
          <w:p w14:paraId="097E7E69">
            <w:pPr>
              <w:widowControl/>
              <w:jc w:val="center"/>
              <w:textAlignment w:val="center"/>
              <w:rPr>
                <w:rFonts w:hint="eastAsia" w:ascii="宋体" w:hAnsi="宋体" w:cs="宋体"/>
                <w:bCs/>
                <w:sz w:val="24"/>
              </w:rPr>
            </w:pPr>
            <w:r>
              <w:rPr>
                <w:rFonts w:hint="eastAsia" w:ascii="宋体" w:hAnsi="宋体" w:cs="宋体"/>
                <w:bCs/>
                <w:sz w:val="24"/>
              </w:rPr>
              <w:t>照明灯</w:t>
            </w:r>
          </w:p>
        </w:tc>
        <w:tc>
          <w:tcPr>
            <w:tcW w:w="1187" w:type="pct"/>
            <w:vAlign w:val="center"/>
          </w:tcPr>
          <w:p w14:paraId="4AA85518">
            <w:pPr>
              <w:widowControl/>
              <w:jc w:val="center"/>
              <w:textAlignment w:val="center"/>
              <w:rPr>
                <w:rFonts w:hint="eastAsia" w:ascii="宋体" w:hAnsi="宋体" w:cs="等线"/>
                <w:color w:val="000000"/>
                <w:kern w:val="0"/>
                <w:sz w:val="24"/>
                <w:lang w:bidi="ar"/>
              </w:rPr>
            </w:pPr>
            <w:r>
              <w:rPr>
                <w:rFonts w:hint="eastAsia" w:ascii="宋体" w:hAnsi="宋体" w:cs="等线"/>
                <w:color w:val="000000"/>
                <w:kern w:val="0"/>
                <w:sz w:val="24"/>
                <w:lang w:bidi="ar"/>
              </w:rPr>
              <w:t>≥30个</w:t>
            </w:r>
          </w:p>
        </w:tc>
        <w:tc>
          <w:tcPr>
            <w:tcW w:w="768" w:type="pct"/>
            <w:vAlign w:val="center"/>
          </w:tcPr>
          <w:p w14:paraId="21300B2F">
            <w:pPr>
              <w:widowControl/>
              <w:jc w:val="center"/>
              <w:textAlignment w:val="center"/>
              <w:rPr>
                <w:rFonts w:hint="eastAsia" w:ascii="宋体" w:hAnsi="宋体" w:cs="宋体"/>
                <w:color w:val="000000"/>
                <w:sz w:val="24"/>
              </w:rPr>
            </w:pPr>
          </w:p>
        </w:tc>
      </w:tr>
      <w:tr w14:paraId="4AA3E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Align w:val="center"/>
          </w:tcPr>
          <w:p w14:paraId="348C0C08">
            <w:pPr>
              <w:widowControl/>
              <w:jc w:val="center"/>
              <w:textAlignment w:val="center"/>
              <w:rPr>
                <w:rFonts w:hint="eastAsia" w:ascii="宋体" w:hAnsi="宋体" w:cs="宋体"/>
                <w:sz w:val="24"/>
              </w:rPr>
            </w:pPr>
            <w:r>
              <w:rPr>
                <w:rFonts w:hint="eastAsia" w:ascii="宋体" w:hAnsi="宋体" w:cs="宋体"/>
                <w:sz w:val="24"/>
              </w:rPr>
              <w:t>2.2</w:t>
            </w:r>
          </w:p>
        </w:tc>
        <w:tc>
          <w:tcPr>
            <w:tcW w:w="2407" w:type="pct"/>
            <w:vAlign w:val="center"/>
          </w:tcPr>
          <w:p w14:paraId="6BB259C4">
            <w:pPr>
              <w:widowControl/>
              <w:jc w:val="center"/>
              <w:textAlignment w:val="center"/>
              <w:rPr>
                <w:rFonts w:hint="eastAsia" w:ascii="宋体" w:hAnsi="宋体" w:cs="宋体"/>
                <w:bCs/>
                <w:sz w:val="24"/>
              </w:rPr>
            </w:pPr>
            <w:r>
              <w:rPr>
                <w:rFonts w:hint="eastAsia" w:ascii="宋体" w:hAnsi="宋体" w:cs="宋体"/>
                <w:bCs/>
                <w:sz w:val="24"/>
              </w:rPr>
              <w:t>自助登记系统</w:t>
            </w:r>
          </w:p>
        </w:tc>
        <w:tc>
          <w:tcPr>
            <w:tcW w:w="1187" w:type="pct"/>
            <w:vAlign w:val="center"/>
          </w:tcPr>
          <w:p w14:paraId="4E64C7EF">
            <w:pPr>
              <w:widowControl/>
              <w:jc w:val="center"/>
              <w:textAlignment w:val="center"/>
              <w:rPr>
                <w:rFonts w:hint="eastAsia" w:ascii="宋体" w:hAnsi="宋体" w:cs="等线"/>
                <w:color w:val="000000"/>
                <w:kern w:val="0"/>
                <w:sz w:val="24"/>
                <w:lang w:bidi="ar"/>
              </w:rPr>
            </w:pPr>
            <w:r>
              <w:rPr>
                <w:rFonts w:hint="eastAsia" w:ascii="宋体" w:hAnsi="宋体" w:cs="等线"/>
                <w:color w:val="000000"/>
                <w:kern w:val="0"/>
                <w:sz w:val="24"/>
                <w:lang w:bidi="ar"/>
              </w:rPr>
              <w:t>1套</w:t>
            </w:r>
          </w:p>
        </w:tc>
        <w:tc>
          <w:tcPr>
            <w:tcW w:w="768" w:type="pct"/>
            <w:vAlign w:val="center"/>
          </w:tcPr>
          <w:p w14:paraId="2FA0D3CA">
            <w:pPr>
              <w:widowControl/>
              <w:jc w:val="center"/>
              <w:textAlignment w:val="center"/>
              <w:rPr>
                <w:rFonts w:hint="eastAsia" w:ascii="宋体" w:hAnsi="宋体" w:cs="宋体"/>
                <w:color w:val="000000"/>
                <w:sz w:val="24"/>
              </w:rPr>
            </w:pPr>
          </w:p>
        </w:tc>
      </w:tr>
      <w:tr w14:paraId="389DC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Align w:val="center"/>
          </w:tcPr>
          <w:p w14:paraId="3831A56F">
            <w:pPr>
              <w:widowControl/>
              <w:jc w:val="center"/>
              <w:textAlignment w:val="center"/>
              <w:rPr>
                <w:rFonts w:hint="eastAsia" w:ascii="宋体" w:hAnsi="宋体" w:cs="宋体"/>
                <w:sz w:val="24"/>
              </w:rPr>
            </w:pPr>
            <w:r>
              <w:rPr>
                <w:rFonts w:hint="eastAsia" w:ascii="宋体" w:hAnsi="宋体" w:cs="宋体"/>
                <w:sz w:val="24"/>
              </w:rPr>
              <w:t>2.3</w:t>
            </w:r>
          </w:p>
        </w:tc>
        <w:tc>
          <w:tcPr>
            <w:tcW w:w="3594" w:type="pct"/>
            <w:gridSpan w:val="2"/>
            <w:vAlign w:val="center"/>
          </w:tcPr>
          <w:p w14:paraId="68BE3507">
            <w:pPr>
              <w:widowControl/>
              <w:jc w:val="center"/>
              <w:textAlignment w:val="center"/>
              <w:rPr>
                <w:rFonts w:hint="eastAsia" w:ascii="宋体" w:hAnsi="宋体" w:cs="等线"/>
                <w:color w:val="000000"/>
                <w:kern w:val="0"/>
                <w:sz w:val="24"/>
                <w:lang w:bidi="ar"/>
              </w:rPr>
            </w:pPr>
            <w:r>
              <w:rPr>
                <w:rFonts w:hint="eastAsia" w:asciiTheme="minorEastAsia" w:hAnsiTheme="minorEastAsia" w:eastAsiaTheme="minorEastAsia"/>
                <w:bCs/>
                <w:sz w:val="24"/>
              </w:rPr>
              <w:t>窗户</w:t>
            </w:r>
          </w:p>
        </w:tc>
        <w:tc>
          <w:tcPr>
            <w:tcW w:w="768" w:type="pct"/>
            <w:vAlign w:val="center"/>
          </w:tcPr>
          <w:p w14:paraId="163BB522">
            <w:pPr>
              <w:widowControl/>
              <w:jc w:val="center"/>
              <w:textAlignment w:val="center"/>
              <w:rPr>
                <w:rFonts w:hint="eastAsia" w:ascii="宋体" w:hAnsi="宋体" w:cs="宋体"/>
                <w:color w:val="000000"/>
                <w:sz w:val="24"/>
              </w:rPr>
            </w:pPr>
          </w:p>
        </w:tc>
      </w:tr>
      <w:tr w14:paraId="2C4FB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Align w:val="center"/>
          </w:tcPr>
          <w:p w14:paraId="49DDE0CD">
            <w:pPr>
              <w:widowControl/>
              <w:jc w:val="center"/>
              <w:textAlignment w:val="center"/>
              <w:rPr>
                <w:rFonts w:hint="eastAsia" w:ascii="宋体" w:hAnsi="宋体" w:cs="宋体"/>
                <w:sz w:val="24"/>
              </w:rPr>
            </w:pPr>
            <w:r>
              <w:rPr>
                <w:rFonts w:hint="eastAsia" w:ascii="宋体" w:hAnsi="宋体" w:cs="宋体"/>
                <w:sz w:val="24"/>
              </w:rPr>
              <w:t>2.3.1</w:t>
            </w:r>
          </w:p>
        </w:tc>
        <w:tc>
          <w:tcPr>
            <w:tcW w:w="2407" w:type="pct"/>
            <w:vAlign w:val="center"/>
          </w:tcPr>
          <w:p w14:paraId="1FCDA95E">
            <w:pPr>
              <w:widowControl/>
              <w:jc w:val="center"/>
              <w:textAlignment w:val="center"/>
              <w:rPr>
                <w:rFonts w:hint="eastAsia" w:ascii="宋体" w:hAnsi="宋体" w:cs="宋体"/>
                <w:bCs/>
                <w:sz w:val="24"/>
              </w:rPr>
            </w:pPr>
            <w:r>
              <w:rPr>
                <w:rFonts w:hint="eastAsia" w:ascii="宋体" w:hAnsi="宋体" w:cs="宋体"/>
                <w:sz w:val="24"/>
              </w:rPr>
              <w:t>八边形</w:t>
            </w:r>
            <w:r>
              <w:rPr>
                <w:rFonts w:hint="eastAsia" w:ascii="宋体" w:hAnsi="宋体" w:cs="宋体"/>
                <w:bCs/>
                <w:sz w:val="24"/>
              </w:rPr>
              <w:t>造型窗户</w:t>
            </w:r>
          </w:p>
        </w:tc>
        <w:tc>
          <w:tcPr>
            <w:tcW w:w="1187" w:type="pct"/>
            <w:vAlign w:val="center"/>
          </w:tcPr>
          <w:p w14:paraId="047C846E">
            <w:pPr>
              <w:widowControl/>
              <w:jc w:val="center"/>
              <w:textAlignment w:val="center"/>
              <w:rPr>
                <w:rFonts w:hint="eastAsia" w:ascii="宋体" w:hAnsi="宋体" w:cs="等线"/>
                <w:color w:val="000000"/>
                <w:kern w:val="0"/>
                <w:sz w:val="24"/>
                <w:lang w:bidi="ar"/>
              </w:rPr>
            </w:pPr>
            <w:r>
              <w:rPr>
                <w:rFonts w:hint="eastAsia" w:asciiTheme="minorEastAsia" w:hAnsiTheme="minorEastAsia" w:eastAsiaTheme="minorEastAsia"/>
                <w:bCs/>
                <w:sz w:val="24"/>
              </w:rPr>
              <w:t>4扇</w:t>
            </w:r>
          </w:p>
        </w:tc>
        <w:tc>
          <w:tcPr>
            <w:tcW w:w="768" w:type="pct"/>
            <w:vAlign w:val="center"/>
          </w:tcPr>
          <w:p w14:paraId="33B723C8">
            <w:pPr>
              <w:widowControl/>
              <w:jc w:val="center"/>
              <w:textAlignment w:val="center"/>
              <w:rPr>
                <w:rFonts w:hint="eastAsia" w:ascii="宋体" w:hAnsi="宋体" w:cs="宋体"/>
                <w:color w:val="000000"/>
                <w:sz w:val="24"/>
              </w:rPr>
            </w:pPr>
          </w:p>
        </w:tc>
      </w:tr>
      <w:tr w14:paraId="3217B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Align w:val="center"/>
          </w:tcPr>
          <w:p w14:paraId="66EDAE7D">
            <w:pPr>
              <w:widowControl/>
              <w:jc w:val="center"/>
              <w:textAlignment w:val="center"/>
              <w:rPr>
                <w:rFonts w:hint="eastAsia" w:ascii="宋体" w:hAnsi="宋体" w:cs="宋体"/>
                <w:sz w:val="24"/>
              </w:rPr>
            </w:pPr>
            <w:r>
              <w:rPr>
                <w:rFonts w:hint="eastAsia" w:ascii="宋体" w:hAnsi="宋体" w:cs="宋体"/>
                <w:sz w:val="24"/>
              </w:rPr>
              <w:t>2.3.2</w:t>
            </w:r>
          </w:p>
        </w:tc>
        <w:tc>
          <w:tcPr>
            <w:tcW w:w="2407" w:type="pct"/>
            <w:vAlign w:val="center"/>
          </w:tcPr>
          <w:p w14:paraId="59624639">
            <w:pPr>
              <w:widowControl/>
              <w:jc w:val="center"/>
              <w:textAlignment w:val="center"/>
              <w:rPr>
                <w:rFonts w:hint="eastAsia" w:ascii="宋体" w:hAnsi="宋体" w:cs="宋体"/>
                <w:bCs/>
                <w:sz w:val="24"/>
              </w:rPr>
            </w:pPr>
            <w:r>
              <w:rPr>
                <w:rFonts w:hint="eastAsia" w:ascii="宋体" w:hAnsi="宋体" w:cs="宋体"/>
                <w:sz w:val="24"/>
              </w:rPr>
              <w:t>矩形</w:t>
            </w:r>
            <w:r>
              <w:rPr>
                <w:rFonts w:hint="eastAsia" w:ascii="宋体" w:hAnsi="宋体" w:cs="宋体"/>
                <w:bCs/>
                <w:sz w:val="24"/>
              </w:rPr>
              <w:t>窗户</w:t>
            </w:r>
          </w:p>
        </w:tc>
        <w:tc>
          <w:tcPr>
            <w:tcW w:w="1187" w:type="pct"/>
            <w:vAlign w:val="center"/>
          </w:tcPr>
          <w:p w14:paraId="654A164D">
            <w:pPr>
              <w:widowControl/>
              <w:jc w:val="center"/>
              <w:textAlignment w:val="center"/>
              <w:rPr>
                <w:rFonts w:hint="eastAsia" w:ascii="宋体" w:hAnsi="宋体" w:cs="等线"/>
                <w:color w:val="000000"/>
                <w:kern w:val="0"/>
                <w:sz w:val="24"/>
                <w:lang w:bidi="ar"/>
              </w:rPr>
            </w:pPr>
            <w:r>
              <w:rPr>
                <w:rFonts w:hint="eastAsia" w:asciiTheme="minorEastAsia" w:hAnsiTheme="minorEastAsia" w:eastAsiaTheme="minorEastAsia"/>
                <w:bCs/>
                <w:sz w:val="24"/>
              </w:rPr>
              <w:t>2扇</w:t>
            </w:r>
          </w:p>
        </w:tc>
        <w:tc>
          <w:tcPr>
            <w:tcW w:w="768" w:type="pct"/>
            <w:vAlign w:val="center"/>
          </w:tcPr>
          <w:p w14:paraId="5AA594AA">
            <w:pPr>
              <w:widowControl/>
              <w:jc w:val="center"/>
              <w:textAlignment w:val="center"/>
              <w:rPr>
                <w:rFonts w:hint="eastAsia" w:ascii="宋体" w:hAnsi="宋体" w:cs="宋体"/>
                <w:color w:val="000000"/>
                <w:sz w:val="24"/>
              </w:rPr>
            </w:pPr>
          </w:p>
        </w:tc>
      </w:tr>
      <w:tr w14:paraId="6D3DD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Align w:val="center"/>
          </w:tcPr>
          <w:p w14:paraId="6FC99E6D">
            <w:pPr>
              <w:widowControl/>
              <w:jc w:val="center"/>
              <w:textAlignment w:val="center"/>
              <w:rPr>
                <w:rFonts w:hint="eastAsia" w:ascii="宋体" w:hAnsi="宋体" w:cs="宋体"/>
                <w:sz w:val="24"/>
              </w:rPr>
            </w:pPr>
            <w:r>
              <w:rPr>
                <w:rFonts w:hint="eastAsia" w:ascii="宋体" w:hAnsi="宋体" w:cs="宋体"/>
                <w:sz w:val="24"/>
              </w:rPr>
              <w:t>2.4</w:t>
            </w:r>
          </w:p>
        </w:tc>
        <w:tc>
          <w:tcPr>
            <w:tcW w:w="2407" w:type="pct"/>
            <w:vAlign w:val="center"/>
          </w:tcPr>
          <w:p w14:paraId="6204AC69">
            <w:pPr>
              <w:widowControl/>
              <w:jc w:val="center"/>
              <w:textAlignment w:val="center"/>
              <w:rPr>
                <w:rFonts w:hint="eastAsia" w:ascii="宋体" w:hAnsi="宋体" w:cs="宋体"/>
                <w:bCs/>
                <w:sz w:val="24"/>
              </w:rPr>
            </w:pPr>
            <w:r>
              <w:rPr>
                <w:rFonts w:hint="eastAsia" w:ascii="宋体" w:hAnsi="宋体" w:cs="宋体"/>
                <w:bCs/>
                <w:sz w:val="24"/>
              </w:rPr>
              <w:t>电动舱门</w:t>
            </w:r>
          </w:p>
        </w:tc>
        <w:tc>
          <w:tcPr>
            <w:tcW w:w="1187" w:type="pct"/>
            <w:vAlign w:val="center"/>
          </w:tcPr>
          <w:p w14:paraId="4CF0FEFB">
            <w:pPr>
              <w:widowControl/>
              <w:jc w:val="center"/>
              <w:textAlignment w:val="center"/>
              <w:rPr>
                <w:rFonts w:hint="eastAsia" w:ascii="宋体" w:hAnsi="宋体" w:cs="等线"/>
                <w:color w:val="000000"/>
                <w:kern w:val="0"/>
                <w:sz w:val="24"/>
                <w:lang w:bidi="ar"/>
              </w:rPr>
            </w:pPr>
            <w:r>
              <w:rPr>
                <w:rFonts w:hint="eastAsia" w:asciiTheme="minorEastAsia" w:hAnsiTheme="minorEastAsia" w:eastAsiaTheme="minorEastAsia"/>
                <w:bCs/>
                <w:sz w:val="24"/>
              </w:rPr>
              <w:t>2樘</w:t>
            </w:r>
          </w:p>
        </w:tc>
        <w:tc>
          <w:tcPr>
            <w:tcW w:w="768" w:type="pct"/>
            <w:vAlign w:val="center"/>
          </w:tcPr>
          <w:p w14:paraId="449B2850">
            <w:pPr>
              <w:widowControl/>
              <w:jc w:val="center"/>
              <w:textAlignment w:val="center"/>
              <w:rPr>
                <w:rFonts w:hint="eastAsia" w:ascii="宋体" w:hAnsi="宋体" w:cs="宋体"/>
                <w:color w:val="000000"/>
                <w:sz w:val="24"/>
              </w:rPr>
            </w:pPr>
          </w:p>
        </w:tc>
      </w:tr>
      <w:tr w14:paraId="00B73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Align w:val="center"/>
          </w:tcPr>
          <w:p w14:paraId="59D3F723">
            <w:pPr>
              <w:widowControl/>
              <w:jc w:val="center"/>
              <w:textAlignment w:val="center"/>
              <w:rPr>
                <w:rFonts w:hint="eastAsia" w:ascii="宋体" w:hAnsi="宋体" w:cs="宋体"/>
                <w:sz w:val="24"/>
              </w:rPr>
            </w:pPr>
            <w:r>
              <w:rPr>
                <w:rFonts w:hint="eastAsia" w:ascii="宋体" w:hAnsi="宋体" w:cs="宋体"/>
                <w:sz w:val="24"/>
              </w:rPr>
              <w:t>2.5</w:t>
            </w:r>
          </w:p>
        </w:tc>
        <w:tc>
          <w:tcPr>
            <w:tcW w:w="2407" w:type="pct"/>
            <w:vAlign w:val="center"/>
          </w:tcPr>
          <w:p w14:paraId="47AA68F3">
            <w:pPr>
              <w:widowControl/>
              <w:jc w:val="center"/>
              <w:textAlignment w:val="center"/>
              <w:rPr>
                <w:rFonts w:hint="eastAsia" w:ascii="宋体" w:hAnsi="宋体" w:cs="宋体"/>
                <w:bCs/>
                <w:sz w:val="24"/>
              </w:rPr>
            </w:pPr>
            <w:r>
              <w:rPr>
                <w:rFonts w:hint="eastAsia" w:ascii="宋体" w:hAnsi="宋体" w:cs="宋体"/>
                <w:bCs/>
                <w:sz w:val="24"/>
              </w:rPr>
              <w:t>遮阳帘</w:t>
            </w:r>
          </w:p>
        </w:tc>
        <w:tc>
          <w:tcPr>
            <w:tcW w:w="1187" w:type="pct"/>
            <w:vAlign w:val="center"/>
          </w:tcPr>
          <w:p w14:paraId="06D92E55">
            <w:pPr>
              <w:widowControl/>
              <w:jc w:val="center"/>
              <w:textAlignment w:val="center"/>
              <w:rPr>
                <w:rFonts w:hint="eastAsia" w:ascii="宋体" w:hAnsi="宋体" w:cs="等线"/>
                <w:color w:val="000000"/>
                <w:kern w:val="0"/>
                <w:sz w:val="24"/>
                <w:lang w:bidi="ar"/>
              </w:rPr>
            </w:pPr>
            <w:r>
              <w:rPr>
                <w:rFonts w:hint="eastAsia" w:asciiTheme="minorEastAsia" w:hAnsiTheme="minorEastAsia" w:eastAsiaTheme="minorEastAsia"/>
                <w:bCs/>
                <w:sz w:val="24"/>
              </w:rPr>
              <w:t>1套</w:t>
            </w:r>
          </w:p>
        </w:tc>
        <w:tc>
          <w:tcPr>
            <w:tcW w:w="768" w:type="pct"/>
            <w:vAlign w:val="center"/>
          </w:tcPr>
          <w:p w14:paraId="37AF936B">
            <w:pPr>
              <w:widowControl/>
              <w:jc w:val="center"/>
              <w:textAlignment w:val="center"/>
              <w:rPr>
                <w:rFonts w:hint="eastAsia" w:ascii="宋体" w:hAnsi="宋体" w:cs="宋体"/>
                <w:color w:val="000000"/>
                <w:sz w:val="24"/>
              </w:rPr>
            </w:pPr>
          </w:p>
        </w:tc>
      </w:tr>
      <w:tr w14:paraId="40E0E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Align w:val="center"/>
          </w:tcPr>
          <w:p w14:paraId="3BA3A049">
            <w:pPr>
              <w:widowControl/>
              <w:jc w:val="center"/>
              <w:textAlignment w:val="center"/>
              <w:rPr>
                <w:rFonts w:hint="eastAsia" w:ascii="宋体" w:hAnsi="宋体" w:cs="宋体"/>
                <w:sz w:val="24"/>
              </w:rPr>
            </w:pPr>
            <w:r>
              <w:rPr>
                <w:rFonts w:hint="eastAsia" w:ascii="宋体" w:hAnsi="宋体" w:cs="宋体"/>
                <w:sz w:val="24"/>
              </w:rPr>
              <w:t>3</w:t>
            </w:r>
          </w:p>
        </w:tc>
        <w:tc>
          <w:tcPr>
            <w:tcW w:w="4363" w:type="pct"/>
            <w:gridSpan w:val="3"/>
            <w:vAlign w:val="center"/>
          </w:tcPr>
          <w:p w14:paraId="69C07C1E">
            <w:pPr>
              <w:widowControl/>
              <w:jc w:val="center"/>
              <w:textAlignment w:val="center"/>
              <w:rPr>
                <w:rFonts w:hint="eastAsia" w:ascii="宋体" w:hAnsi="宋体" w:cs="宋体"/>
                <w:color w:val="000000"/>
                <w:sz w:val="24"/>
              </w:rPr>
            </w:pPr>
            <w:r>
              <w:rPr>
                <w:rFonts w:hint="eastAsia" w:ascii="宋体" w:hAnsi="宋体" w:cs="宋体"/>
                <w:bCs/>
                <w:sz w:val="24"/>
              </w:rPr>
              <w:t>方舱内装</w:t>
            </w:r>
          </w:p>
        </w:tc>
      </w:tr>
      <w:tr w14:paraId="57D47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Align w:val="center"/>
          </w:tcPr>
          <w:p w14:paraId="131E8E9B">
            <w:pPr>
              <w:widowControl/>
              <w:jc w:val="center"/>
              <w:textAlignment w:val="center"/>
              <w:rPr>
                <w:rFonts w:hint="eastAsia" w:ascii="宋体" w:hAnsi="宋体" w:cs="宋体"/>
                <w:sz w:val="24"/>
              </w:rPr>
            </w:pPr>
            <w:r>
              <w:rPr>
                <w:rFonts w:hint="eastAsia" w:ascii="宋体" w:hAnsi="宋体" w:cs="宋体"/>
                <w:sz w:val="24"/>
              </w:rPr>
              <w:t>3.1</w:t>
            </w:r>
          </w:p>
        </w:tc>
        <w:tc>
          <w:tcPr>
            <w:tcW w:w="2407" w:type="pct"/>
            <w:vAlign w:val="center"/>
          </w:tcPr>
          <w:p w14:paraId="67060B98">
            <w:pPr>
              <w:widowControl/>
              <w:jc w:val="center"/>
              <w:textAlignment w:val="center"/>
              <w:rPr>
                <w:rFonts w:hint="eastAsia" w:ascii="宋体" w:hAnsi="宋体" w:cs="宋体"/>
                <w:bCs/>
                <w:sz w:val="24"/>
              </w:rPr>
            </w:pPr>
            <w:r>
              <w:rPr>
                <w:rFonts w:ascii="宋体" w:hAnsi="宋体" w:cs="宋体"/>
                <w:bCs/>
                <w:sz w:val="24"/>
              </w:rPr>
              <w:t>内墙</w:t>
            </w:r>
          </w:p>
        </w:tc>
        <w:tc>
          <w:tcPr>
            <w:tcW w:w="1187" w:type="pct"/>
            <w:vAlign w:val="center"/>
          </w:tcPr>
          <w:p w14:paraId="28C41D01">
            <w:pPr>
              <w:widowControl/>
              <w:jc w:val="center"/>
              <w:textAlignment w:val="center"/>
              <w:rPr>
                <w:rFonts w:hint="eastAsia" w:ascii="宋体" w:hAnsi="宋体" w:cs="等线"/>
                <w:color w:val="000000"/>
                <w:kern w:val="0"/>
                <w:sz w:val="24"/>
                <w:lang w:bidi="ar"/>
              </w:rPr>
            </w:pPr>
            <w:r>
              <w:rPr>
                <w:rFonts w:hint="eastAsia" w:asciiTheme="minorEastAsia" w:hAnsiTheme="minorEastAsia" w:eastAsiaTheme="minorEastAsia"/>
                <w:bCs/>
                <w:sz w:val="24"/>
              </w:rPr>
              <w:t>1套</w:t>
            </w:r>
          </w:p>
        </w:tc>
        <w:tc>
          <w:tcPr>
            <w:tcW w:w="768" w:type="pct"/>
            <w:vAlign w:val="center"/>
          </w:tcPr>
          <w:p w14:paraId="1AAFDDF3">
            <w:pPr>
              <w:widowControl/>
              <w:jc w:val="center"/>
              <w:textAlignment w:val="center"/>
              <w:rPr>
                <w:rFonts w:hint="eastAsia" w:ascii="宋体" w:hAnsi="宋体" w:cs="宋体"/>
                <w:color w:val="000000"/>
                <w:sz w:val="24"/>
              </w:rPr>
            </w:pPr>
          </w:p>
        </w:tc>
      </w:tr>
      <w:tr w14:paraId="7BE6D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Align w:val="center"/>
          </w:tcPr>
          <w:p w14:paraId="7D2E7892">
            <w:pPr>
              <w:widowControl/>
              <w:jc w:val="center"/>
              <w:textAlignment w:val="center"/>
              <w:rPr>
                <w:rFonts w:hint="eastAsia" w:ascii="宋体" w:hAnsi="宋体" w:cs="宋体"/>
                <w:sz w:val="24"/>
              </w:rPr>
            </w:pPr>
            <w:r>
              <w:rPr>
                <w:rFonts w:hint="eastAsia" w:ascii="宋体" w:hAnsi="宋体" w:cs="宋体"/>
                <w:sz w:val="24"/>
              </w:rPr>
              <w:t>3.2</w:t>
            </w:r>
          </w:p>
        </w:tc>
        <w:tc>
          <w:tcPr>
            <w:tcW w:w="2407" w:type="pct"/>
            <w:vAlign w:val="center"/>
          </w:tcPr>
          <w:p w14:paraId="2988850C">
            <w:pPr>
              <w:widowControl/>
              <w:jc w:val="center"/>
              <w:textAlignment w:val="center"/>
              <w:rPr>
                <w:rFonts w:hint="eastAsia" w:ascii="宋体" w:hAnsi="宋体" w:cs="宋体"/>
                <w:bCs/>
                <w:sz w:val="24"/>
              </w:rPr>
            </w:pPr>
            <w:r>
              <w:rPr>
                <w:rFonts w:ascii="宋体" w:hAnsi="宋体" w:cs="宋体"/>
                <w:bCs/>
                <w:sz w:val="24"/>
              </w:rPr>
              <w:t>舱内照明</w:t>
            </w:r>
          </w:p>
        </w:tc>
        <w:tc>
          <w:tcPr>
            <w:tcW w:w="1187" w:type="pct"/>
            <w:vAlign w:val="center"/>
          </w:tcPr>
          <w:p w14:paraId="5605562D">
            <w:pPr>
              <w:widowControl/>
              <w:jc w:val="center"/>
              <w:textAlignment w:val="center"/>
              <w:rPr>
                <w:rFonts w:hint="eastAsia" w:ascii="宋体" w:hAnsi="宋体" w:cs="等线"/>
                <w:color w:val="000000"/>
                <w:kern w:val="0"/>
                <w:sz w:val="24"/>
                <w:lang w:bidi="ar"/>
              </w:rPr>
            </w:pPr>
            <w:r>
              <w:rPr>
                <w:rFonts w:hint="eastAsia" w:asciiTheme="minorEastAsia" w:hAnsiTheme="minorEastAsia" w:eastAsiaTheme="minorEastAsia"/>
                <w:bCs/>
                <w:sz w:val="24"/>
              </w:rPr>
              <w:t>1套</w:t>
            </w:r>
          </w:p>
        </w:tc>
        <w:tc>
          <w:tcPr>
            <w:tcW w:w="768" w:type="pct"/>
            <w:vAlign w:val="center"/>
          </w:tcPr>
          <w:p w14:paraId="352D709A">
            <w:pPr>
              <w:widowControl/>
              <w:jc w:val="center"/>
              <w:textAlignment w:val="center"/>
              <w:rPr>
                <w:rFonts w:hint="eastAsia" w:ascii="宋体" w:hAnsi="宋体" w:cs="宋体"/>
                <w:color w:val="000000"/>
                <w:sz w:val="24"/>
              </w:rPr>
            </w:pPr>
          </w:p>
        </w:tc>
      </w:tr>
      <w:tr w14:paraId="3F42A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Align w:val="center"/>
          </w:tcPr>
          <w:p w14:paraId="5505B021">
            <w:pPr>
              <w:widowControl/>
              <w:jc w:val="center"/>
              <w:textAlignment w:val="center"/>
              <w:rPr>
                <w:rFonts w:hint="eastAsia" w:ascii="宋体" w:hAnsi="宋体" w:cs="宋体"/>
                <w:sz w:val="24"/>
              </w:rPr>
            </w:pPr>
            <w:r>
              <w:rPr>
                <w:rFonts w:hint="eastAsia" w:ascii="宋体" w:hAnsi="宋体" w:cs="宋体"/>
                <w:sz w:val="24"/>
              </w:rPr>
              <w:t>3.3</w:t>
            </w:r>
          </w:p>
        </w:tc>
        <w:tc>
          <w:tcPr>
            <w:tcW w:w="2407" w:type="pct"/>
            <w:vAlign w:val="center"/>
          </w:tcPr>
          <w:p w14:paraId="26DFF226">
            <w:pPr>
              <w:widowControl/>
              <w:jc w:val="center"/>
              <w:textAlignment w:val="center"/>
              <w:rPr>
                <w:rFonts w:hint="eastAsia" w:ascii="宋体" w:hAnsi="宋体" w:cs="宋体"/>
                <w:bCs/>
                <w:sz w:val="24"/>
              </w:rPr>
            </w:pPr>
            <w:r>
              <w:rPr>
                <w:rFonts w:hint="eastAsia" w:ascii="宋体" w:hAnsi="宋体" w:cs="宋体"/>
                <w:bCs/>
                <w:sz w:val="24"/>
              </w:rPr>
              <w:t>地板</w:t>
            </w:r>
          </w:p>
        </w:tc>
        <w:tc>
          <w:tcPr>
            <w:tcW w:w="1187" w:type="pct"/>
            <w:vAlign w:val="center"/>
          </w:tcPr>
          <w:p w14:paraId="2A6086F5">
            <w:pPr>
              <w:widowControl/>
              <w:jc w:val="center"/>
              <w:textAlignment w:val="center"/>
              <w:rPr>
                <w:rFonts w:hint="eastAsia" w:ascii="宋体" w:hAnsi="宋体" w:cs="等线"/>
                <w:color w:val="000000"/>
                <w:kern w:val="0"/>
                <w:sz w:val="24"/>
                <w:lang w:bidi="ar"/>
              </w:rPr>
            </w:pPr>
            <w:r>
              <w:rPr>
                <w:rFonts w:hint="eastAsia" w:asciiTheme="minorEastAsia" w:hAnsiTheme="minorEastAsia" w:eastAsiaTheme="minorEastAsia"/>
                <w:bCs/>
                <w:sz w:val="24"/>
              </w:rPr>
              <w:t>1套</w:t>
            </w:r>
          </w:p>
        </w:tc>
        <w:tc>
          <w:tcPr>
            <w:tcW w:w="768" w:type="pct"/>
            <w:vAlign w:val="center"/>
          </w:tcPr>
          <w:p w14:paraId="080D4D7C">
            <w:pPr>
              <w:widowControl/>
              <w:jc w:val="center"/>
              <w:textAlignment w:val="center"/>
              <w:rPr>
                <w:rFonts w:hint="eastAsia" w:ascii="宋体" w:hAnsi="宋体" w:cs="宋体"/>
                <w:color w:val="000000"/>
                <w:sz w:val="24"/>
              </w:rPr>
            </w:pPr>
          </w:p>
        </w:tc>
      </w:tr>
      <w:tr w14:paraId="65352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Align w:val="center"/>
          </w:tcPr>
          <w:p w14:paraId="161D4FE2">
            <w:pPr>
              <w:widowControl/>
              <w:jc w:val="center"/>
              <w:textAlignment w:val="center"/>
              <w:rPr>
                <w:rFonts w:hint="eastAsia" w:ascii="宋体" w:hAnsi="宋体" w:cs="宋体"/>
                <w:sz w:val="24"/>
              </w:rPr>
            </w:pPr>
            <w:r>
              <w:rPr>
                <w:rFonts w:hint="eastAsia" w:ascii="宋体" w:hAnsi="宋体" w:cs="宋体"/>
                <w:sz w:val="24"/>
              </w:rPr>
              <w:t>3.4</w:t>
            </w:r>
          </w:p>
        </w:tc>
        <w:tc>
          <w:tcPr>
            <w:tcW w:w="2407" w:type="pct"/>
            <w:vAlign w:val="center"/>
          </w:tcPr>
          <w:p w14:paraId="074BDE99">
            <w:pPr>
              <w:widowControl/>
              <w:jc w:val="center"/>
              <w:textAlignment w:val="center"/>
              <w:rPr>
                <w:rFonts w:hint="eastAsia" w:ascii="宋体" w:hAnsi="宋体" w:cs="宋体"/>
                <w:bCs/>
                <w:sz w:val="24"/>
              </w:rPr>
            </w:pPr>
            <w:r>
              <w:rPr>
                <w:rFonts w:hint="eastAsia" w:ascii="宋体" w:hAnsi="宋体" w:cs="宋体"/>
                <w:bCs/>
                <w:sz w:val="24"/>
              </w:rPr>
              <w:t>石墨烯电热膜地板采暖</w:t>
            </w:r>
            <w:r>
              <w:rPr>
                <w:rFonts w:ascii="宋体" w:hAnsi="宋体" w:cs="宋体"/>
                <w:bCs/>
                <w:sz w:val="24"/>
              </w:rPr>
              <w:t>系统</w:t>
            </w:r>
          </w:p>
        </w:tc>
        <w:tc>
          <w:tcPr>
            <w:tcW w:w="1187" w:type="pct"/>
            <w:vAlign w:val="center"/>
          </w:tcPr>
          <w:p w14:paraId="2FBA579D">
            <w:pPr>
              <w:widowControl/>
              <w:jc w:val="center"/>
              <w:textAlignment w:val="center"/>
              <w:rPr>
                <w:rFonts w:hint="eastAsia" w:ascii="宋体" w:hAnsi="宋体" w:cs="等线"/>
                <w:color w:val="000000"/>
                <w:kern w:val="0"/>
                <w:sz w:val="24"/>
                <w:lang w:bidi="ar"/>
              </w:rPr>
            </w:pPr>
            <w:r>
              <w:rPr>
                <w:rFonts w:hint="eastAsia" w:asciiTheme="minorEastAsia" w:hAnsiTheme="minorEastAsia" w:eastAsiaTheme="minorEastAsia"/>
                <w:bCs/>
                <w:sz w:val="24"/>
              </w:rPr>
              <w:t>1套</w:t>
            </w:r>
          </w:p>
        </w:tc>
        <w:tc>
          <w:tcPr>
            <w:tcW w:w="768" w:type="pct"/>
            <w:vAlign w:val="center"/>
          </w:tcPr>
          <w:p w14:paraId="2D020667">
            <w:pPr>
              <w:widowControl/>
              <w:jc w:val="center"/>
              <w:textAlignment w:val="center"/>
              <w:rPr>
                <w:rFonts w:hint="eastAsia" w:ascii="宋体" w:hAnsi="宋体" w:cs="宋体"/>
                <w:color w:val="000000"/>
                <w:sz w:val="24"/>
              </w:rPr>
            </w:pPr>
          </w:p>
        </w:tc>
      </w:tr>
      <w:tr w14:paraId="14E07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Align w:val="center"/>
          </w:tcPr>
          <w:p w14:paraId="1069B751">
            <w:pPr>
              <w:widowControl/>
              <w:jc w:val="center"/>
              <w:textAlignment w:val="center"/>
              <w:rPr>
                <w:rFonts w:hint="eastAsia" w:ascii="宋体" w:hAnsi="宋体" w:cs="宋体"/>
                <w:sz w:val="24"/>
              </w:rPr>
            </w:pPr>
            <w:r>
              <w:rPr>
                <w:rFonts w:hint="eastAsia" w:ascii="宋体" w:hAnsi="宋体" w:cs="宋体"/>
                <w:sz w:val="24"/>
              </w:rPr>
              <w:t>3.5</w:t>
            </w:r>
          </w:p>
        </w:tc>
        <w:tc>
          <w:tcPr>
            <w:tcW w:w="2407" w:type="pct"/>
            <w:vAlign w:val="center"/>
          </w:tcPr>
          <w:p w14:paraId="3866F813">
            <w:pPr>
              <w:widowControl/>
              <w:jc w:val="center"/>
              <w:textAlignment w:val="center"/>
              <w:rPr>
                <w:rFonts w:hint="eastAsia" w:ascii="宋体" w:hAnsi="宋体" w:cs="宋体"/>
                <w:bCs/>
                <w:sz w:val="24"/>
              </w:rPr>
            </w:pPr>
            <w:r>
              <w:rPr>
                <w:rFonts w:ascii="宋体" w:hAnsi="宋体" w:cs="宋体"/>
                <w:bCs/>
                <w:sz w:val="24"/>
              </w:rPr>
              <w:t>全</w:t>
            </w:r>
            <w:r>
              <w:rPr>
                <w:rFonts w:hint="eastAsia" w:ascii="宋体" w:hAnsi="宋体" w:cs="宋体"/>
                <w:bCs/>
                <w:sz w:val="24"/>
              </w:rPr>
              <w:t>舱</w:t>
            </w:r>
            <w:r>
              <w:rPr>
                <w:rFonts w:ascii="宋体" w:hAnsi="宋体" w:cs="宋体"/>
                <w:bCs/>
                <w:sz w:val="24"/>
              </w:rPr>
              <w:t>智能控制系统</w:t>
            </w:r>
          </w:p>
        </w:tc>
        <w:tc>
          <w:tcPr>
            <w:tcW w:w="1187" w:type="pct"/>
            <w:vAlign w:val="center"/>
          </w:tcPr>
          <w:p w14:paraId="25664689">
            <w:pPr>
              <w:widowControl/>
              <w:jc w:val="center"/>
              <w:textAlignment w:val="center"/>
              <w:rPr>
                <w:rFonts w:hint="eastAsia" w:ascii="宋体" w:hAnsi="宋体" w:cs="等线"/>
                <w:color w:val="000000"/>
                <w:kern w:val="0"/>
                <w:sz w:val="24"/>
                <w:lang w:bidi="ar"/>
              </w:rPr>
            </w:pPr>
            <w:r>
              <w:rPr>
                <w:rFonts w:hint="eastAsia" w:asciiTheme="minorEastAsia" w:hAnsiTheme="minorEastAsia" w:eastAsiaTheme="minorEastAsia"/>
                <w:bCs/>
                <w:sz w:val="24"/>
              </w:rPr>
              <w:t>1套</w:t>
            </w:r>
          </w:p>
        </w:tc>
        <w:tc>
          <w:tcPr>
            <w:tcW w:w="768" w:type="pct"/>
            <w:vAlign w:val="center"/>
          </w:tcPr>
          <w:p w14:paraId="382DA643">
            <w:pPr>
              <w:widowControl/>
              <w:jc w:val="center"/>
              <w:textAlignment w:val="center"/>
              <w:rPr>
                <w:rFonts w:hint="eastAsia" w:ascii="宋体" w:hAnsi="宋体" w:cs="宋体"/>
                <w:color w:val="000000"/>
                <w:sz w:val="24"/>
              </w:rPr>
            </w:pPr>
          </w:p>
        </w:tc>
      </w:tr>
      <w:tr w14:paraId="3AE76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Align w:val="center"/>
          </w:tcPr>
          <w:p w14:paraId="1BA0394E">
            <w:pPr>
              <w:widowControl/>
              <w:jc w:val="center"/>
              <w:textAlignment w:val="center"/>
              <w:rPr>
                <w:rFonts w:hint="eastAsia" w:ascii="宋体" w:hAnsi="宋体" w:cs="宋体"/>
                <w:sz w:val="24"/>
              </w:rPr>
            </w:pPr>
            <w:r>
              <w:rPr>
                <w:rFonts w:hint="eastAsia" w:ascii="宋体" w:hAnsi="宋体" w:cs="宋体"/>
                <w:sz w:val="24"/>
              </w:rPr>
              <w:t>3.6</w:t>
            </w:r>
          </w:p>
        </w:tc>
        <w:tc>
          <w:tcPr>
            <w:tcW w:w="2407" w:type="pct"/>
            <w:vAlign w:val="center"/>
          </w:tcPr>
          <w:p w14:paraId="54F722EE">
            <w:pPr>
              <w:widowControl/>
              <w:jc w:val="center"/>
              <w:textAlignment w:val="center"/>
              <w:rPr>
                <w:rFonts w:hint="eastAsia" w:ascii="宋体" w:hAnsi="宋体" w:cs="宋体"/>
                <w:bCs/>
                <w:sz w:val="24"/>
              </w:rPr>
            </w:pPr>
            <w:r>
              <w:rPr>
                <w:rFonts w:ascii="宋体" w:hAnsi="宋体" w:cs="宋体"/>
                <w:bCs/>
                <w:sz w:val="24"/>
              </w:rPr>
              <w:t>内装材料</w:t>
            </w:r>
            <w:r>
              <w:rPr>
                <w:rFonts w:hint="eastAsia" w:ascii="宋体" w:hAnsi="宋体" w:cs="宋体"/>
                <w:bCs/>
                <w:sz w:val="24"/>
              </w:rPr>
              <w:t>及</w:t>
            </w:r>
            <w:r>
              <w:rPr>
                <w:rFonts w:ascii="宋体" w:hAnsi="宋体" w:cs="宋体"/>
                <w:bCs/>
                <w:sz w:val="24"/>
              </w:rPr>
              <w:t>辅材</w:t>
            </w:r>
          </w:p>
        </w:tc>
        <w:tc>
          <w:tcPr>
            <w:tcW w:w="1187" w:type="pct"/>
            <w:vAlign w:val="center"/>
          </w:tcPr>
          <w:p w14:paraId="57EAEB5B">
            <w:pPr>
              <w:widowControl/>
              <w:jc w:val="center"/>
              <w:textAlignment w:val="center"/>
              <w:rPr>
                <w:rFonts w:hint="eastAsia" w:ascii="宋体" w:hAnsi="宋体" w:cs="等线"/>
                <w:color w:val="000000"/>
                <w:kern w:val="0"/>
                <w:sz w:val="24"/>
                <w:lang w:bidi="ar"/>
              </w:rPr>
            </w:pPr>
            <w:r>
              <w:rPr>
                <w:rFonts w:hint="eastAsia" w:asciiTheme="minorEastAsia" w:hAnsiTheme="minorEastAsia" w:eastAsiaTheme="minorEastAsia"/>
                <w:bCs/>
                <w:sz w:val="24"/>
              </w:rPr>
              <w:t>1套</w:t>
            </w:r>
          </w:p>
        </w:tc>
        <w:tc>
          <w:tcPr>
            <w:tcW w:w="768" w:type="pct"/>
            <w:vAlign w:val="center"/>
          </w:tcPr>
          <w:p w14:paraId="420FE7A4">
            <w:pPr>
              <w:widowControl/>
              <w:jc w:val="center"/>
              <w:textAlignment w:val="center"/>
              <w:rPr>
                <w:rFonts w:hint="eastAsia" w:ascii="宋体" w:hAnsi="宋体" w:cs="宋体"/>
                <w:color w:val="000000"/>
                <w:sz w:val="24"/>
              </w:rPr>
            </w:pPr>
          </w:p>
        </w:tc>
      </w:tr>
      <w:tr w14:paraId="06CCA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Align w:val="center"/>
          </w:tcPr>
          <w:p w14:paraId="196A2D8D">
            <w:pPr>
              <w:widowControl/>
              <w:jc w:val="center"/>
              <w:textAlignment w:val="center"/>
              <w:rPr>
                <w:rFonts w:hint="eastAsia" w:ascii="宋体" w:hAnsi="宋体" w:cs="宋体"/>
                <w:sz w:val="24"/>
              </w:rPr>
            </w:pPr>
            <w:r>
              <w:rPr>
                <w:rFonts w:hint="eastAsia" w:ascii="宋体" w:hAnsi="宋体" w:cs="宋体"/>
                <w:sz w:val="24"/>
              </w:rPr>
              <w:t>3.7</w:t>
            </w:r>
          </w:p>
        </w:tc>
        <w:tc>
          <w:tcPr>
            <w:tcW w:w="2407" w:type="pct"/>
            <w:vAlign w:val="center"/>
          </w:tcPr>
          <w:p w14:paraId="538AD625">
            <w:pPr>
              <w:widowControl/>
              <w:jc w:val="center"/>
              <w:textAlignment w:val="center"/>
              <w:rPr>
                <w:rFonts w:hint="eastAsia" w:ascii="宋体" w:hAnsi="宋体" w:cs="宋体"/>
                <w:bCs/>
                <w:sz w:val="24"/>
              </w:rPr>
            </w:pPr>
            <w:r>
              <w:rPr>
                <w:rFonts w:hint="eastAsia" w:ascii="宋体" w:hAnsi="宋体" w:cs="宋体"/>
                <w:bCs/>
                <w:sz w:val="24"/>
              </w:rPr>
              <w:t>集成家具</w:t>
            </w:r>
          </w:p>
        </w:tc>
        <w:tc>
          <w:tcPr>
            <w:tcW w:w="1187" w:type="pct"/>
            <w:vAlign w:val="center"/>
          </w:tcPr>
          <w:p w14:paraId="394D0439">
            <w:pPr>
              <w:widowControl/>
              <w:jc w:val="center"/>
              <w:textAlignment w:val="center"/>
              <w:rPr>
                <w:rFonts w:hint="eastAsia" w:ascii="宋体" w:hAnsi="宋体" w:cs="等线"/>
                <w:color w:val="000000"/>
                <w:kern w:val="0"/>
                <w:sz w:val="24"/>
                <w:lang w:bidi="ar"/>
              </w:rPr>
            </w:pPr>
            <w:r>
              <w:rPr>
                <w:rFonts w:hint="eastAsia" w:asciiTheme="minorEastAsia" w:hAnsiTheme="minorEastAsia" w:eastAsiaTheme="minorEastAsia"/>
                <w:bCs/>
                <w:sz w:val="24"/>
              </w:rPr>
              <w:t>1套</w:t>
            </w:r>
          </w:p>
        </w:tc>
        <w:tc>
          <w:tcPr>
            <w:tcW w:w="768" w:type="pct"/>
            <w:vAlign w:val="center"/>
          </w:tcPr>
          <w:p w14:paraId="5F415BB8">
            <w:pPr>
              <w:widowControl/>
              <w:jc w:val="center"/>
              <w:textAlignment w:val="center"/>
              <w:rPr>
                <w:rFonts w:hint="eastAsia" w:ascii="宋体" w:hAnsi="宋体" w:cs="宋体"/>
                <w:color w:val="000000"/>
                <w:sz w:val="24"/>
              </w:rPr>
            </w:pPr>
          </w:p>
        </w:tc>
      </w:tr>
      <w:tr w14:paraId="63D78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Align w:val="center"/>
          </w:tcPr>
          <w:p w14:paraId="2DFC3F08">
            <w:pPr>
              <w:widowControl/>
              <w:jc w:val="center"/>
              <w:textAlignment w:val="center"/>
              <w:rPr>
                <w:rFonts w:hint="eastAsia" w:ascii="宋体" w:hAnsi="宋体" w:cs="宋体"/>
                <w:sz w:val="24"/>
              </w:rPr>
            </w:pPr>
            <w:r>
              <w:rPr>
                <w:rFonts w:hint="eastAsia" w:ascii="宋体" w:hAnsi="宋体" w:cs="宋体"/>
                <w:sz w:val="24"/>
              </w:rPr>
              <w:t>4</w:t>
            </w:r>
          </w:p>
        </w:tc>
        <w:tc>
          <w:tcPr>
            <w:tcW w:w="4363" w:type="pct"/>
            <w:gridSpan w:val="3"/>
            <w:vAlign w:val="center"/>
          </w:tcPr>
          <w:p w14:paraId="7DACED56">
            <w:pPr>
              <w:widowControl/>
              <w:jc w:val="center"/>
              <w:textAlignment w:val="center"/>
              <w:rPr>
                <w:rFonts w:hint="eastAsia" w:ascii="宋体" w:hAnsi="宋体" w:cs="宋体"/>
                <w:color w:val="000000"/>
                <w:sz w:val="24"/>
              </w:rPr>
            </w:pPr>
            <w:r>
              <w:rPr>
                <w:rFonts w:hint="eastAsia" w:ascii="宋体" w:hAnsi="宋体" w:cs="宋体"/>
                <w:bCs/>
                <w:sz w:val="24"/>
              </w:rPr>
              <w:t>方舱设备</w:t>
            </w:r>
          </w:p>
        </w:tc>
      </w:tr>
      <w:tr w14:paraId="21F0B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Align w:val="center"/>
          </w:tcPr>
          <w:p w14:paraId="5993D004">
            <w:pPr>
              <w:widowControl/>
              <w:jc w:val="center"/>
              <w:textAlignment w:val="center"/>
              <w:rPr>
                <w:rFonts w:hint="eastAsia" w:ascii="宋体" w:hAnsi="宋体" w:cs="宋体"/>
                <w:sz w:val="24"/>
              </w:rPr>
            </w:pPr>
            <w:r>
              <w:rPr>
                <w:rFonts w:hint="eastAsia" w:ascii="宋体" w:hAnsi="宋体" w:cs="宋体"/>
                <w:sz w:val="24"/>
              </w:rPr>
              <w:t>4.1</w:t>
            </w:r>
          </w:p>
        </w:tc>
        <w:tc>
          <w:tcPr>
            <w:tcW w:w="2407" w:type="pct"/>
            <w:vAlign w:val="center"/>
          </w:tcPr>
          <w:p w14:paraId="71BBB059">
            <w:pPr>
              <w:widowControl/>
              <w:jc w:val="center"/>
              <w:textAlignment w:val="center"/>
              <w:rPr>
                <w:rFonts w:hint="eastAsia" w:ascii="宋体" w:hAnsi="宋体"/>
                <w:sz w:val="24"/>
              </w:rPr>
            </w:pPr>
            <w:r>
              <w:rPr>
                <w:rFonts w:ascii="宋体" w:hAnsi="宋体" w:cs="宋体"/>
                <w:bCs/>
                <w:sz w:val="24"/>
              </w:rPr>
              <w:t>采血位</w:t>
            </w:r>
          </w:p>
        </w:tc>
        <w:tc>
          <w:tcPr>
            <w:tcW w:w="1187" w:type="pct"/>
            <w:vAlign w:val="center"/>
          </w:tcPr>
          <w:p w14:paraId="79281098">
            <w:pPr>
              <w:widowControl/>
              <w:jc w:val="center"/>
              <w:textAlignment w:val="center"/>
              <w:rPr>
                <w:rFonts w:hint="eastAsia" w:ascii="宋体" w:hAnsi="宋体" w:cs="等线"/>
                <w:color w:val="000000"/>
                <w:kern w:val="0"/>
                <w:sz w:val="24"/>
                <w:lang w:bidi="ar"/>
              </w:rPr>
            </w:pPr>
            <w:r>
              <w:rPr>
                <w:rFonts w:ascii="宋体" w:hAnsi="宋体" w:cs="宋体"/>
                <w:bCs/>
                <w:sz w:val="24"/>
              </w:rPr>
              <w:t>4个</w:t>
            </w:r>
          </w:p>
        </w:tc>
        <w:tc>
          <w:tcPr>
            <w:tcW w:w="768" w:type="pct"/>
            <w:vAlign w:val="center"/>
          </w:tcPr>
          <w:p w14:paraId="121AD8F6">
            <w:pPr>
              <w:widowControl/>
              <w:jc w:val="center"/>
              <w:textAlignment w:val="center"/>
              <w:rPr>
                <w:rFonts w:hint="eastAsia" w:ascii="宋体" w:hAnsi="宋体" w:cs="宋体"/>
                <w:color w:val="000000"/>
                <w:sz w:val="24"/>
              </w:rPr>
            </w:pPr>
          </w:p>
        </w:tc>
      </w:tr>
      <w:tr w14:paraId="71EEC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Align w:val="center"/>
          </w:tcPr>
          <w:p w14:paraId="0CA1CD39">
            <w:pPr>
              <w:widowControl/>
              <w:jc w:val="center"/>
              <w:textAlignment w:val="center"/>
              <w:rPr>
                <w:rFonts w:hint="eastAsia" w:ascii="宋体" w:hAnsi="宋体" w:cs="宋体"/>
                <w:color w:val="000000"/>
                <w:kern w:val="0"/>
                <w:sz w:val="24"/>
                <w:lang w:bidi="ar"/>
              </w:rPr>
            </w:pPr>
            <w:r>
              <w:rPr>
                <w:rFonts w:hint="eastAsia" w:ascii="宋体" w:hAnsi="宋体" w:cs="宋体"/>
                <w:sz w:val="24"/>
              </w:rPr>
              <w:t>4.2</w:t>
            </w:r>
          </w:p>
        </w:tc>
        <w:tc>
          <w:tcPr>
            <w:tcW w:w="2407" w:type="pct"/>
            <w:vAlign w:val="center"/>
          </w:tcPr>
          <w:p w14:paraId="63E8AD6F">
            <w:pPr>
              <w:widowControl/>
              <w:jc w:val="center"/>
              <w:textAlignment w:val="center"/>
              <w:rPr>
                <w:rFonts w:hint="eastAsia" w:ascii="宋体" w:hAnsi="宋体" w:cs="宋体"/>
                <w:color w:val="000000"/>
                <w:kern w:val="0"/>
                <w:sz w:val="24"/>
                <w:lang w:bidi="ar"/>
              </w:rPr>
            </w:pPr>
            <w:r>
              <w:rPr>
                <w:rFonts w:ascii="宋体" w:hAnsi="宋体" w:cs="宋体"/>
                <w:bCs/>
                <w:sz w:val="24"/>
              </w:rPr>
              <w:t>冰箱</w:t>
            </w:r>
            <w:r>
              <w:rPr>
                <w:rFonts w:hint="eastAsia" w:ascii="宋体" w:hAnsi="宋体" w:cs="宋体"/>
                <w:bCs/>
                <w:sz w:val="24"/>
              </w:rPr>
              <w:t>1</w:t>
            </w:r>
          </w:p>
        </w:tc>
        <w:tc>
          <w:tcPr>
            <w:tcW w:w="1187" w:type="pct"/>
            <w:vAlign w:val="center"/>
          </w:tcPr>
          <w:p w14:paraId="364BC890">
            <w:pPr>
              <w:widowControl/>
              <w:jc w:val="center"/>
              <w:textAlignment w:val="center"/>
              <w:rPr>
                <w:rFonts w:hint="eastAsia" w:ascii="宋体" w:hAnsi="宋体" w:cs="等线"/>
                <w:color w:val="000000"/>
                <w:kern w:val="0"/>
                <w:sz w:val="24"/>
                <w:lang w:bidi="ar"/>
              </w:rPr>
            </w:pPr>
            <w:r>
              <w:rPr>
                <w:rFonts w:ascii="宋体" w:hAnsi="宋体" w:cs="宋体"/>
                <w:bCs/>
                <w:sz w:val="24"/>
              </w:rPr>
              <w:t>1台</w:t>
            </w:r>
          </w:p>
        </w:tc>
        <w:tc>
          <w:tcPr>
            <w:tcW w:w="768" w:type="pct"/>
            <w:vAlign w:val="center"/>
          </w:tcPr>
          <w:p w14:paraId="1932C8ED">
            <w:pPr>
              <w:widowControl/>
              <w:jc w:val="center"/>
              <w:textAlignment w:val="center"/>
              <w:rPr>
                <w:rFonts w:hint="eastAsia" w:ascii="宋体" w:hAnsi="宋体" w:cs="宋体"/>
                <w:color w:val="000000"/>
                <w:sz w:val="24"/>
              </w:rPr>
            </w:pPr>
          </w:p>
        </w:tc>
      </w:tr>
      <w:tr w14:paraId="43DE2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Align w:val="center"/>
          </w:tcPr>
          <w:p w14:paraId="105321B0">
            <w:pPr>
              <w:widowControl/>
              <w:jc w:val="center"/>
              <w:textAlignment w:val="center"/>
              <w:rPr>
                <w:rFonts w:hint="eastAsia" w:ascii="宋体" w:hAnsi="宋体" w:cs="宋体"/>
                <w:color w:val="000000"/>
                <w:kern w:val="0"/>
                <w:sz w:val="24"/>
                <w:lang w:bidi="ar"/>
              </w:rPr>
            </w:pPr>
            <w:r>
              <w:rPr>
                <w:rFonts w:hint="eastAsia" w:ascii="宋体" w:hAnsi="宋体" w:cs="宋体"/>
                <w:sz w:val="24"/>
              </w:rPr>
              <w:t>4.3</w:t>
            </w:r>
          </w:p>
        </w:tc>
        <w:tc>
          <w:tcPr>
            <w:tcW w:w="2407" w:type="pct"/>
            <w:vAlign w:val="center"/>
          </w:tcPr>
          <w:p w14:paraId="140FAF88">
            <w:pPr>
              <w:widowControl/>
              <w:jc w:val="center"/>
              <w:textAlignment w:val="center"/>
              <w:rPr>
                <w:rFonts w:hint="eastAsia" w:ascii="宋体" w:hAnsi="宋体" w:cs="宋体"/>
                <w:color w:val="000000"/>
                <w:kern w:val="0"/>
                <w:sz w:val="24"/>
                <w:lang w:bidi="ar"/>
              </w:rPr>
            </w:pPr>
            <w:r>
              <w:rPr>
                <w:rFonts w:ascii="宋体" w:hAnsi="宋体" w:cs="宋体"/>
                <w:bCs/>
                <w:sz w:val="24"/>
              </w:rPr>
              <w:t>冰箱</w:t>
            </w:r>
            <w:r>
              <w:rPr>
                <w:rFonts w:hint="eastAsia" w:ascii="宋体" w:hAnsi="宋体" w:cs="宋体"/>
                <w:bCs/>
                <w:sz w:val="24"/>
              </w:rPr>
              <w:t>2</w:t>
            </w:r>
          </w:p>
        </w:tc>
        <w:tc>
          <w:tcPr>
            <w:tcW w:w="1187" w:type="pct"/>
            <w:vAlign w:val="center"/>
          </w:tcPr>
          <w:p w14:paraId="0400B77A">
            <w:pPr>
              <w:widowControl/>
              <w:jc w:val="center"/>
              <w:textAlignment w:val="center"/>
              <w:rPr>
                <w:rFonts w:hint="eastAsia" w:ascii="宋体" w:hAnsi="宋体" w:cs="等线"/>
                <w:color w:val="000000"/>
                <w:kern w:val="0"/>
                <w:sz w:val="24"/>
                <w:lang w:bidi="ar"/>
              </w:rPr>
            </w:pPr>
            <w:r>
              <w:rPr>
                <w:rFonts w:ascii="宋体" w:hAnsi="宋体" w:cs="宋体"/>
                <w:bCs/>
                <w:sz w:val="24"/>
              </w:rPr>
              <w:t>1台</w:t>
            </w:r>
          </w:p>
        </w:tc>
        <w:tc>
          <w:tcPr>
            <w:tcW w:w="768" w:type="pct"/>
            <w:vAlign w:val="center"/>
          </w:tcPr>
          <w:p w14:paraId="13E08A86">
            <w:pPr>
              <w:widowControl/>
              <w:jc w:val="center"/>
              <w:textAlignment w:val="center"/>
              <w:rPr>
                <w:rFonts w:hint="eastAsia" w:ascii="宋体" w:hAnsi="宋体" w:cs="宋体"/>
                <w:color w:val="000000"/>
                <w:sz w:val="24"/>
              </w:rPr>
            </w:pPr>
          </w:p>
        </w:tc>
      </w:tr>
      <w:tr w14:paraId="2EFC3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Align w:val="center"/>
          </w:tcPr>
          <w:p w14:paraId="0E403B4E">
            <w:pPr>
              <w:widowControl/>
              <w:jc w:val="center"/>
              <w:textAlignment w:val="center"/>
              <w:rPr>
                <w:rFonts w:hint="eastAsia" w:ascii="宋体" w:hAnsi="宋体" w:cs="宋体"/>
                <w:color w:val="000000"/>
                <w:kern w:val="0"/>
                <w:sz w:val="24"/>
                <w:lang w:bidi="ar"/>
              </w:rPr>
            </w:pPr>
            <w:r>
              <w:rPr>
                <w:rFonts w:hint="eastAsia" w:ascii="宋体" w:hAnsi="宋体" w:cs="宋体"/>
                <w:sz w:val="24"/>
              </w:rPr>
              <w:t>4.4</w:t>
            </w:r>
          </w:p>
        </w:tc>
        <w:tc>
          <w:tcPr>
            <w:tcW w:w="2407" w:type="pct"/>
            <w:vAlign w:val="center"/>
          </w:tcPr>
          <w:p w14:paraId="3C96BF1B">
            <w:pPr>
              <w:widowControl/>
              <w:jc w:val="center"/>
              <w:textAlignment w:val="center"/>
              <w:rPr>
                <w:rFonts w:hint="eastAsia" w:ascii="宋体" w:hAnsi="宋体" w:cs="宋体"/>
                <w:color w:val="000000"/>
                <w:kern w:val="0"/>
                <w:sz w:val="24"/>
                <w:lang w:bidi="ar"/>
              </w:rPr>
            </w:pPr>
            <w:r>
              <w:rPr>
                <w:rFonts w:hint="eastAsia" w:ascii="宋体" w:hAnsi="宋体" w:cs="宋体"/>
                <w:bCs/>
                <w:sz w:val="24"/>
              </w:rPr>
              <w:t>微波炉</w:t>
            </w:r>
          </w:p>
        </w:tc>
        <w:tc>
          <w:tcPr>
            <w:tcW w:w="1187" w:type="pct"/>
            <w:vAlign w:val="center"/>
          </w:tcPr>
          <w:p w14:paraId="1983040C">
            <w:pPr>
              <w:widowControl/>
              <w:jc w:val="center"/>
              <w:textAlignment w:val="center"/>
              <w:rPr>
                <w:rFonts w:hint="eastAsia" w:ascii="宋体" w:hAnsi="宋体" w:cs="等线"/>
                <w:color w:val="000000"/>
                <w:kern w:val="0"/>
                <w:sz w:val="24"/>
                <w:lang w:bidi="ar"/>
              </w:rPr>
            </w:pPr>
            <w:r>
              <w:rPr>
                <w:rFonts w:ascii="宋体" w:hAnsi="宋体" w:cs="宋体"/>
                <w:bCs/>
                <w:sz w:val="24"/>
              </w:rPr>
              <w:t>1台</w:t>
            </w:r>
          </w:p>
        </w:tc>
        <w:tc>
          <w:tcPr>
            <w:tcW w:w="768" w:type="pct"/>
            <w:vAlign w:val="center"/>
          </w:tcPr>
          <w:p w14:paraId="5CA7DE33">
            <w:pPr>
              <w:widowControl/>
              <w:jc w:val="center"/>
              <w:textAlignment w:val="center"/>
              <w:rPr>
                <w:rFonts w:hint="eastAsia" w:ascii="宋体" w:hAnsi="宋体" w:cs="宋体"/>
                <w:color w:val="000000"/>
                <w:sz w:val="24"/>
              </w:rPr>
            </w:pPr>
          </w:p>
        </w:tc>
      </w:tr>
      <w:tr w14:paraId="30D2A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Align w:val="center"/>
          </w:tcPr>
          <w:p w14:paraId="6A403ED1">
            <w:pPr>
              <w:widowControl/>
              <w:jc w:val="center"/>
              <w:textAlignment w:val="center"/>
              <w:rPr>
                <w:rFonts w:hint="eastAsia" w:ascii="宋体" w:hAnsi="宋体" w:cs="宋体"/>
                <w:sz w:val="24"/>
              </w:rPr>
            </w:pPr>
            <w:r>
              <w:rPr>
                <w:rFonts w:hint="eastAsia" w:ascii="宋体" w:hAnsi="宋体" w:cs="宋体"/>
                <w:sz w:val="24"/>
              </w:rPr>
              <w:t>4.5</w:t>
            </w:r>
          </w:p>
        </w:tc>
        <w:tc>
          <w:tcPr>
            <w:tcW w:w="2407" w:type="pct"/>
            <w:vAlign w:val="center"/>
          </w:tcPr>
          <w:p w14:paraId="7DD9CB25">
            <w:pPr>
              <w:widowControl/>
              <w:jc w:val="center"/>
              <w:textAlignment w:val="center"/>
              <w:rPr>
                <w:rFonts w:hint="eastAsia" w:ascii="宋体" w:hAnsi="宋体"/>
                <w:sz w:val="24"/>
              </w:rPr>
            </w:pPr>
            <w:r>
              <w:rPr>
                <w:rFonts w:ascii="宋体" w:hAnsi="宋体" w:cs="宋体"/>
                <w:bCs/>
                <w:sz w:val="24"/>
              </w:rPr>
              <w:t>饮料柜</w:t>
            </w:r>
          </w:p>
        </w:tc>
        <w:tc>
          <w:tcPr>
            <w:tcW w:w="1187" w:type="pct"/>
            <w:vAlign w:val="center"/>
          </w:tcPr>
          <w:p w14:paraId="442E2E0E">
            <w:pPr>
              <w:widowControl/>
              <w:jc w:val="center"/>
              <w:textAlignment w:val="center"/>
              <w:rPr>
                <w:rFonts w:hint="eastAsia" w:ascii="宋体" w:hAnsi="宋体" w:cs="等线"/>
                <w:color w:val="000000"/>
                <w:kern w:val="0"/>
                <w:sz w:val="24"/>
                <w:lang w:bidi="ar"/>
              </w:rPr>
            </w:pPr>
            <w:r>
              <w:rPr>
                <w:rFonts w:ascii="宋体" w:hAnsi="宋体" w:cs="宋体"/>
                <w:bCs/>
                <w:sz w:val="24"/>
              </w:rPr>
              <w:t>1台</w:t>
            </w:r>
          </w:p>
        </w:tc>
        <w:tc>
          <w:tcPr>
            <w:tcW w:w="768" w:type="pct"/>
            <w:vAlign w:val="center"/>
          </w:tcPr>
          <w:p w14:paraId="20C2D53D">
            <w:pPr>
              <w:widowControl/>
              <w:jc w:val="center"/>
              <w:textAlignment w:val="center"/>
              <w:rPr>
                <w:rFonts w:hint="eastAsia" w:ascii="宋体" w:hAnsi="宋体" w:cs="宋体"/>
                <w:color w:val="000000"/>
                <w:sz w:val="24"/>
              </w:rPr>
            </w:pPr>
          </w:p>
        </w:tc>
      </w:tr>
      <w:tr w14:paraId="37D22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Align w:val="center"/>
          </w:tcPr>
          <w:p w14:paraId="38803764">
            <w:pPr>
              <w:widowControl/>
              <w:jc w:val="center"/>
              <w:textAlignment w:val="center"/>
              <w:rPr>
                <w:rFonts w:hint="eastAsia" w:ascii="宋体" w:hAnsi="宋体" w:cs="宋体"/>
                <w:sz w:val="24"/>
              </w:rPr>
            </w:pPr>
            <w:r>
              <w:rPr>
                <w:rFonts w:hint="eastAsia" w:ascii="宋体" w:hAnsi="宋体" w:cs="宋体"/>
                <w:sz w:val="24"/>
              </w:rPr>
              <w:t>4.6</w:t>
            </w:r>
          </w:p>
        </w:tc>
        <w:tc>
          <w:tcPr>
            <w:tcW w:w="2407" w:type="pct"/>
            <w:vAlign w:val="center"/>
          </w:tcPr>
          <w:p w14:paraId="5275EC4B">
            <w:pPr>
              <w:widowControl/>
              <w:jc w:val="center"/>
              <w:textAlignment w:val="center"/>
              <w:rPr>
                <w:rFonts w:hint="eastAsia" w:ascii="宋体" w:hAnsi="宋体"/>
                <w:sz w:val="24"/>
              </w:rPr>
            </w:pPr>
            <w:r>
              <w:rPr>
                <w:rFonts w:ascii="宋体" w:hAnsi="宋体" w:cs="宋体"/>
                <w:bCs/>
                <w:sz w:val="24"/>
              </w:rPr>
              <w:t>饮水机</w:t>
            </w:r>
          </w:p>
        </w:tc>
        <w:tc>
          <w:tcPr>
            <w:tcW w:w="1187" w:type="pct"/>
            <w:vAlign w:val="center"/>
          </w:tcPr>
          <w:p w14:paraId="58796B12">
            <w:pPr>
              <w:widowControl/>
              <w:jc w:val="center"/>
              <w:textAlignment w:val="center"/>
              <w:rPr>
                <w:rFonts w:hint="eastAsia" w:ascii="宋体" w:hAnsi="宋体" w:cs="等线"/>
                <w:color w:val="000000"/>
                <w:kern w:val="0"/>
                <w:sz w:val="24"/>
                <w:lang w:bidi="ar"/>
              </w:rPr>
            </w:pPr>
            <w:r>
              <w:rPr>
                <w:rFonts w:ascii="宋体" w:hAnsi="宋体" w:cs="宋体"/>
                <w:bCs/>
                <w:sz w:val="24"/>
              </w:rPr>
              <w:t>1台</w:t>
            </w:r>
          </w:p>
        </w:tc>
        <w:tc>
          <w:tcPr>
            <w:tcW w:w="768" w:type="pct"/>
            <w:vAlign w:val="center"/>
          </w:tcPr>
          <w:p w14:paraId="70ACF0AD">
            <w:pPr>
              <w:widowControl/>
              <w:jc w:val="center"/>
              <w:textAlignment w:val="center"/>
              <w:rPr>
                <w:rFonts w:hint="eastAsia" w:ascii="宋体" w:hAnsi="宋体" w:cs="宋体"/>
                <w:color w:val="000000"/>
                <w:sz w:val="24"/>
              </w:rPr>
            </w:pPr>
          </w:p>
        </w:tc>
      </w:tr>
      <w:tr w14:paraId="44227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Align w:val="center"/>
          </w:tcPr>
          <w:p w14:paraId="14C064AE">
            <w:pPr>
              <w:widowControl/>
              <w:jc w:val="center"/>
              <w:textAlignment w:val="center"/>
              <w:rPr>
                <w:rFonts w:hint="eastAsia" w:ascii="宋体" w:hAnsi="宋体" w:cs="宋体"/>
                <w:color w:val="000000"/>
                <w:kern w:val="0"/>
                <w:sz w:val="24"/>
                <w:lang w:bidi="ar"/>
              </w:rPr>
            </w:pPr>
            <w:r>
              <w:rPr>
                <w:rFonts w:hint="eastAsia" w:ascii="宋体" w:hAnsi="宋体" w:cs="宋体"/>
                <w:sz w:val="24"/>
              </w:rPr>
              <w:t>4.7</w:t>
            </w:r>
          </w:p>
        </w:tc>
        <w:tc>
          <w:tcPr>
            <w:tcW w:w="2407" w:type="pct"/>
            <w:vAlign w:val="center"/>
          </w:tcPr>
          <w:p w14:paraId="2E6490AE">
            <w:pPr>
              <w:widowControl/>
              <w:jc w:val="center"/>
              <w:textAlignment w:val="center"/>
              <w:rPr>
                <w:rFonts w:hint="eastAsia" w:asciiTheme="minorEastAsia" w:hAnsiTheme="minorEastAsia" w:eastAsiaTheme="minorEastAsia"/>
                <w:bCs/>
                <w:sz w:val="24"/>
              </w:rPr>
            </w:pPr>
            <w:r>
              <w:rPr>
                <w:rFonts w:hint="eastAsia" w:ascii="宋体" w:hAnsi="宋体" w:cs="宋体"/>
                <w:bCs/>
                <w:sz w:val="24"/>
              </w:rPr>
              <w:t>中央空调及新风系统</w:t>
            </w:r>
          </w:p>
        </w:tc>
        <w:tc>
          <w:tcPr>
            <w:tcW w:w="1187" w:type="pct"/>
            <w:vAlign w:val="center"/>
          </w:tcPr>
          <w:p w14:paraId="41F59D96">
            <w:pPr>
              <w:widowControl/>
              <w:jc w:val="center"/>
              <w:textAlignment w:val="center"/>
              <w:rPr>
                <w:rFonts w:hint="eastAsia" w:ascii="宋体" w:hAnsi="宋体" w:cs="等线"/>
                <w:color w:val="000000"/>
                <w:kern w:val="0"/>
                <w:sz w:val="24"/>
                <w:lang w:bidi="ar"/>
              </w:rPr>
            </w:pPr>
            <w:r>
              <w:rPr>
                <w:rFonts w:hint="eastAsia" w:ascii="宋体" w:hAnsi="宋体" w:cs="等线"/>
                <w:color w:val="000000"/>
                <w:kern w:val="0"/>
                <w:sz w:val="24"/>
                <w:lang w:bidi="ar"/>
              </w:rPr>
              <w:t>1套</w:t>
            </w:r>
          </w:p>
        </w:tc>
        <w:tc>
          <w:tcPr>
            <w:tcW w:w="768" w:type="pct"/>
            <w:vAlign w:val="center"/>
          </w:tcPr>
          <w:p w14:paraId="2ED54785">
            <w:pPr>
              <w:widowControl/>
              <w:jc w:val="center"/>
              <w:textAlignment w:val="center"/>
              <w:rPr>
                <w:rFonts w:hint="eastAsia" w:ascii="宋体" w:hAnsi="宋体" w:cs="宋体"/>
                <w:color w:val="000000"/>
                <w:sz w:val="24"/>
              </w:rPr>
            </w:pPr>
          </w:p>
        </w:tc>
      </w:tr>
      <w:tr w14:paraId="114B8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Align w:val="center"/>
          </w:tcPr>
          <w:p w14:paraId="3689758C">
            <w:pPr>
              <w:widowControl/>
              <w:jc w:val="center"/>
              <w:textAlignment w:val="center"/>
              <w:rPr>
                <w:rFonts w:hint="eastAsia" w:ascii="宋体" w:hAnsi="宋体" w:cs="宋体"/>
                <w:color w:val="000000"/>
                <w:kern w:val="0"/>
                <w:sz w:val="24"/>
                <w:lang w:bidi="ar"/>
              </w:rPr>
            </w:pPr>
            <w:r>
              <w:rPr>
                <w:rFonts w:hint="eastAsia" w:ascii="宋体" w:hAnsi="宋体" w:cs="宋体"/>
                <w:sz w:val="24"/>
              </w:rPr>
              <w:t>4.8</w:t>
            </w:r>
          </w:p>
        </w:tc>
        <w:tc>
          <w:tcPr>
            <w:tcW w:w="4363" w:type="pct"/>
            <w:gridSpan w:val="3"/>
            <w:vAlign w:val="center"/>
          </w:tcPr>
          <w:p w14:paraId="7AF3B9AA">
            <w:pPr>
              <w:widowControl/>
              <w:jc w:val="center"/>
              <w:textAlignment w:val="center"/>
              <w:rPr>
                <w:rFonts w:hint="eastAsia" w:ascii="宋体" w:hAnsi="宋体" w:cs="宋体"/>
                <w:color w:val="000000"/>
                <w:sz w:val="24"/>
              </w:rPr>
            </w:pPr>
            <w:r>
              <w:rPr>
                <w:rFonts w:ascii="宋体" w:hAnsi="宋体" w:cs="宋体"/>
                <w:bCs/>
                <w:sz w:val="24"/>
              </w:rPr>
              <w:t>监控系统</w:t>
            </w:r>
          </w:p>
        </w:tc>
      </w:tr>
      <w:tr w14:paraId="7E4AA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Align w:val="center"/>
          </w:tcPr>
          <w:p w14:paraId="72F0DE4E">
            <w:pPr>
              <w:widowControl/>
              <w:jc w:val="center"/>
              <w:textAlignment w:val="center"/>
              <w:rPr>
                <w:rFonts w:hint="eastAsia" w:ascii="宋体" w:hAnsi="宋体" w:cs="宋体"/>
                <w:sz w:val="24"/>
              </w:rPr>
            </w:pPr>
            <w:r>
              <w:rPr>
                <w:rFonts w:hint="eastAsia" w:ascii="宋体" w:hAnsi="宋体" w:cs="宋体"/>
                <w:sz w:val="24"/>
              </w:rPr>
              <w:t>4.8.1</w:t>
            </w:r>
          </w:p>
        </w:tc>
        <w:tc>
          <w:tcPr>
            <w:tcW w:w="2407" w:type="pct"/>
            <w:vAlign w:val="center"/>
          </w:tcPr>
          <w:p w14:paraId="34D95561">
            <w:pPr>
              <w:widowControl/>
              <w:jc w:val="center"/>
              <w:textAlignment w:val="center"/>
              <w:rPr>
                <w:rFonts w:hint="eastAsia" w:ascii="宋体" w:hAnsi="宋体"/>
                <w:sz w:val="24"/>
              </w:rPr>
            </w:pPr>
            <w:r>
              <w:rPr>
                <w:rFonts w:hint="eastAsia" w:ascii="宋体" w:hAnsi="宋体" w:cs="宋体"/>
                <w:bCs/>
                <w:sz w:val="24"/>
                <w:szCs w:val="22"/>
              </w:rPr>
              <w:t>企业级</w:t>
            </w:r>
            <w:r>
              <w:rPr>
                <w:rFonts w:hint="eastAsia" w:ascii="宋体" w:hAnsi="宋体" w:cs="宋体"/>
                <w:bCs/>
                <w:sz w:val="24"/>
              </w:rPr>
              <w:t>模块化</w:t>
            </w:r>
            <w:r>
              <w:rPr>
                <w:rFonts w:ascii="宋体" w:hAnsi="宋体" w:cs="宋体"/>
                <w:bCs/>
                <w:sz w:val="24"/>
              </w:rPr>
              <w:t>路由器</w:t>
            </w:r>
          </w:p>
        </w:tc>
        <w:tc>
          <w:tcPr>
            <w:tcW w:w="1187" w:type="pct"/>
            <w:vAlign w:val="center"/>
          </w:tcPr>
          <w:p w14:paraId="1F614962">
            <w:pPr>
              <w:widowControl/>
              <w:jc w:val="center"/>
              <w:textAlignment w:val="center"/>
              <w:rPr>
                <w:rFonts w:hint="eastAsia" w:ascii="宋体" w:hAnsi="宋体" w:cs="等线"/>
                <w:color w:val="000000"/>
                <w:kern w:val="0"/>
                <w:sz w:val="24"/>
                <w:lang w:bidi="ar"/>
              </w:rPr>
            </w:pPr>
            <w:r>
              <w:rPr>
                <w:rFonts w:hint="eastAsia" w:ascii="宋体" w:hAnsi="宋体" w:cs="等线"/>
                <w:color w:val="000000"/>
                <w:kern w:val="0"/>
                <w:sz w:val="24"/>
                <w:lang w:bidi="ar"/>
              </w:rPr>
              <w:t>1台</w:t>
            </w:r>
          </w:p>
        </w:tc>
        <w:tc>
          <w:tcPr>
            <w:tcW w:w="768" w:type="pct"/>
            <w:vAlign w:val="center"/>
          </w:tcPr>
          <w:p w14:paraId="62D65ECE">
            <w:pPr>
              <w:widowControl/>
              <w:jc w:val="center"/>
              <w:textAlignment w:val="center"/>
              <w:rPr>
                <w:rFonts w:hint="eastAsia" w:ascii="宋体" w:hAnsi="宋体" w:cs="宋体"/>
                <w:color w:val="000000"/>
                <w:sz w:val="24"/>
              </w:rPr>
            </w:pPr>
          </w:p>
        </w:tc>
      </w:tr>
      <w:tr w14:paraId="7F978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Align w:val="center"/>
          </w:tcPr>
          <w:p w14:paraId="7EF1A25B">
            <w:pPr>
              <w:widowControl/>
              <w:jc w:val="center"/>
              <w:textAlignment w:val="center"/>
              <w:rPr>
                <w:rFonts w:hint="eastAsia" w:ascii="宋体" w:hAnsi="宋体" w:cs="宋体"/>
                <w:color w:val="000000"/>
                <w:kern w:val="0"/>
                <w:sz w:val="24"/>
                <w:lang w:bidi="ar"/>
              </w:rPr>
            </w:pPr>
            <w:r>
              <w:rPr>
                <w:rFonts w:hint="eastAsia" w:ascii="宋体" w:hAnsi="宋体" w:cs="宋体"/>
                <w:sz w:val="24"/>
              </w:rPr>
              <w:t>4.8.2</w:t>
            </w:r>
          </w:p>
        </w:tc>
        <w:tc>
          <w:tcPr>
            <w:tcW w:w="2407" w:type="pct"/>
            <w:vAlign w:val="center"/>
          </w:tcPr>
          <w:p w14:paraId="39DA2A84">
            <w:pPr>
              <w:widowControl/>
              <w:jc w:val="center"/>
              <w:textAlignment w:val="center"/>
              <w:rPr>
                <w:rFonts w:hint="eastAsia" w:ascii="宋体" w:hAnsi="宋体" w:cs="宋体"/>
                <w:color w:val="000000"/>
                <w:kern w:val="0"/>
                <w:sz w:val="24"/>
                <w:lang w:bidi="ar"/>
              </w:rPr>
            </w:pPr>
            <w:r>
              <w:rPr>
                <w:rFonts w:ascii="宋体" w:hAnsi="宋体" w:cs="宋体"/>
                <w:bCs/>
                <w:sz w:val="24"/>
              </w:rPr>
              <w:t>硬盘录像机</w:t>
            </w:r>
          </w:p>
        </w:tc>
        <w:tc>
          <w:tcPr>
            <w:tcW w:w="1187" w:type="pct"/>
            <w:vAlign w:val="center"/>
          </w:tcPr>
          <w:p w14:paraId="002EE931">
            <w:pPr>
              <w:widowControl/>
              <w:jc w:val="center"/>
              <w:textAlignment w:val="center"/>
              <w:rPr>
                <w:rFonts w:hint="eastAsia" w:ascii="宋体" w:hAnsi="宋体" w:cs="等线"/>
                <w:color w:val="000000"/>
                <w:kern w:val="0"/>
                <w:sz w:val="24"/>
                <w:lang w:bidi="ar"/>
              </w:rPr>
            </w:pPr>
            <w:r>
              <w:rPr>
                <w:rFonts w:hint="eastAsia" w:ascii="宋体" w:hAnsi="宋体" w:cs="等线"/>
                <w:color w:val="000000"/>
                <w:kern w:val="0"/>
                <w:sz w:val="24"/>
                <w:lang w:bidi="ar"/>
              </w:rPr>
              <w:t>1台</w:t>
            </w:r>
          </w:p>
        </w:tc>
        <w:tc>
          <w:tcPr>
            <w:tcW w:w="768" w:type="pct"/>
            <w:vAlign w:val="center"/>
          </w:tcPr>
          <w:p w14:paraId="6EB184F5">
            <w:pPr>
              <w:widowControl/>
              <w:jc w:val="center"/>
              <w:textAlignment w:val="center"/>
              <w:rPr>
                <w:rFonts w:hint="eastAsia" w:ascii="宋体" w:hAnsi="宋体" w:cs="宋体"/>
                <w:color w:val="000000"/>
                <w:sz w:val="24"/>
              </w:rPr>
            </w:pPr>
          </w:p>
        </w:tc>
      </w:tr>
      <w:tr w14:paraId="24E36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Align w:val="center"/>
          </w:tcPr>
          <w:p w14:paraId="0BC2397C">
            <w:pPr>
              <w:widowControl/>
              <w:jc w:val="center"/>
              <w:textAlignment w:val="center"/>
              <w:rPr>
                <w:rFonts w:hint="eastAsia" w:ascii="宋体" w:hAnsi="宋体" w:cs="宋体"/>
                <w:color w:val="000000"/>
                <w:kern w:val="0"/>
                <w:sz w:val="24"/>
                <w:lang w:bidi="ar"/>
              </w:rPr>
            </w:pPr>
            <w:r>
              <w:rPr>
                <w:rFonts w:hint="eastAsia" w:ascii="宋体" w:hAnsi="宋体" w:cs="宋体"/>
                <w:sz w:val="24"/>
              </w:rPr>
              <w:t>4.8.3</w:t>
            </w:r>
          </w:p>
        </w:tc>
        <w:tc>
          <w:tcPr>
            <w:tcW w:w="2407" w:type="pct"/>
            <w:vAlign w:val="center"/>
          </w:tcPr>
          <w:p w14:paraId="043B9913">
            <w:pPr>
              <w:spacing w:line="360" w:lineRule="auto"/>
              <w:ind w:firstLine="480" w:firstLineChars="200"/>
              <w:contextualSpacing/>
              <w:jc w:val="center"/>
              <w:rPr>
                <w:rFonts w:hint="eastAsia" w:ascii="宋体" w:hAnsi="宋体" w:cs="宋体"/>
                <w:bCs/>
                <w:sz w:val="24"/>
                <w:szCs w:val="22"/>
              </w:rPr>
            </w:pPr>
            <w:r>
              <w:rPr>
                <w:rFonts w:ascii="宋体" w:hAnsi="宋体" w:cs="宋体"/>
                <w:bCs/>
                <w:sz w:val="24"/>
                <w:szCs w:val="22"/>
              </w:rPr>
              <w:t>半球摄像机</w:t>
            </w:r>
          </w:p>
        </w:tc>
        <w:tc>
          <w:tcPr>
            <w:tcW w:w="1187" w:type="pct"/>
            <w:vAlign w:val="center"/>
          </w:tcPr>
          <w:p w14:paraId="67580B9B">
            <w:pPr>
              <w:widowControl/>
              <w:jc w:val="center"/>
              <w:textAlignment w:val="center"/>
              <w:rPr>
                <w:rFonts w:hint="eastAsia" w:ascii="宋体" w:hAnsi="宋体" w:cs="等线"/>
                <w:color w:val="000000"/>
                <w:kern w:val="0"/>
                <w:sz w:val="24"/>
                <w:lang w:bidi="ar"/>
              </w:rPr>
            </w:pPr>
            <w:r>
              <w:rPr>
                <w:rFonts w:hint="eastAsia" w:ascii="宋体" w:hAnsi="宋体" w:cs="宋体"/>
                <w:bCs/>
                <w:sz w:val="24"/>
              </w:rPr>
              <w:t>≥8</w:t>
            </w:r>
            <w:r>
              <w:rPr>
                <w:rFonts w:ascii="宋体" w:hAnsi="宋体" w:cs="宋体"/>
                <w:bCs/>
                <w:sz w:val="24"/>
              </w:rPr>
              <w:t>个</w:t>
            </w:r>
          </w:p>
        </w:tc>
        <w:tc>
          <w:tcPr>
            <w:tcW w:w="768" w:type="pct"/>
            <w:vAlign w:val="center"/>
          </w:tcPr>
          <w:p w14:paraId="4EC5A0D2">
            <w:pPr>
              <w:widowControl/>
              <w:jc w:val="center"/>
              <w:textAlignment w:val="center"/>
              <w:rPr>
                <w:rFonts w:hint="eastAsia" w:ascii="宋体" w:hAnsi="宋体" w:cs="宋体"/>
                <w:color w:val="000000"/>
                <w:sz w:val="24"/>
              </w:rPr>
            </w:pPr>
          </w:p>
        </w:tc>
      </w:tr>
      <w:tr w14:paraId="654AB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Align w:val="center"/>
          </w:tcPr>
          <w:p w14:paraId="102D6C11">
            <w:pPr>
              <w:widowControl/>
              <w:jc w:val="center"/>
              <w:textAlignment w:val="center"/>
              <w:rPr>
                <w:rFonts w:hint="eastAsia" w:ascii="宋体" w:hAnsi="宋体" w:cs="宋体"/>
                <w:sz w:val="24"/>
              </w:rPr>
            </w:pPr>
            <w:r>
              <w:rPr>
                <w:rFonts w:hint="eastAsia" w:ascii="宋体" w:hAnsi="宋体" w:cs="宋体"/>
                <w:sz w:val="24"/>
              </w:rPr>
              <w:t>4.8.4</w:t>
            </w:r>
          </w:p>
        </w:tc>
        <w:tc>
          <w:tcPr>
            <w:tcW w:w="2407" w:type="pct"/>
            <w:vAlign w:val="center"/>
          </w:tcPr>
          <w:p w14:paraId="3FC246D7">
            <w:pPr>
              <w:widowControl/>
              <w:jc w:val="center"/>
              <w:textAlignment w:val="center"/>
              <w:rPr>
                <w:rFonts w:hint="eastAsia" w:ascii="宋体" w:hAnsi="宋体"/>
                <w:sz w:val="24"/>
              </w:rPr>
            </w:pPr>
            <w:r>
              <w:rPr>
                <w:rFonts w:ascii="宋体" w:hAnsi="宋体" w:cs="宋体"/>
                <w:bCs/>
                <w:sz w:val="24"/>
              </w:rPr>
              <w:t>机械硬盘</w:t>
            </w:r>
          </w:p>
        </w:tc>
        <w:tc>
          <w:tcPr>
            <w:tcW w:w="1187" w:type="pct"/>
            <w:vAlign w:val="center"/>
          </w:tcPr>
          <w:p w14:paraId="10ADFA01">
            <w:pPr>
              <w:widowControl/>
              <w:jc w:val="center"/>
              <w:textAlignment w:val="center"/>
              <w:rPr>
                <w:rFonts w:hint="eastAsia" w:ascii="宋体" w:hAnsi="宋体" w:cs="等线"/>
                <w:color w:val="000000"/>
                <w:kern w:val="0"/>
                <w:sz w:val="24"/>
                <w:lang w:bidi="ar"/>
              </w:rPr>
            </w:pPr>
            <w:r>
              <w:rPr>
                <w:rFonts w:hint="eastAsia" w:ascii="宋体" w:hAnsi="宋体" w:cs="宋体"/>
                <w:bCs/>
                <w:sz w:val="24"/>
              </w:rPr>
              <w:t>2块</w:t>
            </w:r>
          </w:p>
        </w:tc>
        <w:tc>
          <w:tcPr>
            <w:tcW w:w="768" w:type="pct"/>
            <w:vAlign w:val="center"/>
          </w:tcPr>
          <w:p w14:paraId="611EF12C">
            <w:pPr>
              <w:widowControl/>
              <w:jc w:val="center"/>
              <w:textAlignment w:val="center"/>
              <w:rPr>
                <w:rFonts w:hint="eastAsia" w:ascii="宋体" w:hAnsi="宋体" w:cs="宋体"/>
                <w:color w:val="000000"/>
                <w:sz w:val="24"/>
              </w:rPr>
            </w:pPr>
          </w:p>
        </w:tc>
      </w:tr>
      <w:tr w14:paraId="1FFCF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Align w:val="center"/>
          </w:tcPr>
          <w:p w14:paraId="3CD5B664">
            <w:pPr>
              <w:widowControl/>
              <w:jc w:val="center"/>
              <w:textAlignment w:val="center"/>
              <w:rPr>
                <w:rFonts w:hint="eastAsia" w:ascii="宋体" w:hAnsi="宋体" w:cs="宋体"/>
                <w:sz w:val="24"/>
              </w:rPr>
            </w:pPr>
            <w:r>
              <w:rPr>
                <w:rFonts w:hint="eastAsia" w:ascii="宋体" w:hAnsi="宋体" w:cs="宋体"/>
                <w:sz w:val="24"/>
              </w:rPr>
              <w:t>4.8.5</w:t>
            </w:r>
          </w:p>
        </w:tc>
        <w:tc>
          <w:tcPr>
            <w:tcW w:w="2407" w:type="pct"/>
            <w:vAlign w:val="center"/>
          </w:tcPr>
          <w:p w14:paraId="57922363">
            <w:pPr>
              <w:widowControl/>
              <w:jc w:val="center"/>
              <w:textAlignment w:val="center"/>
              <w:rPr>
                <w:rFonts w:hint="eastAsia" w:ascii="宋体" w:hAnsi="宋体"/>
                <w:sz w:val="24"/>
              </w:rPr>
            </w:pPr>
            <w:r>
              <w:rPr>
                <w:rFonts w:ascii="宋体" w:hAnsi="宋体" w:cs="宋体"/>
                <w:bCs/>
                <w:sz w:val="24"/>
              </w:rPr>
              <w:t>POE交换机</w:t>
            </w:r>
          </w:p>
        </w:tc>
        <w:tc>
          <w:tcPr>
            <w:tcW w:w="1187" w:type="pct"/>
            <w:vAlign w:val="center"/>
          </w:tcPr>
          <w:p w14:paraId="029616CD">
            <w:pPr>
              <w:widowControl/>
              <w:jc w:val="center"/>
              <w:textAlignment w:val="center"/>
              <w:rPr>
                <w:rFonts w:hint="eastAsia" w:ascii="宋体" w:hAnsi="宋体" w:cs="等线"/>
                <w:color w:val="000000"/>
                <w:kern w:val="0"/>
                <w:sz w:val="24"/>
                <w:lang w:bidi="ar"/>
              </w:rPr>
            </w:pPr>
            <w:r>
              <w:rPr>
                <w:rFonts w:hint="eastAsia" w:ascii="宋体" w:hAnsi="宋体" w:cs="宋体"/>
                <w:bCs/>
                <w:sz w:val="24"/>
              </w:rPr>
              <w:t>1台</w:t>
            </w:r>
          </w:p>
        </w:tc>
        <w:tc>
          <w:tcPr>
            <w:tcW w:w="768" w:type="pct"/>
            <w:vAlign w:val="center"/>
          </w:tcPr>
          <w:p w14:paraId="11F24E9E">
            <w:pPr>
              <w:widowControl/>
              <w:jc w:val="center"/>
              <w:textAlignment w:val="center"/>
              <w:rPr>
                <w:rFonts w:hint="eastAsia" w:ascii="宋体" w:hAnsi="宋体" w:cs="宋体"/>
                <w:color w:val="000000"/>
                <w:sz w:val="24"/>
              </w:rPr>
            </w:pPr>
          </w:p>
        </w:tc>
      </w:tr>
      <w:tr w14:paraId="5D837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Align w:val="center"/>
          </w:tcPr>
          <w:p w14:paraId="5849F834">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4.8.6</w:t>
            </w:r>
          </w:p>
        </w:tc>
        <w:tc>
          <w:tcPr>
            <w:tcW w:w="2407" w:type="pct"/>
            <w:vAlign w:val="center"/>
          </w:tcPr>
          <w:p w14:paraId="201BC10A">
            <w:pPr>
              <w:widowControl/>
              <w:jc w:val="center"/>
              <w:textAlignment w:val="center"/>
              <w:rPr>
                <w:rFonts w:hint="eastAsia" w:ascii="宋体" w:hAnsi="宋体" w:cs="宋体"/>
                <w:color w:val="000000"/>
                <w:kern w:val="0"/>
                <w:sz w:val="24"/>
                <w:lang w:bidi="ar"/>
              </w:rPr>
            </w:pPr>
            <w:r>
              <w:rPr>
                <w:rFonts w:hint="eastAsia" w:ascii="宋体" w:hAnsi="宋体" w:cs="宋体"/>
                <w:bCs/>
                <w:sz w:val="24"/>
              </w:rPr>
              <w:t>网卡</w:t>
            </w:r>
          </w:p>
        </w:tc>
        <w:tc>
          <w:tcPr>
            <w:tcW w:w="1187" w:type="pct"/>
            <w:vAlign w:val="center"/>
          </w:tcPr>
          <w:p w14:paraId="7C42CD11">
            <w:pPr>
              <w:widowControl/>
              <w:jc w:val="center"/>
              <w:textAlignment w:val="center"/>
              <w:rPr>
                <w:rFonts w:hint="eastAsia" w:ascii="宋体" w:hAnsi="宋体" w:cs="等线"/>
                <w:color w:val="000000"/>
                <w:kern w:val="0"/>
                <w:sz w:val="24"/>
                <w:lang w:bidi="ar"/>
              </w:rPr>
            </w:pPr>
            <w:r>
              <w:rPr>
                <w:rFonts w:hint="eastAsia" w:ascii="宋体" w:hAnsi="宋体" w:cs="宋体"/>
                <w:bCs/>
                <w:sz w:val="24"/>
              </w:rPr>
              <w:t>1个</w:t>
            </w:r>
          </w:p>
        </w:tc>
        <w:tc>
          <w:tcPr>
            <w:tcW w:w="768" w:type="pct"/>
            <w:vAlign w:val="center"/>
          </w:tcPr>
          <w:p w14:paraId="5CE128C2">
            <w:pPr>
              <w:widowControl/>
              <w:jc w:val="center"/>
              <w:textAlignment w:val="center"/>
              <w:rPr>
                <w:rFonts w:hint="eastAsia" w:ascii="宋体" w:hAnsi="宋体" w:cs="宋体"/>
                <w:color w:val="000000"/>
                <w:sz w:val="24"/>
              </w:rPr>
            </w:pPr>
          </w:p>
        </w:tc>
      </w:tr>
      <w:tr w14:paraId="30347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Align w:val="center"/>
          </w:tcPr>
          <w:p w14:paraId="0E9D3D39">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4.9</w:t>
            </w:r>
          </w:p>
        </w:tc>
        <w:tc>
          <w:tcPr>
            <w:tcW w:w="4363" w:type="pct"/>
            <w:gridSpan w:val="3"/>
            <w:vAlign w:val="center"/>
          </w:tcPr>
          <w:p w14:paraId="310EE2B3">
            <w:pPr>
              <w:widowControl/>
              <w:jc w:val="center"/>
              <w:textAlignment w:val="center"/>
              <w:rPr>
                <w:rFonts w:hint="eastAsia" w:ascii="宋体" w:hAnsi="宋体" w:cs="宋体"/>
                <w:color w:val="000000"/>
                <w:sz w:val="24"/>
              </w:rPr>
            </w:pPr>
            <w:r>
              <w:rPr>
                <w:rFonts w:hint="eastAsia" w:ascii="宋体" w:hAnsi="宋体" w:cs="宋体"/>
                <w:bCs/>
                <w:sz w:val="24"/>
              </w:rPr>
              <w:t>宣传拼接屏</w:t>
            </w:r>
          </w:p>
        </w:tc>
      </w:tr>
      <w:tr w14:paraId="2145F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Align w:val="center"/>
          </w:tcPr>
          <w:p w14:paraId="54D4BC66">
            <w:pPr>
              <w:widowControl/>
              <w:jc w:val="center"/>
              <w:textAlignment w:val="center"/>
              <w:rPr>
                <w:rFonts w:hint="eastAsia" w:ascii="宋体" w:hAnsi="宋体" w:cs="宋体"/>
                <w:sz w:val="24"/>
              </w:rPr>
            </w:pPr>
            <w:r>
              <w:rPr>
                <w:rFonts w:hint="eastAsia" w:ascii="宋体" w:hAnsi="宋体" w:cs="宋体"/>
                <w:color w:val="000000"/>
                <w:kern w:val="0"/>
                <w:sz w:val="24"/>
                <w:lang w:bidi="ar"/>
              </w:rPr>
              <w:t>4.9</w:t>
            </w:r>
            <w:r>
              <w:rPr>
                <w:rFonts w:hint="eastAsia" w:ascii="宋体" w:hAnsi="宋体" w:cs="宋体"/>
                <w:sz w:val="24"/>
              </w:rPr>
              <w:t>.1</w:t>
            </w:r>
          </w:p>
        </w:tc>
        <w:tc>
          <w:tcPr>
            <w:tcW w:w="2407" w:type="pct"/>
            <w:vAlign w:val="center"/>
          </w:tcPr>
          <w:p w14:paraId="50A1F8CF">
            <w:pPr>
              <w:spacing w:line="360" w:lineRule="auto"/>
              <w:ind w:firstLine="480" w:firstLineChars="200"/>
              <w:contextualSpacing/>
              <w:jc w:val="center"/>
              <w:rPr>
                <w:rFonts w:hint="eastAsia" w:ascii="宋体" w:hAnsi="宋体" w:cs="宋体"/>
                <w:bCs/>
                <w:sz w:val="24"/>
                <w:szCs w:val="22"/>
              </w:rPr>
            </w:pPr>
            <w:r>
              <w:rPr>
                <w:rFonts w:hint="eastAsia" w:ascii="宋体" w:hAnsi="宋体" w:cs="宋体"/>
                <w:bCs/>
                <w:sz w:val="24"/>
                <w:szCs w:val="22"/>
              </w:rPr>
              <w:t>室内宣传拼接屏</w:t>
            </w:r>
          </w:p>
        </w:tc>
        <w:tc>
          <w:tcPr>
            <w:tcW w:w="1187" w:type="pct"/>
            <w:vAlign w:val="center"/>
          </w:tcPr>
          <w:p w14:paraId="34E225D7">
            <w:pPr>
              <w:widowControl/>
              <w:jc w:val="center"/>
              <w:textAlignment w:val="center"/>
              <w:rPr>
                <w:rFonts w:hint="eastAsia" w:ascii="宋体" w:hAnsi="宋体" w:cs="等线"/>
                <w:color w:val="000000"/>
                <w:kern w:val="0"/>
                <w:sz w:val="24"/>
                <w:highlight w:val="yellow"/>
                <w:lang w:bidi="ar"/>
              </w:rPr>
            </w:pPr>
            <w:r>
              <w:rPr>
                <w:rFonts w:hint="eastAsia" w:ascii="宋体" w:hAnsi="宋体" w:cs="宋体"/>
                <w:bCs/>
                <w:sz w:val="24"/>
              </w:rPr>
              <w:t>1套</w:t>
            </w:r>
          </w:p>
        </w:tc>
        <w:tc>
          <w:tcPr>
            <w:tcW w:w="768" w:type="pct"/>
            <w:vAlign w:val="center"/>
          </w:tcPr>
          <w:p w14:paraId="37113B36">
            <w:pPr>
              <w:widowControl/>
              <w:jc w:val="center"/>
              <w:textAlignment w:val="center"/>
              <w:rPr>
                <w:rFonts w:hint="eastAsia" w:ascii="宋体" w:hAnsi="宋体" w:cs="宋体"/>
                <w:color w:val="000000"/>
                <w:sz w:val="24"/>
              </w:rPr>
            </w:pPr>
          </w:p>
        </w:tc>
      </w:tr>
      <w:tr w14:paraId="7CACF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pct"/>
            <w:vAlign w:val="center"/>
          </w:tcPr>
          <w:p w14:paraId="45AAC63A">
            <w:pPr>
              <w:widowControl/>
              <w:jc w:val="center"/>
              <w:textAlignment w:val="center"/>
              <w:rPr>
                <w:rFonts w:hint="eastAsia" w:ascii="宋体" w:hAnsi="宋体" w:cs="宋体"/>
                <w:sz w:val="24"/>
              </w:rPr>
            </w:pPr>
            <w:r>
              <w:rPr>
                <w:rFonts w:hint="eastAsia" w:ascii="宋体" w:hAnsi="宋体" w:cs="宋体"/>
                <w:color w:val="000000"/>
                <w:kern w:val="0"/>
                <w:sz w:val="24"/>
                <w:lang w:bidi="ar"/>
              </w:rPr>
              <w:t>4.9</w:t>
            </w:r>
            <w:r>
              <w:rPr>
                <w:rFonts w:hint="eastAsia" w:ascii="宋体" w:hAnsi="宋体" w:cs="宋体"/>
                <w:sz w:val="24"/>
              </w:rPr>
              <w:t>.2</w:t>
            </w:r>
          </w:p>
        </w:tc>
        <w:tc>
          <w:tcPr>
            <w:tcW w:w="2407" w:type="pct"/>
            <w:vAlign w:val="center"/>
          </w:tcPr>
          <w:p w14:paraId="413675D1">
            <w:pPr>
              <w:spacing w:line="360" w:lineRule="auto"/>
              <w:ind w:firstLine="480" w:firstLineChars="200"/>
              <w:contextualSpacing/>
              <w:jc w:val="center"/>
              <w:rPr>
                <w:rFonts w:hint="eastAsia" w:ascii="宋体" w:hAnsi="宋体" w:cs="宋体"/>
                <w:bCs/>
                <w:sz w:val="24"/>
                <w:szCs w:val="22"/>
              </w:rPr>
            </w:pPr>
            <w:r>
              <w:rPr>
                <w:rFonts w:hint="eastAsia" w:ascii="宋体" w:hAnsi="宋体" w:cs="宋体"/>
                <w:bCs/>
                <w:sz w:val="24"/>
                <w:szCs w:val="22"/>
              </w:rPr>
              <w:t>室外宣传拼接屏</w:t>
            </w:r>
          </w:p>
        </w:tc>
        <w:tc>
          <w:tcPr>
            <w:tcW w:w="1187" w:type="pct"/>
            <w:vAlign w:val="center"/>
          </w:tcPr>
          <w:p w14:paraId="7AA2EBD1">
            <w:pPr>
              <w:widowControl/>
              <w:jc w:val="center"/>
              <w:textAlignment w:val="center"/>
              <w:rPr>
                <w:rFonts w:hint="eastAsia" w:ascii="宋体" w:hAnsi="宋体" w:cs="等线"/>
                <w:color w:val="000000"/>
                <w:kern w:val="0"/>
                <w:sz w:val="24"/>
                <w:lang w:bidi="ar"/>
              </w:rPr>
            </w:pPr>
            <w:r>
              <w:rPr>
                <w:rFonts w:hint="eastAsia" w:ascii="宋体" w:hAnsi="宋体" w:cs="宋体"/>
                <w:bCs/>
                <w:sz w:val="24"/>
              </w:rPr>
              <w:t>1套</w:t>
            </w:r>
          </w:p>
        </w:tc>
        <w:tc>
          <w:tcPr>
            <w:tcW w:w="768" w:type="pct"/>
            <w:vAlign w:val="center"/>
          </w:tcPr>
          <w:p w14:paraId="43FFEAB9">
            <w:pPr>
              <w:widowControl/>
              <w:jc w:val="center"/>
              <w:textAlignment w:val="center"/>
              <w:rPr>
                <w:rFonts w:hint="eastAsia" w:ascii="宋体" w:hAnsi="宋体" w:cs="宋体"/>
                <w:color w:val="000000"/>
                <w:sz w:val="24"/>
              </w:rPr>
            </w:pPr>
          </w:p>
        </w:tc>
      </w:tr>
    </w:tbl>
    <w:p w14:paraId="456AD427">
      <w:pPr>
        <w:spacing w:line="360" w:lineRule="auto"/>
        <w:ind w:firstLine="482" w:firstLineChars="200"/>
        <w:contextualSpacing/>
        <w:jc w:val="left"/>
        <w:rPr>
          <w:rFonts w:hint="eastAsia" w:ascii="宋体" w:hAnsi="宋体" w:cs="宋体"/>
          <w:b/>
          <w:sz w:val="24"/>
          <w:szCs w:val="22"/>
          <w:u w:val="none"/>
        </w:rPr>
      </w:pPr>
      <w:r>
        <w:rPr>
          <w:rFonts w:hint="eastAsia" w:ascii="宋体" w:hAnsi="宋体" w:cs="宋体"/>
          <w:b/>
          <w:sz w:val="24"/>
          <w:szCs w:val="22"/>
          <w:u w:val="none"/>
        </w:rPr>
        <w:t>注：本配置清单为基本配置要求，不得减少配置，投标人可根据设计方案自行增加配置，以满足采购人实际使用需求。</w:t>
      </w:r>
    </w:p>
    <w:p w14:paraId="2EF55965">
      <w:pPr>
        <w:spacing w:line="360" w:lineRule="auto"/>
        <w:ind w:firstLine="480" w:firstLineChars="200"/>
        <w:contextualSpacing/>
        <w:jc w:val="left"/>
        <w:rPr>
          <w:rFonts w:hint="eastAsia" w:ascii="宋体" w:hAnsi="宋体" w:cs="宋体"/>
          <w:bCs/>
          <w:sz w:val="24"/>
          <w:szCs w:val="22"/>
        </w:rPr>
      </w:pPr>
      <w:r>
        <w:rPr>
          <w:rFonts w:hint="eastAsia" w:ascii="宋体" w:hAnsi="宋体" w:cs="宋体"/>
          <w:bCs/>
          <w:sz w:val="24"/>
          <w:szCs w:val="22"/>
          <w:lang w:val="en-US" w:eastAsia="zh-CN"/>
        </w:rPr>
        <w:t>七</w:t>
      </w:r>
      <w:r>
        <w:rPr>
          <w:rFonts w:hint="eastAsia" w:ascii="宋体" w:hAnsi="宋体" w:cs="宋体"/>
          <w:bCs/>
          <w:sz w:val="24"/>
          <w:szCs w:val="22"/>
        </w:rPr>
        <w:t>）其他要求</w:t>
      </w:r>
    </w:p>
    <w:p w14:paraId="18EE6CCE">
      <w:pPr>
        <w:spacing w:line="360" w:lineRule="auto"/>
        <w:ind w:firstLine="480" w:firstLineChars="200"/>
        <w:contextualSpacing/>
        <w:jc w:val="left"/>
        <w:rPr>
          <w:rFonts w:hint="eastAsia" w:ascii="宋体" w:hAnsi="宋体" w:cs="宋体"/>
          <w:bCs/>
          <w:sz w:val="24"/>
          <w:szCs w:val="22"/>
        </w:rPr>
      </w:pPr>
      <w:r>
        <w:rPr>
          <w:rFonts w:hint="eastAsia" w:ascii="宋体" w:hAnsi="宋体" w:cs="宋体"/>
          <w:bCs/>
          <w:sz w:val="24"/>
          <w:szCs w:val="22"/>
        </w:rPr>
        <w:t>1.</w:t>
      </w:r>
      <w:r>
        <w:rPr>
          <w:rFonts w:ascii="宋体" w:hAnsi="宋体" w:cs="宋体"/>
          <w:bCs/>
          <w:sz w:val="24"/>
          <w:szCs w:val="22"/>
        </w:rPr>
        <w:t>投标人应及时向采购人提供与合同设备有关的</w:t>
      </w:r>
      <w:r>
        <w:rPr>
          <w:rFonts w:hint="eastAsia" w:ascii="宋体" w:hAnsi="宋体" w:cs="宋体"/>
          <w:bCs/>
          <w:sz w:val="24"/>
          <w:szCs w:val="22"/>
        </w:rPr>
        <w:t>设计、</w:t>
      </w:r>
      <w:r>
        <w:rPr>
          <w:rFonts w:ascii="宋体" w:hAnsi="宋体" w:cs="宋体"/>
          <w:bCs/>
          <w:sz w:val="24"/>
          <w:szCs w:val="22"/>
        </w:rPr>
        <w:t>制造、监造、检验、安装、调试、验收、试运行、运行、检修、维护、培训等相关的服务、支持、指导。</w:t>
      </w:r>
    </w:p>
    <w:p w14:paraId="08D2F2F8">
      <w:pPr>
        <w:spacing w:line="360" w:lineRule="auto"/>
        <w:ind w:firstLine="480" w:firstLineChars="200"/>
        <w:contextualSpacing/>
        <w:jc w:val="left"/>
        <w:rPr>
          <w:rFonts w:hint="eastAsia" w:ascii="宋体" w:hAnsi="宋体" w:cs="宋体"/>
          <w:bCs/>
          <w:sz w:val="24"/>
          <w:szCs w:val="22"/>
        </w:rPr>
      </w:pPr>
      <w:r>
        <w:rPr>
          <w:rFonts w:hint="eastAsia" w:ascii="宋体" w:hAnsi="宋体" w:cs="宋体"/>
          <w:bCs/>
          <w:sz w:val="24"/>
          <w:szCs w:val="22"/>
        </w:rPr>
        <w:t>2.</w:t>
      </w:r>
      <w:r>
        <w:rPr>
          <w:rFonts w:ascii="宋体" w:hAnsi="宋体" w:cs="宋体"/>
          <w:bCs/>
          <w:sz w:val="24"/>
          <w:szCs w:val="22"/>
        </w:rPr>
        <w:t>投标人应提供</w:t>
      </w:r>
      <w:r>
        <w:rPr>
          <w:rFonts w:hint="eastAsia" w:ascii="宋体" w:hAnsi="宋体" w:cs="宋体"/>
          <w:bCs/>
          <w:sz w:val="24"/>
          <w:szCs w:val="22"/>
        </w:rPr>
        <w:t>本项目</w:t>
      </w:r>
      <w:r>
        <w:rPr>
          <w:rFonts w:ascii="宋体" w:hAnsi="宋体" w:cs="宋体"/>
          <w:bCs/>
          <w:sz w:val="24"/>
          <w:szCs w:val="22"/>
        </w:rPr>
        <w:t>约定的技术服务，并保证任务质量。在接到采购人需要到现场进行技术服务的通知后，投标人应在24小时内作出响应且以书面形式一次性告知采购人必要的进场条件（如有），并且按采购人要求的时间派技术服务人员到现场。未能到场视为技术服务未通过采购人验收扣除违约金。</w:t>
      </w:r>
    </w:p>
    <w:p w14:paraId="441A0CE0">
      <w:pPr>
        <w:spacing w:line="360" w:lineRule="auto"/>
        <w:ind w:firstLine="480" w:firstLineChars="200"/>
        <w:contextualSpacing/>
        <w:jc w:val="left"/>
        <w:rPr>
          <w:rFonts w:hint="eastAsia" w:ascii="宋体" w:hAnsi="宋体"/>
          <w:sz w:val="24"/>
          <w:szCs w:val="22"/>
        </w:rPr>
      </w:pPr>
      <w:r>
        <w:rPr>
          <w:rFonts w:hint="eastAsia" w:ascii="宋体" w:hAnsi="宋体"/>
          <w:sz w:val="24"/>
          <w:szCs w:val="22"/>
        </w:rPr>
        <w:t>3.投标人应在交付合同设备的同时，交付采购人随机的备品备件（如有），备品备件的种类、规格</w:t>
      </w:r>
      <w:r>
        <w:rPr>
          <w:rFonts w:ascii="宋体" w:hAnsi="宋体"/>
          <w:sz w:val="24"/>
          <w:szCs w:val="22"/>
        </w:rPr>
        <w:t>/型号、数量应与货物所用数量相同。</w:t>
      </w:r>
      <w:r>
        <w:rPr>
          <w:rFonts w:hint="eastAsia" w:ascii="宋体" w:hAnsi="宋体"/>
          <w:sz w:val="24"/>
          <w:szCs w:val="22"/>
        </w:rPr>
        <w:t>投标人承诺</w:t>
      </w:r>
      <w:r>
        <w:rPr>
          <w:rFonts w:ascii="宋体" w:hAnsi="宋体"/>
          <w:sz w:val="24"/>
          <w:szCs w:val="22"/>
        </w:rPr>
        <w:t>提供下列与随机配件有关的材料、通知和资料：在随机配件停止生产的情况下，投标人应事先将要停止生产的计划通知采购人使采购人有足够的时间采购所需的随机配件</w:t>
      </w:r>
      <w:r>
        <w:rPr>
          <w:rFonts w:hint="eastAsia" w:ascii="宋体" w:hAnsi="宋体"/>
          <w:sz w:val="24"/>
          <w:szCs w:val="22"/>
        </w:rPr>
        <w:t>。</w:t>
      </w:r>
    </w:p>
    <w:p w14:paraId="1EEDDCD9">
      <w:pPr>
        <w:spacing w:line="360" w:lineRule="auto"/>
        <w:ind w:firstLine="480" w:firstLineChars="200"/>
        <w:contextualSpacing/>
        <w:jc w:val="left"/>
        <w:rPr>
          <w:rFonts w:hint="eastAsia" w:ascii="宋体" w:hAnsi="宋体" w:cs="宋体"/>
          <w:bCs/>
          <w:sz w:val="24"/>
          <w:szCs w:val="22"/>
        </w:rPr>
      </w:pPr>
      <w:r>
        <w:rPr>
          <w:rFonts w:hint="eastAsia" w:ascii="宋体" w:hAnsi="宋体" w:cs="宋体"/>
          <w:bCs/>
          <w:sz w:val="24"/>
          <w:szCs w:val="22"/>
        </w:rPr>
        <w:t>4.投标人应根据招标文件采购需求在投标文件中提供详细的设计方案、项目实施方案、售后服务方案及培训方案。</w:t>
      </w:r>
      <w:r>
        <w:rPr>
          <w:rFonts w:ascii="宋体" w:hAnsi="宋体" w:cs="宋体"/>
          <w:bCs/>
          <w:sz w:val="24"/>
          <w:szCs w:val="22"/>
        </w:rPr>
        <w:t>‌‌</w:t>
      </w:r>
    </w:p>
    <w:p w14:paraId="6CB906B5">
      <w:pPr>
        <w:spacing w:line="360" w:lineRule="auto"/>
        <w:ind w:firstLine="480" w:firstLineChars="200"/>
        <w:contextualSpacing/>
        <w:jc w:val="left"/>
        <w:rPr>
          <w:rFonts w:hint="eastAsia" w:asciiTheme="minorEastAsia" w:hAnsiTheme="minorEastAsia" w:eastAsiaTheme="minorEastAsia"/>
          <w:bCs/>
          <w:sz w:val="24"/>
          <w:szCs w:val="22"/>
        </w:rPr>
      </w:pPr>
      <w:r>
        <w:rPr>
          <w:rFonts w:hint="eastAsia" w:asciiTheme="minorEastAsia" w:hAnsiTheme="minorEastAsia" w:eastAsiaTheme="minorEastAsia"/>
          <w:bCs/>
          <w:sz w:val="24"/>
          <w:szCs w:val="22"/>
        </w:rPr>
        <w:t>（三）售后服务</w:t>
      </w:r>
    </w:p>
    <w:p w14:paraId="0BDCE38B">
      <w:pPr>
        <w:spacing w:line="360" w:lineRule="auto"/>
        <w:ind w:firstLine="480" w:firstLineChars="200"/>
        <w:rPr>
          <w:rFonts w:hint="eastAsia" w:ascii="宋体" w:hAnsi="宋体" w:cs="宋体"/>
          <w:color w:val="333333"/>
          <w:kern w:val="0"/>
          <w:sz w:val="24"/>
        </w:rPr>
      </w:pPr>
      <w:r>
        <w:rPr>
          <w:rFonts w:hint="eastAsia" w:asciiTheme="minorEastAsia" w:hAnsiTheme="minorEastAsia" w:eastAsiaTheme="minorEastAsia"/>
          <w:bCs/>
          <w:sz w:val="24"/>
        </w:rPr>
        <w:t>货物质量保证期：≥</w:t>
      </w:r>
      <w:r>
        <w:rPr>
          <w:rFonts w:hint="eastAsia" w:ascii="宋体" w:hAnsi="宋体" w:cs="宋体"/>
          <w:color w:val="333333"/>
          <w:kern w:val="0"/>
          <w:sz w:val="24"/>
        </w:rPr>
        <w:t>24个月，自方舱验收合格之日起计算。</w:t>
      </w:r>
    </w:p>
    <w:p w14:paraId="4C60E99D">
      <w:pPr>
        <w:spacing w:line="360" w:lineRule="auto"/>
        <w:ind w:firstLine="480" w:firstLineChars="200"/>
        <w:rPr>
          <w:rFonts w:hint="eastAsia" w:ascii="宋体" w:hAnsi="宋体" w:cs="宋体"/>
          <w:color w:val="333333"/>
          <w:kern w:val="0"/>
          <w:sz w:val="24"/>
        </w:rPr>
      </w:pPr>
      <w:r>
        <w:rPr>
          <w:rFonts w:hint="eastAsia" w:ascii="宋体" w:hAnsi="宋体" w:cs="宋体"/>
          <w:color w:val="333333"/>
          <w:kern w:val="0"/>
          <w:sz w:val="24"/>
        </w:rPr>
        <w:t>投标人应保证其提供的合同设备是全新的、未使用过的，并在各方面符合合同规定的质量、规格和性能要求。投标人应保证其提供的合同设备经过正确安装、维护保养，在产品寿命期内一切性能达到国家法律、法规、部门规章、政策性文件、本合同的要求。在合同规定的质量保证期内，投标人应对由于设计、制造工艺或材料的缺陷而造成的任何产品缺陷或故障负责。</w:t>
      </w:r>
    </w:p>
    <w:p w14:paraId="021269CD">
      <w:pPr>
        <w:spacing w:line="360" w:lineRule="auto"/>
        <w:ind w:firstLine="480" w:firstLineChars="200"/>
        <w:rPr>
          <w:rFonts w:hint="eastAsia" w:ascii="宋体" w:hAnsi="宋体" w:cs="宋体"/>
          <w:color w:val="333333"/>
          <w:kern w:val="0"/>
          <w:sz w:val="24"/>
        </w:rPr>
      </w:pPr>
      <w:r>
        <w:rPr>
          <w:rFonts w:hint="eastAsia" w:ascii="宋体" w:hAnsi="宋体" w:cs="宋体"/>
          <w:color w:val="333333"/>
          <w:kern w:val="0"/>
          <w:sz w:val="24"/>
        </w:rPr>
        <w:t>投标人应保证在合同约定的质量保证期内提供合同内及国家法律、法规、部门规章、政策性文件规定的保修、维修服务。若未按以上要求提供相关服务而造成的损失，不论直接或间接的损失及其他相关索赔均由投标人承担。</w:t>
      </w:r>
    </w:p>
    <w:p w14:paraId="60671429">
      <w:pPr>
        <w:spacing w:line="360" w:lineRule="auto"/>
        <w:ind w:firstLine="480" w:firstLineChars="200"/>
        <w:rPr>
          <w:rFonts w:hint="eastAsia" w:ascii="宋体" w:hAnsi="宋体" w:cs="宋体"/>
          <w:color w:val="333333"/>
          <w:kern w:val="0"/>
          <w:sz w:val="24"/>
        </w:rPr>
      </w:pPr>
      <w:r>
        <w:rPr>
          <w:rFonts w:hint="eastAsia" w:ascii="宋体" w:hAnsi="宋体" w:cs="宋体"/>
          <w:color w:val="333333"/>
          <w:kern w:val="0"/>
          <w:sz w:val="24"/>
        </w:rPr>
        <w:t>在质量保证期内，采购人将尽快以书面形式通知投标人所发现的缺陷。投标人收到通知后应在合同规定的时间内以合理的速度免费维修或更换有缺陷的合同设备或部件。如果投标人收到通知后在合同规定的时间内（48小时）没有以合理的速度弥补缺陷，采购人可采取必要的补救措施，但其风险和费用将由投标人负责，采购人根据合同规定对投标人行使的权利不受影响。</w:t>
      </w:r>
    </w:p>
    <w:p w14:paraId="3D4904B3">
      <w:pPr>
        <w:spacing w:line="360" w:lineRule="auto"/>
        <w:ind w:firstLine="480" w:firstLineChars="200"/>
        <w:rPr>
          <w:rFonts w:hint="eastAsia" w:ascii="宋体" w:hAnsi="宋体" w:cs="宋体"/>
          <w:sz w:val="24"/>
        </w:rPr>
      </w:pPr>
      <w:r>
        <w:rPr>
          <w:rFonts w:hint="eastAsia" w:ascii="宋体" w:hAnsi="宋体" w:cs="宋体"/>
          <w:color w:val="333333"/>
          <w:kern w:val="0"/>
          <w:sz w:val="24"/>
        </w:rPr>
        <w:t>投标人接到采购人报修通知后，应在12小时内响应，不能远程处理的需48小时内到达现场完成维修工作。</w:t>
      </w:r>
    </w:p>
    <w:p w14:paraId="7DB1CEA0">
      <w:pPr>
        <w:pStyle w:val="11"/>
        <w:spacing w:line="360" w:lineRule="auto"/>
        <w:ind w:firstLine="480"/>
        <w:contextualSpacing/>
        <w:jc w:val="left"/>
        <w:rPr>
          <w:rFonts w:hint="eastAsia" w:ascii="宋体" w:hAnsi="宋体"/>
          <w:bCs/>
          <w:sz w:val="24"/>
        </w:rPr>
      </w:pPr>
      <w:r>
        <w:rPr>
          <w:rFonts w:hint="eastAsia" w:ascii="宋体" w:hAnsi="宋体"/>
          <w:bCs/>
          <w:sz w:val="24"/>
        </w:rPr>
        <w:t>（四）验收标准：详见第六章  拟签订的合同文本</w:t>
      </w:r>
    </w:p>
    <w:p w14:paraId="3B142264">
      <w:pPr>
        <w:spacing w:line="360" w:lineRule="auto"/>
        <w:ind w:firstLine="480" w:firstLineChars="200"/>
        <w:contextualSpacing/>
        <w:jc w:val="left"/>
        <w:rPr>
          <w:rFonts w:hint="eastAsia" w:ascii="宋体" w:hAnsi="宋体"/>
          <w:bCs/>
          <w:sz w:val="24"/>
          <w:szCs w:val="22"/>
        </w:rPr>
      </w:pPr>
      <w:r>
        <w:rPr>
          <w:rFonts w:hint="eastAsia" w:ascii="宋体" w:hAnsi="宋体"/>
          <w:bCs/>
          <w:sz w:val="24"/>
          <w:szCs w:val="22"/>
        </w:rPr>
        <w:t>（五）采购标的的其他技术、服务等要求：</w:t>
      </w:r>
    </w:p>
    <w:p w14:paraId="5E573B4B">
      <w:pPr>
        <w:spacing w:line="360" w:lineRule="auto"/>
        <w:ind w:firstLine="480" w:firstLineChars="200"/>
        <w:contextualSpacing/>
        <w:jc w:val="left"/>
        <w:rPr>
          <w:rFonts w:hint="eastAsia" w:ascii="宋体" w:hAnsi="宋体"/>
          <w:bCs/>
          <w:sz w:val="24"/>
          <w:szCs w:val="22"/>
        </w:rPr>
      </w:pPr>
      <w:r>
        <w:rPr>
          <w:rFonts w:hint="eastAsia" w:ascii="宋体" w:hAnsi="宋体"/>
          <w:bCs/>
          <w:sz w:val="24"/>
          <w:szCs w:val="22"/>
        </w:rPr>
        <w:t>1.标注“#”的指标为重要的技术指标，不满足将导致其在第四章评标标准中“对采购需求的响应情况”被扣除相应分值。</w:t>
      </w:r>
    </w:p>
    <w:p w14:paraId="3A0A8C2F">
      <w:pPr>
        <w:widowControl/>
        <w:spacing w:line="360" w:lineRule="auto"/>
        <w:ind w:firstLine="480" w:firstLineChars="200"/>
        <w:contextualSpacing/>
        <w:jc w:val="left"/>
        <w:rPr>
          <w:b/>
          <w:sz w:val="36"/>
          <w:szCs w:val="36"/>
        </w:rPr>
      </w:pPr>
      <w:r>
        <w:rPr>
          <w:rFonts w:hint="eastAsia" w:ascii="宋体" w:hAnsi="宋体"/>
          <w:bCs/>
          <w:sz w:val="24"/>
          <w:szCs w:val="22"/>
        </w:rPr>
        <w:t>2.对于技术规格中标注“#”号的技术指标，投标人须在投标文件中按照招标文件技术规格的要求提供证明材料，其中证明材料指需提供产品</w:t>
      </w:r>
      <w:r>
        <w:rPr>
          <w:rFonts w:hint="eastAsia" w:ascii="宋体" w:hAnsi="宋体"/>
          <w:bCs/>
          <w:sz w:val="24"/>
          <w:szCs w:val="22"/>
          <w:lang w:val="en-US" w:eastAsia="zh-CN"/>
        </w:rPr>
        <w:t>彩页或</w:t>
      </w:r>
      <w:r>
        <w:rPr>
          <w:rFonts w:hint="eastAsia" w:ascii="宋体" w:hAnsi="宋体"/>
          <w:bCs/>
          <w:sz w:val="24"/>
          <w:szCs w:val="22"/>
        </w:rPr>
        <w:t>说明书或检测机构出具的检验/检测报告</w:t>
      </w:r>
      <w:r>
        <w:rPr>
          <w:rFonts w:hint="eastAsia" w:ascii="宋体" w:hAnsi="宋体"/>
          <w:bCs/>
          <w:sz w:val="24"/>
          <w:szCs w:val="22"/>
          <w:lang w:val="en-US" w:eastAsia="zh-CN"/>
        </w:rPr>
        <w:t>等</w:t>
      </w:r>
      <w:r>
        <w:rPr>
          <w:rFonts w:hint="eastAsia" w:ascii="宋体" w:hAnsi="宋体"/>
          <w:bCs/>
          <w:sz w:val="24"/>
          <w:szCs w:val="22"/>
        </w:rPr>
        <w:t>。对于投标人提供的投标文件技术应答未按本条款要求提供投标产品证明材料的，评标委员会可不予承认，并可认为该技术应答不符合招标文件要求。由此产生的风险由投标人承担。</w:t>
      </w:r>
    </w:p>
    <w:p w14:paraId="6BA05D65">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851098"/>
    <w:multiLevelType w:val="multilevel"/>
    <w:tmpl w:val="13851098"/>
    <w:lvl w:ilvl="0" w:tentative="0">
      <w:start w:val="1"/>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7175E7"/>
    <w:rsid w:val="158445FD"/>
    <w:rsid w:val="1829020E"/>
    <w:rsid w:val="30DD752B"/>
    <w:rsid w:val="40BE1BF9"/>
    <w:rsid w:val="518855B2"/>
    <w:rsid w:val="56624473"/>
    <w:rsid w:val="570A507F"/>
    <w:rsid w:val="62BF6114"/>
    <w:rsid w:val="78624C65"/>
    <w:rsid w:val="7EF82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semiHidden/>
    <w:unhideWhenUsed/>
    <w:qFormat/>
    <w:uiPriority w:val="0"/>
    <w:pPr>
      <w:spacing w:before="100" w:beforeAutospacing="1" w:after="100" w:afterAutospacing="1"/>
      <w:jc w:val="left"/>
      <w:outlineLvl w:val="1"/>
    </w:pPr>
    <w:rPr>
      <w:rFonts w:hint="eastAsia" w:ascii="宋体" w:hAnsi="宋体" w:eastAsia="华文仿宋" w:cs="宋体"/>
      <w:b/>
      <w:kern w:val="0"/>
      <w:sz w:val="28"/>
      <w:szCs w:val="36"/>
      <w:lang w:bidi="ar"/>
    </w:rPr>
  </w:style>
  <w:style w:type="paragraph" w:styleId="4">
    <w:name w:val="heading 3"/>
    <w:basedOn w:val="1"/>
    <w:next w:val="1"/>
    <w:link w:val="10"/>
    <w:semiHidden/>
    <w:unhideWhenUsed/>
    <w:qFormat/>
    <w:uiPriority w:val="0"/>
    <w:pPr>
      <w:keepNext/>
      <w:keepLines/>
      <w:pBdr>
        <w:top w:val="none" w:color="auto" w:sz="0" w:space="1"/>
        <w:left w:val="none" w:color="auto" w:sz="0" w:space="4"/>
        <w:bottom w:val="none" w:color="auto" w:sz="0" w:space="1"/>
        <w:right w:val="none" w:color="auto" w:sz="0" w:space="4"/>
      </w:pBdr>
      <w:autoSpaceDE w:val="0"/>
      <w:autoSpaceDN w:val="0"/>
      <w:adjustRightInd w:val="0"/>
      <w:spacing w:before="360" w:after="120"/>
      <w:jc w:val="left"/>
      <w:outlineLvl w:val="2"/>
    </w:pPr>
    <w:rPr>
      <w:rFonts w:ascii="宋体" w:hAnsi="宋体" w:eastAsia="宋体" w:cs="Times New Roman"/>
      <w:b/>
      <w:kern w:val="0"/>
      <w:sz w:val="24"/>
      <w:szCs w:val="20"/>
      <w:u w:val="single"/>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2"/>
    <w:basedOn w:val="1"/>
    <w:qFormat/>
    <w:uiPriority w:val="0"/>
    <w:pPr>
      <w:spacing w:after="120" w:afterLines="0" w:afterAutospacing="0" w:line="480" w:lineRule="auto"/>
    </w:pPr>
  </w:style>
  <w:style w:type="paragraph" w:styleId="5">
    <w:name w:val="Normal Indent"/>
    <w:basedOn w:val="1"/>
    <w:qFormat/>
    <w:uiPriority w:val="0"/>
    <w:pPr>
      <w:autoSpaceDE w:val="0"/>
      <w:autoSpaceDN w:val="0"/>
      <w:adjustRightInd w:val="0"/>
      <w:ind w:firstLine="420"/>
      <w:jc w:val="left"/>
    </w:pPr>
    <w:rPr>
      <w:rFonts w:ascii="宋体"/>
      <w:sz w:val="24"/>
    </w:rPr>
  </w:style>
  <w:style w:type="paragraph" w:styleId="6">
    <w:name w:val="toc 2"/>
    <w:basedOn w:val="1"/>
    <w:next w:val="1"/>
    <w:qFormat/>
    <w:uiPriority w:val="0"/>
    <w:pPr>
      <w:ind w:left="420" w:leftChars="200"/>
    </w:pPr>
  </w:style>
  <w:style w:type="character" w:styleId="9">
    <w:name w:val="Hyperlink"/>
    <w:qFormat/>
    <w:uiPriority w:val="0"/>
    <w:rPr>
      <w:rFonts w:ascii="Times New Roman" w:hAnsi="Times New Roman" w:eastAsia="宋体"/>
      <w:color w:val="0000FF"/>
      <w:u w:val="single"/>
    </w:rPr>
  </w:style>
  <w:style w:type="character" w:customStyle="1" w:styleId="10">
    <w:name w:val="标题 3 字符2"/>
    <w:link w:val="4"/>
    <w:qFormat/>
    <w:uiPriority w:val="9"/>
    <w:rPr>
      <w:rFonts w:ascii="宋体" w:hAnsi="宋体" w:eastAsia="宋体" w:cs="Times New Roman"/>
      <w:b/>
      <w:bCs/>
      <w:sz w:val="22"/>
      <w:szCs w:val="32"/>
      <w:u w:val="none"/>
    </w:rPr>
  </w:style>
  <w:style w:type="paragraph" w:customStyle="1" w:styleId="11">
    <w:name w:val="列出段落1"/>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2022-02-16T00:34:00Z</dcterms:created>
  <dc:creator>Win10</dc:creator>
  <cp:lastModifiedBy>用户</cp:lastModifiedBy>
  <dcterms:modified xsi:type="dcterms:W3CDTF">2026-08-04T03:19:06Z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79C27083D0B341C8A3A65D4C91BCDA55</vt:lpwstr>
  </property>
  <property fmtid="{D5CDD505-2E9C-101B-9397-08002B2CF9AE}" pid="4" name="KSOTemplateDocerSaveRecord">
    <vt:lpwstr>eyJoZGlkIjoiNDM0NjI5NmI2YTJkZjcyNjQ4YTRjZjliZTQxZjVhYTAiLCJ1c2VySWQiOiIyOTI2NjUzMzQifQ==</vt:lpwstr>
  </property>
</Properties>
</file>