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48A86">
      <w:pPr>
        <w:widowControl w:val="0"/>
        <w:tabs>
          <w:tab w:val="left" w:pos="1630"/>
        </w:tabs>
        <w:autoSpaceDE w:val="0"/>
        <w:autoSpaceDN w:val="0"/>
        <w:spacing w:line="360" w:lineRule="auto"/>
        <w:jc w:val="center"/>
        <w:outlineLvl w:val="0"/>
        <w:rPr>
          <w:rFonts w:hint="eastAsia" w:ascii="宋体" w:hAnsi="宋体" w:eastAsia="宋体" w:cs="宋体"/>
          <w:b/>
          <w:bCs/>
          <w:sz w:val="36"/>
          <w:szCs w:val="36"/>
          <w:highlight w:val="none"/>
          <w:lang w:val="en-US" w:eastAsia="zh-CN" w:bidi="ar-SA"/>
        </w:rPr>
      </w:pPr>
      <w:r>
        <w:rPr>
          <w:rFonts w:hint="eastAsia" w:ascii="宋体" w:hAnsi="宋体" w:eastAsia="宋体" w:cs="宋体"/>
          <w:b/>
          <w:bCs/>
          <w:sz w:val="36"/>
          <w:szCs w:val="36"/>
          <w:highlight w:val="none"/>
          <w:lang w:val="en-US" w:eastAsia="zh-CN" w:bidi="ar-SA"/>
        </w:rPr>
        <w:t>采购需求</w:t>
      </w:r>
    </w:p>
    <w:p w14:paraId="7E6859AD">
      <w:pPr>
        <w:autoSpaceDE w:val="0"/>
        <w:autoSpaceDN w:val="0"/>
        <w:jc w:val="left"/>
        <w:rPr>
          <w:rFonts w:hint="eastAsia" w:ascii="宋体" w:hAnsi="宋体" w:eastAsia="宋体" w:cs="宋体"/>
          <w:kern w:val="0"/>
          <w:sz w:val="22"/>
          <w:szCs w:val="22"/>
          <w:highlight w:val="none"/>
          <w:lang w:eastAsia="zh-CN"/>
        </w:rPr>
      </w:pPr>
    </w:p>
    <w:p w14:paraId="157180E3">
      <w:pPr>
        <w:widowControl w:val="0"/>
        <w:autoSpaceDE w:val="0"/>
        <w:autoSpaceDN w:val="0"/>
        <w:spacing w:before="1"/>
        <w:ind w:left="121"/>
        <w:rPr>
          <w:rFonts w:hint="eastAsia" w:ascii="宋体" w:hAnsi="宋体" w:eastAsia="宋体" w:cs="宋体"/>
          <w:b/>
          <w:bCs/>
          <w:sz w:val="24"/>
          <w:szCs w:val="24"/>
          <w:highlight w:val="none"/>
          <w:lang w:val="en-US" w:eastAsia="zh-CN" w:bidi="ar-SA"/>
        </w:rPr>
      </w:pPr>
      <w:r>
        <w:rPr>
          <w:rFonts w:hint="eastAsia" w:ascii="宋体" w:hAnsi="宋体" w:eastAsia="宋体" w:cs="宋体"/>
          <w:b/>
          <w:bCs/>
          <w:sz w:val="24"/>
          <w:szCs w:val="24"/>
          <w:highlight w:val="none"/>
          <w:lang w:val="en-US" w:eastAsia="zh-CN" w:bidi="ar-SA"/>
        </w:rPr>
        <w:t>一、采购标的</w:t>
      </w:r>
    </w:p>
    <w:p w14:paraId="5C5BBC5C">
      <w:pPr>
        <w:widowControl w:val="0"/>
        <w:tabs>
          <w:tab w:val="left" w:pos="470"/>
          <w:tab w:val="left" w:pos="7040"/>
        </w:tabs>
        <w:autoSpaceDE w:val="0"/>
        <w:autoSpaceDN w:val="0"/>
        <w:spacing w:before="154" w:line="360" w:lineRule="auto"/>
        <w:ind w:left="121" w:right="1830" w:firstLine="269" w:firstLineChars="100"/>
        <w:rPr>
          <w:rFonts w:hint="eastAsia" w:ascii="宋体" w:hAnsi="宋体" w:eastAsia="宋体" w:cs="宋体"/>
          <w:sz w:val="24"/>
          <w:szCs w:val="22"/>
          <w:highlight w:val="none"/>
          <w:lang w:val="en-US" w:eastAsia="zh-CN" w:bidi="ar-SA"/>
        </w:rPr>
      </w:pPr>
      <w:r>
        <w:rPr>
          <w:rFonts w:hint="eastAsia" w:ascii="宋体" w:hAnsi="宋体" w:eastAsia="宋体" w:cs="宋体"/>
          <w:spacing w:val="-2"/>
          <w:w w:val="114"/>
          <w:sz w:val="24"/>
          <w:szCs w:val="24"/>
          <w:highlight w:val="none"/>
          <w:lang w:val="en-US" w:eastAsia="zh-CN" w:bidi="ar-SA"/>
        </w:rPr>
        <w:t>1.</w:t>
      </w:r>
      <w:r>
        <w:rPr>
          <w:rFonts w:hint="eastAsia" w:ascii="宋体" w:hAnsi="宋体" w:eastAsia="宋体" w:cs="宋体"/>
          <w:sz w:val="24"/>
          <w:szCs w:val="22"/>
          <w:highlight w:val="none"/>
          <w:lang w:val="en-US" w:eastAsia="zh-CN" w:bidi="ar-SA"/>
        </w:rPr>
        <w:t>采购标的（</w:t>
      </w:r>
      <w:r>
        <w:rPr>
          <w:rFonts w:ascii="宋体" w:hAnsi="宋体" w:eastAsia="宋体" w:cs="宋体"/>
          <w:bCs/>
          <w:sz w:val="24"/>
          <w:szCs w:val="22"/>
          <w:highlight w:val="none"/>
          <w:lang w:val="en-US" w:eastAsia="zh-CN" w:bidi="ar-SA"/>
        </w:rPr>
        <w:t>货物</w:t>
      </w:r>
      <w:r>
        <w:rPr>
          <w:rFonts w:hint="eastAsia" w:ascii="宋体" w:hAnsi="宋体" w:eastAsia="宋体" w:cs="宋体"/>
          <w:sz w:val="24"/>
          <w:szCs w:val="22"/>
          <w:highlight w:val="none"/>
          <w:lang w:val="en-US" w:eastAsia="zh-CN" w:bidi="ar-SA"/>
        </w:rPr>
        <w:t>需求一览表）</w:t>
      </w:r>
    </w:p>
    <w:tbl>
      <w:tblPr>
        <w:tblStyle w:val="2"/>
        <w:tblW w:w="449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69"/>
        <w:gridCol w:w="3377"/>
        <w:gridCol w:w="1077"/>
        <w:gridCol w:w="2145"/>
      </w:tblGrid>
      <w:tr w14:paraId="11FB1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blHeader/>
          <w:jc w:val="center"/>
        </w:trPr>
        <w:tc>
          <w:tcPr>
            <w:tcW w:w="582" w:type="pct"/>
            <w:tcBorders>
              <w:top w:val="single" w:color="000000" w:sz="4" w:space="0"/>
              <w:left w:val="single" w:color="000000" w:sz="4" w:space="0"/>
              <w:bottom w:val="single" w:color="000000" w:sz="4" w:space="0"/>
              <w:right w:val="single" w:color="000000" w:sz="4" w:space="0"/>
            </w:tcBorders>
            <w:vAlign w:val="center"/>
          </w:tcPr>
          <w:p w14:paraId="59A0DD60">
            <w:pPr>
              <w:widowControl w:val="0"/>
              <w:autoSpaceDE w:val="0"/>
              <w:autoSpaceDN w:val="0"/>
              <w:jc w:val="center"/>
              <w:rPr>
                <w:rFonts w:hint="eastAsia" w:ascii="宋体" w:hAnsi="宋体" w:eastAsia="宋体" w:cs="宋体"/>
                <w:b/>
                <w:bCs/>
                <w:sz w:val="24"/>
                <w:szCs w:val="24"/>
                <w:highlight w:val="none"/>
                <w:lang w:val="en-US" w:eastAsia="zh-CN" w:bidi="ar-SA"/>
              </w:rPr>
            </w:pPr>
            <w:bookmarkStart w:id="0" w:name="RANGE!J9"/>
            <w:r>
              <w:rPr>
                <w:rFonts w:hint="eastAsia" w:ascii="宋体" w:hAnsi="宋体" w:eastAsia="宋体" w:cs="宋体"/>
                <w:b/>
                <w:bCs/>
                <w:sz w:val="24"/>
                <w:szCs w:val="24"/>
                <w:highlight w:val="none"/>
                <w:lang w:val="en-US" w:eastAsia="zh-CN" w:bidi="ar-SA"/>
              </w:rPr>
              <w:t>包号</w:t>
            </w:r>
            <w:bookmarkEnd w:id="0"/>
          </w:p>
        </w:tc>
        <w:tc>
          <w:tcPr>
            <w:tcW w:w="2261" w:type="pct"/>
            <w:tcBorders>
              <w:top w:val="single" w:color="000000" w:sz="4" w:space="0"/>
              <w:left w:val="single" w:color="000000" w:sz="4" w:space="0"/>
              <w:bottom w:val="single" w:color="000000" w:sz="4" w:space="0"/>
              <w:right w:val="single" w:color="000000" w:sz="4" w:space="0"/>
            </w:tcBorders>
            <w:vAlign w:val="center"/>
          </w:tcPr>
          <w:p w14:paraId="72602B88">
            <w:pPr>
              <w:widowControl w:val="0"/>
              <w:autoSpaceDE w:val="0"/>
              <w:autoSpaceDN w:val="0"/>
              <w:jc w:val="center"/>
              <w:rPr>
                <w:rFonts w:hint="eastAsia" w:ascii="宋体" w:hAnsi="宋体" w:eastAsia="宋体" w:cs="宋体"/>
                <w:b/>
                <w:bCs/>
                <w:sz w:val="24"/>
                <w:szCs w:val="24"/>
                <w:highlight w:val="none"/>
                <w:lang w:val="en-US" w:eastAsia="zh-CN" w:bidi="ar-SA"/>
              </w:rPr>
            </w:pPr>
            <w:r>
              <w:rPr>
                <w:rFonts w:hint="eastAsia" w:ascii="宋体" w:hAnsi="宋体" w:eastAsia="宋体" w:cs="宋体"/>
                <w:b/>
                <w:bCs/>
                <w:sz w:val="24"/>
                <w:szCs w:val="24"/>
                <w:highlight w:val="none"/>
                <w:lang w:val="en-US" w:eastAsia="zh-CN" w:bidi="ar-SA"/>
              </w:rPr>
              <w:t>标的名称</w:t>
            </w:r>
          </w:p>
        </w:tc>
        <w:tc>
          <w:tcPr>
            <w:tcW w:w="721" w:type="pct"/>
            <w:tcBorders>
              <w:top w:val="single" w:color="000000" w:sz="4" w:space="0"/>
              <w:left w:val="single" w:color="000000" w:sz="4" w:space="0"/>
              <w:bottom w:val="single" w:color="000000" w:sz="4" w:space="0"/>
              <w:right w:val="single" w:color="000000" w:sz="4" w:space="0"/>
            </w:tcBorders>
            <w:vAlign w:val="center"/>
          </w:tcPr>
          <w:p w14:paraId="501FA6E4">
            <w:pPr>
              <w:widowControl w:val="0"/>
              <w:autoSpaceDE w:val="0"/>
              <w:autoSpaceDN w:val="0"/>
              <w:jc w:val="center"/>
              <w:rPr>
                <w:rFonts w:hint="eastAsia" w:ascii="宋体" w:hAnsi="宋体" w:eastAsia="宋体" w:cs="宋体"/>
                <w:b/>
                <w:bCs/>
                <w:sz w:val="24"/>
                <w:szCs w:val="24"/>
                <w:highlight w:val="none"/>
                <w:lang w:val="en-US" w:eastAsia="en-US" w:bidi="ar-SA"/>
              </w:rPr>
            </w:pPr>
            <w:r>
              <w:rPr>
                <w:rFonts w:hint="eastAsia" w:ascii="宋体" w:hAnsi="宋体" w:eastAsia="宋体" w:cs="宋体"/>
                <w:b/>
                <w:bCs/>
                <w:sz w:val="24"/>
                <w:szCs w:val="24"/>
                <w:highlight w:val="none"/>
                <w:lang w:val="en-US" w:eastAsia="en-US" w:bidi="ar-SA"/>
              </w:rPr>
              <w:t>数量</w:t>
            </w:r>
          </w:p>
        </w:tc>
        <w:tc>
          <w:tcPr>
            <w:tcW w:w="1435" w:type="pct"/>
            <w:tcBorders>
              <w:top w:val="single" w:color="000000" w:sz="4" w:space="0"/>
              <w:left w:val="single" w:color="000000" w:sz="4" w:space="0"/>
              <w:bottom w:val="single" w:color="000000" w:sz="4" w:space="0"/>
              <w:right w:val="single" w:color="000000" w:sz="4" w:space="0"/>
            </w:tcBorders>
            <w:vAlign w:val="center"/>
          </w:tcPr>
          <w:p w14:paraId="7D085EFF">
            <w:pPr>
              <w:widowControl w:val="0"/>
              <w:autoSpaceDE w:val="0"/>
              <w:autoSpaceDN w:val="0"/>
              <w:jc w:val="center"/>
              <w:rPr>
                <w:rFonts w:hint="eastAsia" w:ascii="宋体" w:hAnsi="宋体" w:eastAsia="宋体" w:cs="宋体"/>
                <w:b/>
                <w:bCs/>
                <w:sz w:val="24"/>
                <w:szCs w:val="24"/>
                <w:highlight w:val="none"/>
                <w:lang w:val="en-US" w:eastAsia="zh-CN" w:bidi="ar-SA"/>
              </w:rPr>
            </w:pPr>
            <w:r>
              <w:rPr>
                <w:rFonts w:hint="eastAsia" w:ascii="宋体" w:hAnsi="宋体" w:eastAsia="宋体" w:cs="宋体"/>
                <w:b/>
                <w:bCs/>
                <w:sz w:val="24"/>
                <w:szCs w:val="24"/>
                <w:highlight w:val="none"/>
                <w:lang w:val="en-US" w:eastAsia="zh-CN" w:bidi="ar-SA"/>
              </w:rPr>
              <w:t>是否允许采购进口产品</w:t>
            </w:r>
          </w:p>
        </w:tc>
      </w:tr>
      <w:tr w14:paraId="6AEA2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blHeader/>
          <w:jc w:val="center"/>
        </w:trPr>
        <w:tc>
          <w:tcPr>
            <w:tcW w:w="582" w:type="pct"/>
            <w:tcBorders>
              <w:top w:val="single" w:color="000000" w:sz="4" w:space="0"/>
              <w:left w:val="single" w:color="000000" w:sz="4" w:space="0"/>
              <w:right w:val="single" w:color="000000" w:sz="4" w:space="0"/>
            </w:tcBorders>
            <w:vAlign w:val="center"/>
          </w:tcPr>
          <w:p w14:paraId="182F8111">
            <w:pPr>
              <w:widowControl w:val="0"/>
              <w:autoSpaceDE w:val="0"/>
              <w:autoSpaceDN w:val="0"/>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w:t>
            </w:r>
          </w:p>
        </w:tc>
        <w:tc>
          <w:tcPr>
            <w:tcW w:w="2261" w:type="pct"/>
            <w:tcBorders>
              <w:top w:val="single" w:color="000000" w:sz="4" w:space="0"/>
              <w:left w:val="single" w:color="000000" w:sz="4" w:space="0"/>
              <w:bottom w:val="single" w:color="000000" w:sz="4" w:space="0"/>
              <w:right w:val="single" w:color="000000" w:sz="4" w:space="0"/>
            </w:tcBorders>
            <w:vAlign w:val="center"/>
          </w:tcPr>
          <w:p w14:paraId="41B2A09A">
            <w:pPr>
              <w:widowControl/>
              <w:autoSpaceDE w:val="0"/>
              <w:autoSpaceDN w:val="0"/>
              <w:jc w:val="center"/>
              <w:textAlignment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石景山院区2、4号楼电梯更新</w:t>
            </w:r>
          </w:p>
        </w:tc>
        <w:tc>
          <w:tcPr>
            <w:tcW w:w="721" w:type="pct"/>
            <w:tcBorders>
              <w:top w:val="single" w:color="000000" w:sz="4" w:space="0"/>
              <w:left w:val="single" w:color="000000" w:sz="4" w:space="0"/>
              <w:bottom w:val="single" w:color="000000" w:sz="4" w:space="0"/>
              <w:right w:val="single" w:color="000000" w:sz="4" w:space="0"/>
            </w:tcBorders>
            <w:vAlign w:val="center"/>
          </w:tcPr>
          <w:p w14:paraId="405F130E">
            <w:pPr>
              <w:widowControl/>
              <w:autoSpaceDE w:val="0"/>
              <w:autoSpaceDN w:val="0"/>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4台</w:t>
            </w:r>
          </w:p>
        </w:tc>
        <w:tc>
          <w:tcPr>
            <w:tcW w:w="1435" w:type="pct"/>
            <w:tcBorders>
              <w:top w:val="single" w:color="000000" w:sz="4" w:space="0"/>
              <w:left w:val="single" w:color="000000" w:sz="4" w:space="0"/>
              <w:bottom w:val="single" w:color="000000" w:sz="4" w:space="0"/>
              <w:right w:val="single" w:color="000000" w:sz="4" w:space="0"/>
            </w:tcBorders>
            <w:vAlign w:val="center"/>
          </w:tcPr>
          <w:p w14:paraId="41CCA9F8">
            <w:pPr>
              <w:widowControl/>
              <w:autoSpaceDE w:val="0"/>
              <w:autoSpaceDN w:val="0"/>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否</w:t>
            </w:r>
          </w:p>
        </w:tc>
      </w:tr>
    </w:tbl>
    <w:p w14:paraId="0837546C">
      <w:pPr>
        <w:widowControl w:val="0"/>
        <w:tabs>
          <w:tab w:val="left" w:pos="1197"/>
        </w:tabs>
        <w:autoSpaceDE w:val="0"/>
        <w:autoSpaceDN w:val="0"/>
        <w:spacing w:before="120" w:beforeLines="50" w:line="360" w:lineRule="auto"/>
        <w:ind w:left="0" w:right="232" w:firstLine="0"/>
        <w:jc w:val="both"/>
        <w:rPr>
          <w:rFonts w:hint="eastAsia" w:ascii="宋体" w:hAnsi="宋体" w:eastAsia="宋体" w:cs="宋体"/>
          <w:b/>
          <w:bCs/>
          <w:sz w:val="24"/>
          <w:szCs w:val="22"/>
          <w:highlight w:val="none"/>
          <w:lang w:val="en-US" w:eastAsia="zh-CN" w:bidi="ar-SA"/>
        </w:rPr>
      </w:pPr>
      <w:r>
        <w:rPr>
          <w:rFonts w:hint="eastAsia" w:ascii="宋体" w:hAnsi="宋体" w:eastAsia="宋体" w:cs="宋体"/>
          <w:b/>
          <w:bCs/>
          <w:sz w:val="24"/>
          <w:szCs w:val="22"/>
          <w:highlight w:val="none"/>
          <w:lang w:val="en-US" w:eastAsia="zh-CN" w:bidi="ar-SA"/>
        </w:rPr>
        <w:t>二、商务要求</w:t>
      </w:r>
    </w:p>
    <w:p w14:paraId="6457014C">
      <w:pPr>
        <w:widowControl w:val="0"/>
        <w:tabs>
          <w:tab w:val="left" w:pos="1197"/>
        </w:tabs>
        <w:autoSpaceDE w:val="0"/>
        <w:autoSpaceDN w:val="0"/>
        <w:spacing w:before="0" w:line="360" w:lineRule="auto"/>
        <w:ind w:left="0" w:right="233" w:firstLine="0"/>
        <w:jc w:val="both"/>
        <w:rPr>
          <w:rFonts w:hint="eastAsia" w:ascii="宋体" w:hAnsi="宋体" w:eastAsia="宋体" w:cs="宋体"/>
          <w:bCs/>
          <w:sz w:val="24"/>
          <w:szCs w:val="24"/>
          <w:highlight w:val="none"/>
          <w:lang w:val="en-US" w:eastAsia="zh-CN" w:bidi="ar-SA"/>
        </w:rPr>
      </w:pPr>
      <w:r>
        <w:rPr>
          <w:rFonts w:hint="eastAsia" w:ascii="宋体" w:hAnsi="宋体" w:eastAsia="宋体" w:cs="宋体"/>
          <w:b/>
          <w:bCs/>
          <w:sz w:val="24"/>
          <w:szCs w:val="24"/>
          <w:highlight w:val="none"/>
          <w:lang w:val="en-US" w:eastAsia="zh-CN" w:bidi="ar-SA"/>
        </w:rPr>
        <w:t>1.采购项目交付或者服务的时间和地点</w:t>
      </w:r>
      <w:r>
        <w:rPr>
          <w:rFonts w:hint="eastAsia" w:ascii="宋体" w:hAnsi="宋体" w:eastAsia="宋体" w:cs="宋体"/>
          <w:bCs/>
          <w:sz w:val="24"/>
          <w:szCs w:val="24"/>
          <w:highlight w:val="none"/>
          <w:lang w:val="en-US" w:eastAsia="zh-CN" w:bidi="ar-SA"/>
        </w:rPr>
        <w:t>：</w:t>
      </w:r>
    </w:p>
    <w:p w14:paraId="52D828BB">
      <w:pPr>
        <w:autoSpaceDE w:val="0"/>
        <w:autoSpaceDN w:val="0"/>
        <w:spacing w:line="360" w:lineRule="auto"/>
        <w:ind w:firstLine="480" w:firstLineChars="200"/>
        <w:contextualSpacing/>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1.1.</w:t>
      </w:r>
      <w:r>
        <w:rPr>
          <w:rFonts w:ascii="宋体" w:hAnsi="宋体" w:eastAsia="宋体" w:cs="宋体"/>
          <w:kern w:val="0"/>
          <w:sz w:val="24"/>
          <w:szCs w:val="22"/>
          <w:highlight w:val="none"/>
          <w:lang w:eastAsia="zh-CN"/>
        </w:rPr>
        <w:t>交付</w:t>
      </w:r>
      <w:r>
        <w:rPr>
          <w:rFonts w:hint="eastAsia" w:ascii="宋体" w:hAnsi="宋体" w:eastAsia="宋体" w:cs="宋体"/>
          <w:bCs/>
          <w:kern w:val="0"/>
          <w:sz w:val="24"/>
          <w:szCs w:val="24"/>
          <w:highlight w:val="none"/>
          <w:lang w:eastAsia="zh-CN"/>
        </w:rPr>
        <w:t>时间：合同签订后3个月内</w:t>
      </w:r>
    </w:p>
    <w:p w14:paraId="547C0322">
      <w:pPr>
        <w:autoSpaceDE w:val="0"/>
        <w:autoSpaceDN w:val="0"/>
        <w:spacing w:line="360" w:lineRule="auto"/>
        <w:ind w:left="2138" w:leftChars="218" w:hanging="1680" w:hangingChars="700"/>
        <w:contextualSpacing/>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1.2.</w:t>
      </w:r>
      <w:r>
        <w:rPr>
          <w:rFonts w:ascii="宋体" w:hAnsi="宋体" w:eastAsia="宋体" w:cs="宋体"/>
          <w:kern w:val="0"/>
          <w:sz w:val="24"/>
          <w:szCs w:val="22"/>
          <w:highlight w:val="none"/>
          <w:lang w:eastAsia="zh-CN"/>
        </w:rPr>
        <w:t>交付</w:t>
      </w:r>
      <w:r>
        <w:rPr>
          <w:rFonts w:hint="eastAsia" w:ascii="宋体" w:hAnsi="宋体" w:eastAsia="宋体" w:cs="宋体"/>
          <w:bCs/>
          <w:kern w:val="0"/>
          <w:sz w:val="24"/>
          <w:szCs w:val="24"/>
          <w:highlight w:val="none"/>
          <w:lang w:eastAsia="zh-CN"/>
        </w:rPr>
        <w:t>地点：北京市石景山区京原路5号</w:t>
      </w:r>
    </w:p>
    <w:p w14:paraId="41B45A22">
      <w:pPr>
        <w:widowControl w:val="0"/>
        <w:tabs>
          <w:tab w:val="left" w:pos="1197"/>
        </w:tabs>
        <w:autoSpaceDE w:val="0"/>
        <w:autoSpaceDN w:val="0"/>
        <w:spacing w:before="0" w:line="360" w:lineRule="auto"/>
        <w:ind w:left="0" w:right="233" w:firstLine="0"/>
        <w:jc w:val="both"/>
        <w:rPr>
          <w:rFonts w:hint="eastAsia" w:ascii="宋体" w:hAnsi="宋体" w:eastAsia="宋体" w:cs="宋体"/>
          <w:sz w:val="24"/>
          <w:szCs w:val="24"/>
          <w:highlight w:val="none"/>
          <w:lang w:val="en-US" w:eastAsia="zh-CN" w:bidi="ar-SA"/>
        </w:rPr>
      </w:pPr>
      <w:r>
        <w:rPr>
          <w:rFonts w:hint="eastAsia" w:ascii="宋体" w:hAnsi="宋体" w:eastAsia="宋体" w:cs="宋体"/>
          <w:b/>
          <w:bCs/>
          <w:sz w:val="24"/>
          <w:szCs w:val="24"/>
          <w:highlight w:val="none"/>
          <w:lang w:val="en-US" w:eastAsia="zh-CN" w:bidi="ar-SA"/>
        </w:rPr>
        <w:t>2.付款条件（进度和方式）</w:t>
      </w:r>
      <w:r>
        <w:rPr>
          <w:rFonts w:hint="eastAsia" w:ascii="宋体" w:hAnsi="宋体" w:eastAsia="宋体" w:cs="宋体"/>
          <w:sz w:val="24"/>
          <w:szCs w:val="24"/>
          <w:highlight w:val="none"/>
          <w:lang w:val="en-US" w:eastAsia="zh-CN" w:bidi="ar-SA"/>
        </w:rPr>
        <w:t>：详见“拟签订的合同文本”</w:t>
      </w:r>
    </w:p>
    <w:p w14:paraId="2A3BD64D">
      <w:pPr>
        <w:widowControl w:val="0"/>
        <w:autoSpaceDE w:val="0"/>
        <w:autoSpaceDN w:val="0"/>
        <w:spacing w:line="360" w:lineRule="auto"/>
        <w:rPr>
          <w:rFonts w:hint="eastAsia" w:ascii="宋体" w:hAnsi="宋体" w:eastAsia="宋体" w:cs="宋体"/>
          <w:b/>
          <w:bCs/>
          <w:sz w:val="24"/>
          <w:szCs w:val="24"/>
          <w:highlight w:val="none"/>
          <w:lang w:val="en-US" w:eastAsia="zh-CN" w:bidi="ar-SA"/>
        </w:rPr>
      </w:pPr>
      <w:r>
        <w:rPr>
          <w:rFonts w:hint="eastAsia" w:ascii="宋体" w:hAnsi="宋体" w:eastAsia="宋体" w:cs="宋体"/>
          <w:b/>
          <w:bCs/>
          <w:sz w:val="24"/>
          <w:szCs w:val="24"/>
          <w:highlight w:val="none"/>
          <w:lang w:val="en-US" w:eastAsia="zh-CN" w:bidi="ar-SA"/>
        </w:rPr>
        <w:t>3.包装和运输（如适用，须满足《关于印发〈商品包装政府采购需求标准（试行）〉、〈快递包装政府采购需求标准（试行）〉的通知》（财办库﹝2020﹞123号））</w:t>
      </w:r>
    </w:p>
    <w:p w14:paraId="5ABD27F8">
      <w:pPr>
        <w:widowControl w:val="0"/>
        <w:autoSpaceDE w:val="0"/>
        <w:autoSpaceDN w:val="0"/>
        <w:spacing w:line="360" w:lineRule="auto"/>
        <w:rPr>
          <w:rFonts w:hint="eastAsia" w:ascii="宋体" w:hAnsi="宋体" w:eastAsia="宋体" w:cs="宋体"/>
          <w:sz w:val="24"/>
          <w:szCs w:val="24"/>
          <w:highlight w:val="none"/>
          <w:lang w:val="en-US" w:eastAsia="zh-CN" w:bidi="ar-SA"/>
        </w:rPr>
      </w:pPr>
      <w:r>
        <w:rPr>
          <w:rFonts w:hint="eastAsia" w:ascii="宋体" w:hAnsi="宋体" w:eastAsia="宋体" w:cs="宋体"/>
          <w:b/>
          <w:bCs/>
          <w:sz w:val="24"/>
          <w:szCs w:val="24"/>
          <w:highlight w:val="none"/>
          <w:lang w:val="en-US" w:eastAsia="zh-CN" w:bidi="ar-SA"/>
        </w:rPr>
        <w:t>4.质保服务：</w:t>
      </w:r>
      <w:r>
        <w:rPr>
          <w:rFonts w:hint="eastAsia" w:ascii="宋体" w:hAnsi="宋体" w:eastAsia="宋体" w:cs="宋体"/>
          <w:sz w:val="24"/>
          <w:szCs w:val="24"/>
          <w:highlight w:val="none"/>
          <w:lang w:val="en-US" w:eastAsia="zh-CN" w:bidi="ar-SA"/>
        </w:rPr>
        <w:t>自取得《电梯监督检验报告》之日起计算，为期3年，</w:t>
      </w:r>
      <w:r>
        <w:rPr>
          <w:rFonts w:hint="eastAsia" w:ascii="宋体" w:hAnsi="宋体" w:eastAsia="宋体" w:cs="宋体"/>
          <w:sz w:val="24"/>
          <w:szCs w:val="24"/>
          <w:highlight w:val="none"/>
          <w:lang w:val="en-US" w:eastAsia="en-US" w:bidi="ar-SA"/>
        </w:rPr>
        <w:t>其中免费保养2年</w:t>
      </w:r>
      <w:r>
        <w:rPr>
          <w:rFonts w:hint="eastAsia" w:ascii="宋体" w:hAnsi="宋体" w:eastAsia="宋体" w:cs="宋体"/>
          <w:sz w:val="24"/>
          <w:szCs w:val="24"/>
          <w:highlight w:val="none"/>
          <w:lang w:val="en-US" w:eastAsia="zh-CN" w:bidi="ar-SA"/>
        </w:rPr>
        <w:t>。</w:t>
      </w:r>
    </w:p>
    <w:p w14:paraId="3C57D330">
      <w:pPr>
        <w:autoSpaceDE w:val="0"/>
        <w:autoSpaceDN w:val="0"/>
        <w:spacing w:line="360" w:lineRule="auto"/>
        <w:contextualSpacing/>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三、技术要求</w:t>
      </w:r>
    </w:p>
    <w:p w14:paraId="239706D5">
      <w:pPr>
        <w:autoSpaceDE w:val="0"/>
        <w:autoSpaceDN w:val="0"/>
        <w:spacing w:line="360" w:lineRule="auto"/>
        <w:ind w:firstLine="241" w:firstLineChars="100"/>
        <w:contextualSpacing/>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1. 基本要求</w:t>
      </w:r>
    </w:p>
    <w:p w14:paraId="5D9FC8E0">
      <w:pPr>
        <w:autoSpaceDE w:val="0"/>
        <w:autoSpaceDN w:val="0"/>
        <w:spacing w:line="360" w:lineRule="auto"/>
        <w:ind w:firstLine="241" w:firstLineChars="100"/>
        <w:contextualSpacing/>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1.1 采购标的需实现的功能或者目标</w:t>
      </w:r>
    </w:p>
    <w:p w14:paraId="1B11DF63">
      <w:pPr>
        <w:autoSpaceDE w:val="0"/>
        <w:autoSpaceDN w:val="0"/>
        <w:spacing w:line="360" w:lineRule="auto"/>
        <w:ind w:firstLine="480" w:firstLineChars="200"/>
        <w:contextualSpacing/>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本次为首都医科大学附属北京朝阳医院石景山院区2、4号楼老旧电梯更新，包括但不限于电梯供应及安装，电梯相关部件的拆除、电梯深化设计、供应、运输、仓储、卸货、安装、调试及最终交付验收，交付使用质保工作、售后服务等，以及部分土建恢复（装饰面按原状恢复）、施工垃圾处理等。</w:t>
      </w:r>
    </w:p>
    <w:p w14:paraId="4382C61C">
      <w:pPr>
        <w:autoSpaceDE w:val="0"/>
        <w:autoSpaceDN w:val="0"/>
        <w:spacing w:line="360" w:lineRule="auto"/>
        <w:ind w:firstLine="241" w:firstLineChars="100"/>
        <w:contextualSpacing/>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1.2 需执行的国家相关标准、行业标准、地方标准或者其他标准、规范</w:t>
      </w:r>
    </w:p>
    <w:p w14:paraId="2C799985">
      <w:pPr>
        <w:autoSpaceDE w:val="0"/>
        <w:autoSpaceDN w:val="0"/>
        <w:spacing w:line="360" w:lineRule="auto"/>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（1）招标范围内的供应货物及安装工程应符合现行的国家、地方、行业相关规范、标准和规程。</w:t>
      </w:r>
    </w:p>
    <w:p w14:paraId="11381FC8">
      <w:pPr>
        <w:keepNext/>
        <w:autoSpaceDE w:val="0"/>
        <w:autoSpaceDN w:val="0"/>
        <w:spacing w:line="360" w:lineRule="auto"/>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（2）适用规范和标准的其他要求：</w:t>
      </w:r>
    </w:p>
    <w:p w14:paraId="481B9FAC">
      <w:pPr>
        <w:autoSpaceDE w:val="0"/>
        <w:autoSpaceDN w:val="0"/>
        <w:spacing w:line="360" w:lineRule="auto"/>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1）相关文件</w:t>
      </w:r>
    </w:p>
    <w:p w14:paraId="66168C47">
      <w:pPr>
        <w:autoSpaceDE w:val="0"/>
        <w:autoSpaceDN w:val="0"/>
        <w:spacing w:line="360" w:lineRule="auto"/>
        <w:ind w:firstLine="42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合约的各种图纸及合约的条件,包括基本要求及补充条件、以及国家行业标准所列的其它条件，适用于本部分。</w:t>
      </w:r>
    </w:p>
    <w:p w14:paraId="195AACC0">
      <w:pPr>
        <w:autoSpaceDE w:val="0"/>
        <w:autoSpaceDN w:val="0"/>
        <w:spacing w:line="360" w:lineRule="auto"/>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2）电梯设备及安装应满足的标准</w:t>
      </w:r>
    </w:p>
    <w:p w14:paraId="5601504A">
      <w:pPr>
        <w:autoSpaceDE w:val="0"/>
        <w:autoSpaceDN w:val="0"/>
        <w:spacing w:line="360" w:lineRule="auto"/>
        <w:ind w:firstLine="42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所有设备、材料的供应和施工，必须符合但不限于下列各机关、部门所发的</w:t>
      </w:r>
      <w:r>
        <w:rPr>
          <w:rFonts w:hint="eastAsia" w:ascii="宋体" w:hAnsi="宋体" w:eastAsia="宋体" w:cs="宋体"/>
          <w:b/>
          <w:bCs/>
          <w:kern w:val="0"/>
          <w:sz w:val="24"/>
          <w:szCs w:val="24"/>
          <w:highlight w:val="none"/>
          <w:lang w:eastAsia="zh-CN" w:bidi="en-US"/>
        </w:rPr>
        <w:t>最新</w:t>
      </w:r>
      <w:r>
        <w:rPr>
          <w:rFonts w:hint="eastAsia" w:ascii="宋体" w:hAnsi="宋体" w:eastAsia="宋体" w:cs="宋体"/>
          <w:kern w:val="0"/>
          <w:sz w:val="24"/>
          <w:szCs w:val="24"/>
          <w:highlight w:val="none"/>
          <w:lang w:eastAsia="zh-CN" w:bidi="en-US"/>
        </w:rPr>
        <w:t>的法定职责、条例、标准、施工准则和业务条例，以下仅供参考</w:t>
      </w:r>
      <w:r>
        <w:rPr>
          <w:rFonts w:hint="eastAsia" w:ascii="宋体" w:hAnsi="宋体" w:eastAsia="宋体" w:cs="宋体"/>
          <w:b/>
          <w:bCs/>
          <w:kern w:val="0"/>
          <w:sz w:val="24"/>
          <w:szCs w:val="24"/>
          <w:highlight w:val="none"/>
          <w:lang w:eastAsia="zh-CN" w:bidi="en-US"/>
        </w:rPr>
        <w:t>如有新规定按照新的规定执行</w:t>
      </w:r>
      <w:r>
        <w:rPr>
          <w:rFonts w:hint="eastAsia" w:ascii="宋体" w:hAnsi="宋体" w:eastAsia="宋体" w:cs="宋体"/>
          <w:kern w:val="0"/>
          <w:sz w:val="24"/>
          <w:szCs w:val="24"/>
          <w:highlight w:val="none"/>
          <w:lang w:eastAsia="zh-CN" w:bidi="en-US"/>
        </w:rPr>
        <w:t>。</w:t>
      </w:r>
    </w:p>
    <w:p w14:paraId="202097F7">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BG T8903－2024《电梯用钢丝绳标准》</w:t>
      </w:r>
    </w:p>
    <w:p w14:paraId="0DF2625A">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BG/T7588.1－2020《电梯制造与安装安全规范 第 1 部分：乘客电梯和载货电梯》</w:t>
      </w:r>
    </w:p>
    <w:p w14:paraId="541CD9EE">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GB/T 7025.1-2023《电梯主参数及轿厢、井道、机房的型式与尺寸 第 1 部分：Ⅰ、Ⅱ、Ⅲ、Ⅵ 类电梯》</w:t>
      </w:r>
    </w:p>
    <w:p w14:paraId="6CC9279E">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GB/T 7025.2-2008《电梯主参数及轿厢、井道、机房的型式与尺寸 第2部分》GB/T10058-2023《电梯技术条件》</w:t>
      </w:r>
    </w:p>
    <w:p w14:paraId="44743C9D">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GB/T10059-2023《电梯试验方法》</w:t>
      </w:r>
    </w:p>
    <w:p w14:paraId="518925D9">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GB/T24478-2023 《电梯曳引机》</w:t>
      </w:r>
    </w:p>
    <w:p w14:paraId="6DB22FE4">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GB/T10060-2023《电梯安全验收规范》</w:t>
      </w:r>
    </w:p>
    <w:p w14:paraId="65CB514D">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 50310-2002《电梯工程施工质量验收规范》</w:t>
      </w:r>
    </w:p>
    <w:p w14:paraId="6E16B5CE">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 50169 - 2016等《电气装置安装工程接地装置施工及验收规范》</w:t>
      </w:r>
    </w:p>
    <w:p w14:paraId="6F7D5EF5">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GB/T12974.1-2023《交流电梯电动机通用技术条件第1部分：三相异步电动机》  GB/T12974.2-2023《交流电梯电动机通用技术条件第2部分：永磁同步电动机》</w:t>
      </w:r>
    </w:p>
    <w:p w14:paraId="12AA6096">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bidi="en-US"/>
        </w:rPr>
        <w:t>GB/T 30560－2014《电梯操作装置、信号及附件》</w:t>
      </w:r>
    </w:p>
    <w:p w14:paraId="033E8F9B">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 55037-2022《建筑防火通用规范》</w:t>
      </w:r>
    </w:p>
    <w:p w14:paraId="5ACE4B27">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GB/T 22562-2008《电梯 T 型导轨》</w:t>
      </w:r>
    </w:p>
    <w:p w14:paraId="3F96CEDE">
      <w:pPr>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GB/T 26465-2021《消防员电梯制造与安装安全规范》</w:t>
      </w:r>
    </w:p>
    <w:p w14:paraId="1D7BA129">
      <w:pPr>
        <w:widowControl/>
        <w:autoSpaceDE w:val="0"/>
        <w:autoSpaceDN w:val="0"/>
        <w:spacing w:line="360" w:lineRule="auto"/>
        <w:ind w:left="420" w:leftChars="200" w:firstLine="4"/>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GB/T 28621-2023《安装于现有建筑物中的新电梯制造与安装安全规范》</w:t>
      </w:r>
    </w:p>
    <w:p w14:paraId="44C5373B">
      <w:pPr>
        <w:autoSpaceDE w:val="0"/>
        <w:autoSpaceDN w:val="0"/>
        <w:spacing w:line="360" w:lineRule="auto"/>
        <w:ind w:firstLine="424"/>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u w:val="single"/>
          <w:lang w:eastAsia="zh-CN" w:bidi="ar"/>
        </w:rPr>
        <w:t>《市场监督管理总局办公厅关于进一步做好住宅老旧电梯更新有关工作的通知》</w:t>
      </w:r>
      <w:r>
        <w:rPr>
          <w:rFonts w:hint="eastAsia" w:ascii="宋体" w:hAnsi="宋体" w:eastAsia="宋体" w:cs="宋体"/>
          <w:kern w:val="0"/>
          <w:sz w:val="24"/>
          <w:szCs w:val="24"/>
          <w:highlight w:val="none"/>
          <w:lang w:eastAsia="zh-CN" w:bidi="en-US"/>
        </w:rPr>
        <w:t xml:space="preserve"> </w:t>
      </w:r>
    </w:p>
    <w:p w14:paraId="12C8915E">
      <w:pPr>
        <w:widowControl w:val="0"/>
        <w:autoSpaceDE w:val="0"/>
        <w:autoSpaceDN w:val="0"/>
        <w:spacing w:after="120" w:line="360" w:lineRule="auto"/>
        <w:ind w:left="0" w:leftChars="0" w:firstLine="480" w:firstLineChars="200"/>
        <w:rPr>
          <w:rFonts w:hint="eastAsia" w:ascii="宋体" w:hAnsi="宋体" w:eastAsia="宋体" w:cs="宋体"/>
          <w:sz w:val="24"/>
          <w:szCs w:val="24"/>
          <w:highlight w:val="none"/>
          <w:u w:val="single"/>
          <w:lang w:val="en-US" w:eastAsia="zh-CN" w:bidi="ar"/>
        </w:rPr>
      </w:pPr>
      <w:r>
        <w:rPr>
          <w:rFonts w:hint="eastAsia" w:ascii="宋体" w:hAnsi="宋体" w:eastAsia="宋体" w:cs="宋体"/>
          <w:sz w:val="24"/>
          <w:szCs w:val="24"/>
          <w:highlight w:val="none"/>
          <w:u w:val="single"/>
          <w:lang w:val="en-US" w:eastAsia="zh-CN" w:bidi="ar"/>
        </w:rPr>
        <w:t>市监特设发(2025】52号《市场监管总局办公厅关于进一步做好住宅老旧电梯更新有关工作的通知》内容及附件1：纳入超长期特别国债资金支持的更新电梯专项要求、附件2：纳入超长期特别国债资金支持的更新电梯检验附加要求</w:t>
      </w:r>
    </w:p>
    <w:p w14:paraId="30C1DC40">
      <w:pPr>
        <w:autoSpaceDE w:val="0"/>
        <w:autoSpaceDN w:val="0"/>
        <w:spacing w:line="360" w:lineRule="auto"/>
        <w:ind w:firstLine="420"/>
        <w:jc w:val="left"/>
        <w:rPr>
          <w:rFonts w:hint="eastAsia" w:ascii="宋体" w:hAnsi="宋体" w:eastAsia="宋体" w:cs="宋体"/>
          <w:kern w:val="0"/>
          <w:sz w:val="22"/>
          <w:szCs w:val="21"/>
          <w:highlight w:val="none"/>
          <w:lang w:eastAsia="zh-CN" w:bidi="en-US"/>
        </w:rPr>
      </w:pPr>
      <w:bookmarkStart w:id="7" w:name="_GoBack"/>
      <w:r>
        <w:rPr>
          <w:rFonts w:hint="eastAsia" w:ascii="宋体" w:hAnsi="宋体" w:eastAsia="宋体" w:cs="宋体"/>
          <w:kern w:val="0"/>
          <w:sz w:val="22"/>
          <w:szCs w:val="21"/>
          <w:highlight w:val="none"/>
          <w:lang w:eastAsia="en-US" w:bidi="en-US"/>
        </w:rPr>
        <w:object>
          <v:shape id="_x0000_i1025" o:spt="75" type="#_x0000_t75" style="height:65.3pt;width:72.85pt;" o:ole="t" filled="f" o:preferrelative="t" stroked="f" coordsize="21600,21600">
            <v:path/>
            <v:fill on="f" focussize="0,0"/>
            <v:stroke on="f" joinstyle="miter"/>
            <v:imagedata r:id="rId5" o:title=""/>
            <o:lock v:ext="edit" aspectratio="t"/>
            <w10:wrap type="none"/>
            <w10:anchorlock/>
          </v:shape>
          <o:OLEObject Type="Embed" ProgID="Package" ShapeID="_x0000_i1025" DrawAspect="Icon" ObjectID="_1468075725" r:id="rId4">
            <o:LockedField>false</o:LockedField>
          </o:OLEObject>
        </w:object>
      </w:r>
      <w:bookmarkEnd w:id="7"/>
      <w:r>
        <w:rPr>
          <w:rFonts w:hint="eastAsia" w:ascii="宋体" w:hAnsi="宋体" w:eastAsia="宋体" w:cs="宋体"/>
          <w:kern w:val="0"/>
          <w:sz w:val="22"/>
          <w:szCs w:val="21"/>
          <w:highlight w:val="none"/>
          <w:lang w:eastAsia="zh-CN" w:bidi="en-US"/>
        </w:rPr>
        <w:t xml:space="preserve">       </w:t>
      </w:r>
      <w:r>
        <w:rPr>
          <w:rFonts w:hint="eastAsia" w:ascii="宋体" w:hAnsi="宋体" w:eastAsia="宋体" w:cs="宋体"/>
          <w:kern w:val="0"/>
          <w:sz w:val="22"/>
          <w:szCs w:val="21"/>
          <w:highlight w:val="none"/>
          <w:lang w:eastAsia="en-US" w:bidi="en-US"/>
        </w:rPr>
        <w:object>
          <v:shape id="_x0000_i1026" o:spt="75" type="#_x0000_t75" style="height:65.3pt;width:72.85pt;" o:ole="t" filled="f" o:preferrelative="t" stroked="f" coordsize="21600,21600">
            <v:path/>
            <v:fill on="f" focussize="0,0"/>
            <v:stroke on="f" joinstyle="miter"/>
            <v:imagedata r:id="rId7" o:title=""/>
            <o:lock v:ext="edit" aspectratio="t"/>
            <w10:wrap type="none"/>
            <w10:anchorlock/>
          </v:shape>
          <o:OLEObject Type="Embed" ProgID="Package" ShapeID="_x0000_i1026" DrawAspect="Icon" ObjectID="_1468075726" r:id="rId6">
            <o:LockedField>false</o:LockedField>
          </o:OLEObject>
        </w:object>
      </w:r>
      <w:r>
        <w:rPr>
          <w:rFonts w:hint="eastAsia" w:ascii="宋体" w:hAnsi="宋体" w:eastAsia="宋体" w:cs="宋体"/>
          <w:kern w:val="0"/>
          <w:sz w:val="22"/>
          <w:szCs w:val="21"/>
          <w:highlight w:val="none"/>
          <w:lang w:eastAsia="zh-CN" w:bidi="en-US"/>
        </w:rPr>
        <w:t xml:space="preserve">     </w:t>
      </w:r>
      <w:r>
        <w:rPr>
          <w:rFonts w:hint="eastAsia" w:ascii="宋体" w:hAnsi="宋体" w:eastAsia="宋体" w:cs="宋体"/>
          <w:kern w:val="0"/>
          <w:sz w:val="22"/>
          <w:szCs w:val="21"/>
          <w:highlight w:val="none"/>
          <w:lang w:eastAsia="en-US" w:bidi="en-US"/>
        </w:rPr>
        <w:object>
          <v:shape id="_x0000_i1027" o:spt="75" type="#_x0000_t75" style="height:65.3pt;width:72.85pt;" o:ole="t" filled="f" o:preferrelative="t" stroked="f" coordsize="21600,21600">
            <v:path/>
            <v:fill on="f" focussize="0,0"/>
            <v:stroke on="f" joinstyle="miter"/>
            <v:imagedata r:id="rId9" o:title=""/>
            <o:lock v:ext="edit" aspectratio="t"/>
            <w10:wrap type="none"/>
            <w10:anchorlock/>
          </v:shape>
          <o:OLEObject Type="Embed" ProgID="Package" ShapeID="_x0000_i1027" DrawAspect="Icon" ObjectID="_1468075727" r:id="rId8">
            <o:LockedField>false</o:LockedField>
          </o:OLEObject>
        </w:object>
      </w:r>
    </w:p>
    <w:p w14:paraId="6C6A429C">
      <w:pPr>
        <w:autoSpaceDE w:val="0"/>
        <w:autoSpaceDN w:val="0"/>
        <w:spacing w:line="360" w:lineRule="auto"/>
        <w:ind w:firstLine="42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3）当上述标准或当地部门的特别要求，在技术要求上与本技术规格说明书所规定的发生抵触时，承包商必须向招标人或其指定代表反映，至于应遵从哪个准则，将由招标人决定。</w:t>
      </w:r>
    </w:p>
    <w:p w14:paraId="7827C8A3">
      <w:pPr>
        <w:autoSpaceDE w:val="0"/>
        <w:autoSpaceDN w:val="0"/>
        <w:spacing w:line="360" w:lineRule="auto"/>
        <w:ind w:firstLine="42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4）如有进口件的有关国外规范和法规与中国国家的法规规范有抵触时，应遵守中国国家的法规规范。</w:t>
      </w:r>
    </w:p>
    <w:p w14:paraId="5AFAED5F">
      <w:pPr>
        <w:autoSpaceDE w:val="0"/>
        <w:autoSpaceDN w:val="0"/>
        <w:spacing w:before="120" w:beforeLines="50" w:line="360" w:lineRule="auto"/>
        <w:ind w:firstLine="241" w:firstLineChars="100"/>
        <w:contextualSpacing/>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2.货物技术要求</w:t>
      </w:r>
    </w:p>
    <w:p w14:paraId="514617EF">
      <w:pPr>
        <w:widowControl/>
        <w:autoSpaceDE w:val="0"/>
        <w:autoSpaceDN w:val="0"/>
        <w:spacing w:line="360" w:lineRule="auto"/>
        <w:ind w:left="-1" w:firstLine="241" w:firstLineChars="100"/>
        <w:contextualSpacing/>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2.1 采购标的需满足的性能、材料、结构、外观、质量、安全、技术规格、物理特性等要求；</w:t>
      </w:r>
    </w:p>
    <w:p w14:paraId="6EF199DD">
      <w:pPr>
        <w:autoSpaceDE w:val="0"/>
        <w:autoSpaceDN w:val="0"/>
        <w:spacing w:line="360" w:lineRule="auto"/>
        <w:ind w:firstLine="420"/>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（一）整体工程</w:t>
      </w:r>
    </w:p>
    <w:p w14:paraId="2AE886F9">
      <w:pPr>
        <w:autoSpaceDE w:val="0"/>
        <w:autoSpaceDN w:val="0"/>
        <w:spacing w:line="360" w:lineRule="auto"/>
        <w:ind w:firstLine="42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（1）安装工程范围：包含供货电梯及安装材料的设计、制造、运输；原有电梯相关部件的拆除；新电梯安装、调试、试运行、验收及售后服务、部分土建恢复（装饰面按原状恢复）、施工垃圾处理等工作。</w:t>
      </w:r>
    </w:p>
    <w:p w14:paraId="3507D89F">
      <w:pPr>
        <w:autoSpaceDE w:val="0"/>
        <w:autoSpaceDN w:val="0"/>
        <w:spacing w:line="360" w:lineRule="auto"/>
        <w:ind w:firstLine="42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 xml:space="preserve">（2）电梯系统要求：要求质量上乘，采用最新可靠微处理机技术，使电梯具有高效运行效率和舒适平稳的驱动性能，具有节能和便于维修保养的故障诊断等系统。 </w:t>
      </w:r>
    </w:p>
    <w:p w14:paraId="05554592">
      <w:pPr>
        <w:autoSpaceDE w:val="0"/>
        <w:autoSpaceDN w:val="0"/>
        <w:spacing w:line="360" w:lineRule="auto"/>
        <w:ind w:firstLine="42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（3）规格品牌型号：采用国内一线品牌（参考上海三菱、日立、迅达、蒂升等），规格型号不低于现有电梯品牌档次。</w:t>
      </w:r>
    </w:p>
    <w:p w14:paraId="076F743A">
      <w:pPr>
        <w:autoSpaceDE w:val="0"/>
        <w:autoSpaceDN w:val="0"/>
        <w:spacing w:line="360" w:lineRule="auto"/>
        <w:ind w:firstLine="42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（4）</w:t>
      </w:r>
      <w:r>
        <w:rPr>
          <w:rFonts w:ascii="宋体" w:hAnsi="宋体" w:eastAsia="宋体" w:cs="宋体"/>
          <w:kern w:val="0"/>
          <w:sz w:val="24"/>
          <w:szCs w:val="24"/>
          <w:highlight w:val="none"/>
          <w:lang w:eastAsia="zh-CN"/>
        </w:rPr>
        <w:t>原有旧电梯拆除后归甲方所有，放置院内指定位置由物资器械中心处置</w:t>
      </w:r>
      <w:r>
        <w:rPr>
          <w:rFonts w:hint="eastAsia" w:ascii="宋体" w:hAnsi="宋体" w:eastAsia="宋体" w:cs="宋体"/>
          <w:kern w:val="0"/>
          <w:sz w:val="24"/>
          <w:szCs w:val="24"/>
          <w:highlight w:val="none"/>
          <w:lang w:eastAsia="zh-CN"/>
        </w:rPr>
        <w:t>。</w:t>
      </w:r>
    </w:p>
    <w:p w14:paraId="785BAEC3">
      <w:pPr>
        <w:autoSpaceDE w:val="0"/>
        <w:autoSpaceDN w:val="0"/>
        <w:spacing w:line="360" w:lineRule="auto"/>
        <w:ind w:firstLine="42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5）新客梯的供货、运输、装卸、保险、保管、安装、轿厢装饰、调试、验收、培训、直至验收合格、取得设备验收合格证书（政府质量技术监督机关颁发的《特种设备使用标志》、《特种设备使用登记证》、《电梯监督检验报告》）、交付招标人使用以及保修、售后服务。</w:t>
      </w:r>
    </w:p>
    <w:p w14:paraId="1B98C925">
      <w:pPr>
        <w:autoSpaceDE w:val="0"/>
        <w:autoSpaceDN w:val="0"/>
        <w:spacing w:line="360" w:lineRule="auto"/>
        <w:ind w:firstLine="420"/>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（二）设备供货及安装工程技术要求</w:t>
      </w:r>
    </w:p>
    <w:p w14:paraId="7DB7E881">
      <w:pPr>
        <w:keepNext/>
        <w:autoSpaceDE w:val="0"/>
        <w:autoSpaceDN w:val="0"/>
        <w:spacing w:line="360" w:lineRule="auto"/>
        <w:ind w:firstLine="480" w:firstLineChars="200"/>
        <w:jc w:val="left"/>
        <w:rPr>
          <w:rFonts w:hint="eastAsia" w:ascii="宋体" w:hAnsi="宋体" w:eastAsia="宋体" w:cs="宋体"/>
          <w:b/>
          <w:bCs/>
          <w:kern w:val="0"/>
          <w:sz w:val="24"/>
          <w:szCs w:val="22"/>
          <w:highlight w:val="none"/>
          <w:u w:val="single"/>
          <w:lang w:eastAsia="zh-CN"/>
        </w:rPr>
      </w:pPr>
      <w:r>
        <w:rPr>
          <w:rFonts w:hint="eastAsia" w:ascii="宋体" w:hAnsi="宋体" w:eastAsia="宋体" w:cs="宋体"/>
          <w:kern w:val="0"/>
          <w:sz w:val="24"/>
          <w:szCs w:val="22"/>
          <w:highlight w:val="none"/>
          <w:lang w:eastAsia="zh-CN"/>
        </w:rPr>
        <w:t>本招标项目的投标人必须保证其供应货物及安装工程施工满足整体工程质量标准及相关要求。招标人对本招标项目质量方面的具体要求：</w:t>
      </w:r>
      <w:r>
        <w:rPr>
          <w:rFonts w:hint="eastAsia" w:ascii="宋体" w:hAnsi="宋体" w:eastAsia="宋体" w:cs="宋体"/>
          <w:b/>
          <w:bCs/>
          <w:kern w:val="0"/>
          <w:sz w:val="24"/>
          <w:szCs w:val="22"/>
          <w:highlight w:val="none"/>
          <w:u w:val="single"/>
          <w:lang w:eastAsia="zh-CN"/>
        </w:rPr>
        <w:t>质量标准：合格 （同时符合住宅老旧电梯更新的相关政策要求）</w:t>
      </w:r>
    </w:p>
    <w:p w14:paraId="3144F9AD">
      <w:pPr>
        <w:widowControl w:val="0"/>
        <w:numPr>
          <w:ilvl w:val="1"/>
          <w:numId w:val="0"/>
        </w:numPr>
        <w:tabs>
          <w:tab w:val="left" w:pos="1041"/>
          <w:tab w:val="left" w:pos="4520"/>
        </w:tabs>
        <w:autoSpaceDE w:val="0"/>
        <w:autoSpaceDN w:val="0"/>
        <w:spacing w:before="0" w:line="360" w:lineRule="auto"/>
        <w:ind w:left="1196" w:firstLine="480" w:firstLineChars="200"/>
        <w:rPr>
          <w:rFonts w:hint="eastAsia" w:ascii="宋体" w:hAnsi="宋体" w:eastAsia="宋体" w:cs="宋体"/>
          <w:sz w:val="24"/>
          <w:szCs w:val="24"/>
          <w:highlight w:val="none"/>
          <w:lang w:val="en-US" w:eastAsia="zh-CN" w:bidi="en-US"/>
        </w:rPr>
      </w:pPr>
      <w:r>
        <w:rPr>
          <w:rFonts w:hint="eastAsia" w:ascii="宋体" w:hAnsi="宋体" w:eastAsia="宋体" w:cs="宋体"/>
          <w:sz w:val="24"/>
          <w:szCs w:val="24"/>
          <w:highlight w:val="none"/>
          <w:lang w:val="en-US" w:eastAsia="zh-CN" w:bidi="en-US"/>
        </w:rPr>
        <w:t>★所投产品制造商应具备有效期内的《中华人民共和国特种设备生产许可证》电梯制造（含安装、修理、改造）曳引驱动乘客电梯（含消防员电梯）B级及以上资质。</w:t>
      </w:r>
    </w:p>
    <w:p w14:paraId="7C078329">
      <w:pPr>
        <w:autoSpaceDE w:val="0"/>
        <w:autoSpaceDN w:val="0"/>
        <w:spacing w:line="360" w:lineRule="auto"/>
        <w:ind w:firstLine="420"/>
        <w:jc w:val="left"/>
        <w:rPr>
          <w:rFonts w:hint="eastAsia" w:ascii="宋体" w:hAnsi="宋体" w:eastAsia="宋体" w:cs="宋体"/>
          <w:b/>
          <w:bCs/>
          <w:kern w:val="0"/>
          <w:sz w:val="22"/>
          <w:szCs w:val="22"/>
          <w:highlight w:val="none"/>
          <w:lang w:eastAsia="zh-CN"/>
        </w:rPr>
      </w:pPr>
      <w:r>
        <w:rPr>
          <w:rFonts w:hint="eastAsia" w:ascii="宋体" w:hAnsi="宋体" w:eastAsia="宋体" w:cs="宋体"/>
          <w:b/>
          <w:bCs/>
          <w:kern w:val="0"/>
          <w:sz w:val="22"/>
          <w:szCs w:val="22"/>
          <w:highlight w:val="none"/>
          <w:lang w:eastAsia="zh-CN"/>
        </w:rPr>
        <w:t>（三）具体质量要求</w:t>
      </w:r>
    </w:p>
    <w:p w14:paraId="35EA1F5E">
      <w:pPr>
        <w:autoSpaceDE w:val="0"/>
        <w:autoSpaceDN w:val="0"/>
        <w:spacing w:line="360" w:lineRule="auto"/>
        <w:ind w:firstLine="422"/>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1）投标人须保证本次投标设备是未曾使用过的整机且是专为本合同生产的，所有总成件应为全新产品，系合格材料和先进工艺制成的满足本项目使用需要的机型，且完全与投标文件所述产地、质量、规格和性能相符。只有与招标人要求的标准相符或高于招标人要求的标准，方能被招标人接受。</w:t>
      </w:r>
    </w:p>
    <w:p w14:paraId="4AEA43D3">
      <w:pPr>
        <w:autoSpaceDE w:val="0"/>
        <w:autoSpaceDN w:val="0"/>
        <w:spacing w:line="360" w:lineRule="auto"/>
        <w:ind w:firstLine="422"/>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（2）在交货之前，制造厂应对产品质量、规格、性能和数量进行全面的检测，并出具证明产品与投标文件相符的证明书。</w:t>
      </w:r>
    </w:p>
    <w:p w14:paraId="34C063FA">
      <w:pPr>
        <w:autoSpaceDE w:val="0"/>
        <w:autoSpaceDN w:val="0"/>
        <w:spacing w:line="360" w:lineRule="auto"/>
        <w:ind w:firstLine="422"/>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（3）交付使用前发生的设备损坏和不合格，一律退换新品。在保修期内发生的设备损坏和性能不合格(非使用不当原因造成)，除招标人同意修理者外，亦应退换新品。</w:t>
      </w:r>
    </w:p>
    <w:p w14:paraId="3BF5FE42">
      <w:pPr>
        <w:autoSpaceDE w:val="0"/>
        <w:autoSpaceDN w:val="0"/>
        <w:spacing w:line="360" w:lineRule="auto"/>
        <w:ind w:firstLine="422"/>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（4）投标人应派有资格、有经验的技术人员及时对零部件组装、总装的全过程进行监督、指导。</w:t>
      </w:r>
    </w:p>
    <w:p w14:paraId="0D0DCBC0">
      <w:pPr>
        <w:autoSpaceDE w:val="0"/>
        <w:autoSpaceDN w:val="0"/>
        <w:spacing w:line="360" w:lineRule="auto"/>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（四）采购标的货物技术要求及规格参数要求</w:t>
      </w:r>
    </w:p>
    <w:p w14:paraId="2612703B">
      <w:pPr>
        <w:autoSpaceDE w:val="0"/>
        <w:autoSpaceDN w:val="0"/>
        <w:spacing w:line="360" w:lineRule="auto"/>
        <w:ind w:firstLine="482" w:firstLineChars="200"/>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（1）货物的性能与参数</w:t>
      </w:r>
    </w:p>
    <w:p w14:paraId="5BF0C1AA">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1）货物性能满足国家及行业规范要求。</w:t>
      </w:r>
    </w:p>
    <w:p w14:paraId="726FDEA5">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2）轿厢壁板、门板采用金属材质和标准门框。</w:t>
      </w:r>
    </w:p>
    <w:p w14:paraId="01AA49F0">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3）呼梯盒及轿厢面板采用发纹不锈钢。</w:t>
      </w:r>
    </w:p>
    <w:p w14:paraId="5DE6E8A5">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4）动力电源：三相五线制，交流380伏50赫兹。</w:t>
      </w:r>
    </w:p>
    <w:p w14:paraId="2F654261">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5）开门方式：中分式。</w:t>
      </w:r>
    </w:p>
    <w:p w14:paraId="3193437F">
      <w:pPr>
        <w:autoSpaceDE w:val="0"/>
        <w:autoSpaceDN w:val="0"/>
        <w:spacing w:line="360" w:lineRule="auto"/>
        <w:ind w:firstLine="482"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b/>
          <w:bCs/>
          <w:kern w:val="0"/>
          <w:sz w:val="24"/>
          <w:szCs w:val="24"/>
          <w:highlight w:val="none"/>
          <w:lang w:eastAsia="zh-CN"/>
        </w:rPr>
        <w:t>（2）设备主要技术参数要求描述</w:t>
      </w:r>
    </w:p>
    <w:p w14:paraId="77C3C1E0">
      <w:pPr>
        <w:autoSpaceDE w:val="0"/>
        <w:autoSpaceDN w:val="0"/>
        <w:spacing w:line="360" w:lineRule="auto"/>
        <w:ind w:left="425"/>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1）轿厢设计</w:t>
      </w:r>
    </w:p>
    <w:p w14:paraId="2869E6CC">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轿厢及轿门发纹不锈钢，轿厢壁发纹不锈钢板，地板为PVC。轿顶照明灯的供电应符合中国标准(220V、50Hz)，轿厢内地板处照度应达到100LX。</w:t>
      </w:r>
    </w:p>
    <w:p w14:paraId="5344C35F">
      <w:pPr>
        <w:autoSpaceDE w:val="0"/>
        <w:autoSpaceDN w:val="0"/>
        <w:spacing w:line="360" w:lineRule="auto"/>
        <w:ind w:left="425"/>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2）厅门设计</w:t>
      </w:r>
    </w:p>
    <w:p w14:paraId="127A222E">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①厅门材料及形式：发纹不锈钢</w:t>
      </w:r>
    </w:p>
    <w:p w14:paraId="0A8C5DB6">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②小门套材料及形式：发纹不锈钢</w:t>
      </w:r>
    </w:p>
    <w:p w14:paraId="7B098018">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③地坎材料：硬质铝合金。</w:t>
      </w:r>
    </w:p>
    <w:p w14:paraId="5F7F53A0">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④召唤指示器面板：发纹不锈钢材质。</w:t>
      </w:r>
    </w:p>
    <w:p w14:paraId="69C0D838">
      <w:pPr>
        <w:autoSpaceDE w:val="0"/>
        <w:autoSpaceDN w:val="0"/>
        <w:spacing w:line="360" w:lineRule="auto"/>
        <w:ind w:left="425"/>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3）轿厢讯号装置</w:t>
      </w:r>
    </w:p>
    <w:p w14:paraId="1A8420B5">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①数字型楼层、上行、下行方向显示</w:t>
      </w:r>
    </w:p>
    <w:p w14:paraId="419F95E1">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②对讲机</w:t>
      </w:r>
    </w:p>
    <w:p w14:paraId="7AB4C658">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③标示：限乘人数、限载重量、品牌标识</w:t>
      </w:r>
    </w:p>
    <w:p w14:paraId="5A3E32B3">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④按钮：不锈钢，微触式，具有停靠层数相同的楼层按钮，开关门按钮各一付，并以图形表示。</w:t>
      </w:r>
    </w:p>
    <w:p w14:paraId="700F1853">
      <w:pPr>
        <w:autoSpaceDE w:val="0"/>
        <w:autoSpaceDN w:val="0"/>
        <w:spacing w:line="360" w:lineRule="auto"/>
        <w:ind w:left="425"/>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4）轿厢操作盘，需包含以下配置</w:t>
      </w:r>
    </w:p>
    <w:p w14:paraId="54BB13F9">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①选层按钮、开和关门按钮、应急报警按钮，轻触式微动按钮，具有数字式层显功能和运行方向。</w:t>
      </w:r>
    </w:p>
    <w:p w14:paraId="6D5865B3">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②自动/司机操作应放在有锁的开关盒内或直接钥匙控制。</w:t>
      </w:r>
    </w:p>
    <w:p w14:paraId="312578F2">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 xml:space="preserve">③操作面板材质：发纹不锈钢，操作箱嵌入轿厢壁。 </w:t>
      </w:r>
    </w:p>
    <w:p w14:paraId="377D9AAB">
      <w:pPr>
        <w:autoSpaceDE w:val="0"/>
        <w:autoSpaceDN w:val="0"/>
        <w:spacing w:line="360" w:lineRule="auto"/>
        <w:ind w:left="425"/>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5）厅门信号系统</w:t>
      </w:r>
    </w:p>
    <w:p w14:paraId="50FE2F7D">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①召唤面板发纹不锈钢</w:t>
      </w:r>
    </w:p>
    <w:p w14:paraId="6772F7A5">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②召唤按钮及显示：采用不锈钢按钮、显示层站和运行方向，整体式。</w:t>
      </w:r>
    </w:p>
    <w:p w14:paraId="57863C3E">
      <w:pPr>
        <w:autoSpaceDE w:val="0"/>
        <w:autoSpaceDN w:val="0"/>
        <w:spacing w:line="360" w:lineRule="auto"/>
        <w:ind w:left="425"/>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6）主要部件要求</w:t>
      </w:r>
    </w:p>
    <w:p w14:paraId="3E737799">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①控制系统为微机集选、模块控制结构，VVVF 变压变频调速驱动。</w:t>
      </w:r>
    </w:p>
    <w:p w14:paraId="663B5B9F">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②门机系统采用VVVF 门机，光幕保护装置。</w:t>
      </w:r>
    </w:p>
    <w:p w14:paraId="4CF7F5B1">
      <w:pPr>
        <w:autoSpaceDE w:val="0"/>
        <w:autoSpaceDN w:val="0"/>
        <w:spacing w:line="360" w:lineRule="auto"/>
        <w:ind w:firstLine="482" w:firstLineChars="200"/>
        <w:jc w:val="left"/>
        <w:rPr>
          <w:rFonts w:hint="eastAsia" w:ascii="宋体" w:hAnsi="宋体" w:eastAsia="宋体" w:cs="宋体"/>
          <w:b/>
          <w:bCs/>
          <w:kern w:val="0"/>
          <w:sz w:val="24"/>
          <w:szCs w:val="24"/>
          <w:highlight w:val="none"/>
          <w:lang w:eastAsia="en-US"/>
        </w:rPr>
      </w:pPr>
      <w:r>
        <w:rPr>
          <w:rFonts w:hint="eastAsia" w:ascii="宋体" w:hAnsi="宋体" w:eastAsia="宋体" w:cs="宋体"/>
          <w:b/>
          <w:bCs/>
          <w:kern w:val="0"/>
          <w:sz w:val="24"/>
          <w:szCs w:val="24"/>
          <w:highlight w:val="none"/>
          <w:lang w:eastAsia="zh-CN"/>
        </w:rPr>
        <w:t>（3）</w:t>
      </w:r>
      <w:r>
        <w:rPr>
          <w:rFonts w:hint="eastAsia" w:ascii="宋体" w:hAnsi="宋体" w:eastAsia="宋体" w:cs="宋体"/>
          <w:b/>
          <w:bCs/>
          <w:kern w:val="0"/>
          <w:sz w:val="24"/>
          <w:szCs w:val="24"/>
          <w:highlight w:val="none"/>
          <w:lang w:eastAsia="en-US"/>
        </w:rPr>
        <w:t>主要部件性能要求</w:t>
      </w:r>
    </w:p>
    <w:p w14:paraId="2862C95F">
      <w:pPr>
        <w:autoSpaceDE w:val="0"/>
        <w:autoSpaceDN w:val="0"/>
        <w:spacing w:line="360" w:lineRule="auto"/>
        <w:ind w:firstLine="480" w:firstLineChars="200"/>
        <w:jc w:val="left"/>
        <w:rPr>
          <w:rFonts w:hint="eastAsia" w:ascii="宋体" w:hAnsi="宋体" w:eastAsia="宋体" w:cs="宋体"/>
          <w:kern w:val="0"/>
          <w:sz w:val="24"/>
          <w:szCs w:val="24"/>
          <w:highlight w:val="none"/>
          <w:lang w:eastAsia="en-US" w:bidi="en-US"/>
        </w:rPr>
      </w:pPr>
      <w:r>
        <w:rPr>
          <w:rFonts w:hint="eastAsia" w:ascii="宋体" w:hAnsi="宋体" w:eastAsia="宋体" w:cs="宋体"/>
          <w:kern w:val="0"/>
          <w:sz w:val="24"/>
          <w:szCs w:val="24"/>
          <w:highlight w:val="none"/>
          <w:lang w:eastAsia="en-US" w:bidi="en-US"/>
        </w:rPr>
        <w:t>1）曳引机</w:t>
      </w:r>
    </w:p>
    <w:p w14:paraId="38F230C0">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①曳引主机温度不超过65℃；</w:t>
      </w:r>
    </w:p>
    <w:p w14:paraId="57D59025">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②曳引机空载电流中任何一相与三相平均值的偏差不大于平均值的10%；</w:t>
      </w:r>
    </w:p>
    <w:p w14:paraId="66F59CD6">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③曳引机振幅小于允许值。</w:t>
      </w:r>
    </w:p>
    <w:p w14:paraId="267AEBB4">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 xml:space="preserve">2）制动器 </w:t>
      </w:r>
    </w:p>
    <w:p w14:paraId="068780FE">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①得电立即松闸、失电立即抱闸；</w:t>
      </w:r>
    </w:p>
    <w:p w14:paraId="5D40540C">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②电磁力应大于制动力；</w:t>
      </w:r>
    </w:p>
    <w:p w14:paraId="647531EE">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③松闸时，瓦闸与制动轮的间隙应在0.3～0.5mm，不大于0.7mm；</w:t>
      </w:r>
    </w:p>
    <w:p w14:paraId="45FCB6AA">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④制动器线圈正常工作温度在60℃以下，最高不超过85℃。</w:t>
      </w:r>
    </w:p>
    <w:p w14:paraId="4DBA3F56">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 xml:space="preserve">3）曳引轮 </w:t>
      </w:r>
    </w:p>
    <w:p w14:paraId="2C86E982">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①材料要求：耐磨、延伸率大、磨擦系数大。</w:t>
      </w:r>
    </w:p>
    <w:p w14:paraId="1F9B67BC">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 xml:space="preserve">4）导向轮 </w:t>
      </w:r>
    </w:p>
    <w:p w14:paraId="3EEBEB08">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①绳槽应满足所供产品的整体设计要求。</w:t>
      </w:r>
    </w:p>
    <w:p w14:paraId="07A94B46">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②槽深应满足所供产品的整体设计要求。</w:t>
      </w:r>
    </w:p>
    <w:p w14:paraId="7A6E2611">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③槽型应满足所供产品的整体设计要求。</w:t>
      </w:r>
    </w:p>
    <w:p w14:paraId="396D7787">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bidi="en-US"/>
        </w:rPr>
        <w:t>5）曳引钢丝绳或包覆带</w:t>
      </w:r>
    </w:p>
    <w:p w14:paraId="2146AC97">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①钢丝绳的公称直径不小于8mm。</w:t>
      </w:r>
    </w:p>
    <w:p w14:paraId="2222151A">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②钢丝绳的安全系数：大于等于国标要求。</w:t>
      </w:r>
    </w:p>
    <w:p w14:paraId="65D3211D">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③钢丝绳与绳头连接处的强度不应小于钢丝绳自身强度的80%。</w:t>
      </w:r>
    </w:p>
    <w:p w14:paraId="057577F0">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④各根钢丝绳应受力均等，受力差不大于5%。</w:t>
      </w:r>
    </w:p>
    <w:p w14:paraId="1E71F65C">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⑤空载到满载的钢丝绳伸拉量不超过20mm。</w:t>
      </w:r>
    </w:p>
    <w:p w14:paraId="33237E95">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⑥端接型式：锥型套、自锁楔型、绳夹（3个以上）。</w:t>
      </w:r>
    </w:p>
    <w:p w14:paraId="4D9A79ED">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 xml:space="preserve">6）厅、轿门 </w:t>
      </w:r>
    </w:p>
    <w:p w14:paraId="5BBB1CC0">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①门扇与门套，门扇下端与地坎之间的间隙：1～6mm。</w:t>
      </w:r>
    </w:p>
    <w:p w14:paraId="1D5F4CC0">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②各层厅门地坎的不水平度≤2/1000。</w:t>
      </w:r>
    </w:p>
    <w:p w14:paraId="310184A1">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③各层在门地坎至轿门地坎的距离偏差均为≤50mm。</w:t>
      </w:r>
    </w:p>
    <w:p w14:paraId="42A239EA">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④厅门门套立柱和框架立柱的不垂直度和横梁的不水平度不超过1/1000。</w:t>
      </w:r>
    </w:p>
    <w:p w14:paraId="39B2FB58">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⑤厅门的门扇在对口处应平整，两扇门的不平度不应大于1mm，门缝在整个可见高度上均不应大于2mm。</w:t>
      </w:r>
    </w:p>
    <w:p w14:paraId="51227713">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⑥门在开足后，门扇不应凸出轿厢门套，应适当缩入5mm左右。</w:t>
      </w:r>
    </w:p>
    <w:p w14:paraId="0EA78CDB">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⑦门在开、关过程中应平稳，不应有跳动、抖动现象。</w:t>
      </w:r>
    </w:p>
    <w:p w14:paraId="7E7B6F5A">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⑧厅门门扇上应装有强迫关门装置。</w:t>
      </w:r>
    </w:p>
    <w:p w14:paraId="4029EA23">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⑨被动门应设有电气联动装置。</w:t>
      </w:r>
    </w:p>
    <w:p w14:paraId="7211C533">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⑩门锁门钩子钩进量大于7mm。并开始与电锁联锁触点接触。</w:t>
      </w:r>
    </w:p>
    <w:p w14:paraId="1B16E4DB">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⑪关门阻止力应不大于150N。</w:t>
      </w:r>
    </w:p>
    <w:p w14:paraId="3FFDF33C">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 xml:space="preserve">7）缓冲器 </w:t>
      </w:r>
    </w:p>
    <w:p w14:paraId="6045F72D">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①液压式缓冲器</w:t>
      </w:r>
    </w:p>
    <w:p w14:paraId="46E987E2">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②缓冲行程：按国标要求；</w:t>
      </w:r>
    </w:p>
    <w:p w14:paraId="6550832E">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③越层距离：150～400mm。</w:t>
      </w:r>
    </w:p>
    <w:p w14:paraId="362476F9">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④安装维修技术要求：</w:t>
      </w:r>
    </w:p>
    <w:p w14:paraId="0FBA8946">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⑤轿厢底部碰撞板中心与其对应的缓冲器面板中心偏差≤20mm；</w:t>
      </w:r>
    </w:p>
    <w:p w14:paraId="7A2C615D">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⑥对重底部碰撞板中心与其对应的缓冲器面板中心偏差≤20mm；</w:t>
      </w:r>
    </w:p>
    <w:p w14:paraId="406E8D20">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⑦液压缓冲器其柱塞垂直偏差不大于0.5%（另有称±0.5mm）；</w:t>
      </w:r>
    </w:p>
    <w:p w14:paraId="5ED4DD5C">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⑧液压缓冲器压实后重力离开应在120秒内自动复位；</w:t>
      </w:r>
    </w:p>
    <w:p w14:paraId="14FCD586">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⑨缓冲器应有防尘防锈措施。</w:t>
      </w:r>
    </w:p>
    <w:p w14:paraId="51F9751D">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 xml:space="preserve">8）限速器 </w:t>
      </w:r>
    </w:p>
    <w:p w14:paraId="2C27848A">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①最低动作速度：115%V。</w:t>
      </w:r>
    </w:p>
    <w:p w14:paraId="3CD9B96A">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②渐进式安全钳</w:t>
      </w:r>
    </w:p>
    <w:p w14:paraId="317B5911">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③安全钳电气开关动作速度：90-95%V0 （V0限速器动作速度）。</w:t>
      </w:r>
    </w:p>
    <w:p w14:paraId="5E86E67A">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④限速器轮的节圆直径与限速器钢丝绳的公称直径之比不小于30。</w:t>
      </w:r>
    </w:p>
    <w:p w14:paraId="298C23A6">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⑤限速器钢丝绳直径不小于6mm，安全系数不小于5。</w:t>
      </w:r>
    </w:p>
    <w:p w14:paraId="3B06F569">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⑥限速器轮的不垂直度不大于0.5mm。</w:t>
      </w:r>
    </w:p>
    <w:p w14:paraId="745FE9CD">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⑦涨紧装置必需是浮动的有断绳保护开关。</w:t>
      </w:r>
    </w:p>
    <w:p w14:paraId="37ACD5AB">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⑧涨紧装置离地高度：400±50mm。</w:t>
      </w:r>
    </w:p>
    <w:p w14:paraId="6C015A28">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bidi="en-US"/>
        </w:rPr>
      </w:pPr>
      <w:r>
        <w:rPr>
          <w:rFonts w:hint="eastAsia" w:ascii="宋体" w:hAnsi="宋体" w:eastAsia="宋体" w:cs="宋体"/>
          <w:kern w:val="0"/>
          <w:sz w:val="24"/>
          <w:szCs w:val="24"/>
          <w:highlight w:val="none"/>
          <w:lang w:eastAsia="zh-CN" w:bidi="en-US"/>
        </w:rPr>
        <w:t>⑨涨紧轮涨紧力的要求：</w:t>
      </w:r>
    </w:p>
    <w:p w14:paraId="266BFE2F">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⑩</w:t>
      </w:r>
      <w:r>
        <w:rPr>
          <w:rFonts w:hint="eastAsia" w:ascii="宋体" w:hAnsi="宋体" w:eastAsia="宋体" w:cs="宋体"/>
          <w:kern w:val="0"/>
          <w:sz w:val="24"/>
          <w:szCs w:val="24"/>
          <w:highlight w:val="none"/>
          <w:lang w:eastAsia="zh-CN" w:bidi="en-US"/>
        </w:rPr>
        <w:t>正常运行时，涨紧力≥150N，限速器动作时，限速器的涨紧力应不小于安全钳起作用时所需力的2倍且不应小于300N。</w:t>
      </w:r>
    </w:p>
    <w:p w14:paraId="017037D4">
      <w:pPr>
        <w:autoSpaceDE w:val="0"/>
        <w:autoSpaceDN w:val="0"/>
        <w:spacing w:line="360" w:lineRule="auto"/>
        <w:ind w:firstLine="482" w:firstLineChars="200"/>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（4）主要技术参数</w:t>
      </w:r>
    </w:p>
    <w:p w14:paraId="271D53B8">
      <w:pPr>
        <w:autoSpaceDE w:val="0"/>
        <w:autoSpaceDN w:val="0"/>
        <w:spacing w:line="360" w:lineRule="auto"/>
        <w:ind w:firstLine="42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本技术规格及要求提供的是最低限度的技术要求，并未对一切技术细节做出规定，投标人应保证提供符合本技术规格及要求和有关工业标准的优质产品；货物性能满足国家及行业规范要求，具体参数详见《电梯技术参数表》、</w:t>
      </w:r>
      <w:r>
        <w:rPr>
          <w:rFonts w:hint="eastAsia" w:ascii="宋体" w:hAnsi="宋体" w:eastAsia="宋体" w:cs="宋体"/>
          <w:kern w:val="0"/>
          <w:sz w:val="24"/>
          <w:szCs w:val="24"/>
          <w:highlight w:val="none"/>
          <w:lang w:eastAsia="zh-CN" w:bidi="ar"/>
        </w:rPr>
        <w:t>《市场监督管理总局办公厅关于进一步做好住宅老旧电梯更新有关工作的通知》</w:t>
      </w:r>
      <w:r>
        <w:rPr>
          <w:rFonts w:hint="eastAsia" w:ascii="宋体" w:hAnsi="宋体" w:eastAsia="宋体" w:cs="宋体"/>
          <w:kern w:val="0"/>
          <w:sz w:val="24"/>
          <w:szCs w:val="24"/>
          <w:highlight w:val="none"/>
          <w:lang w:eastAsia="zh-CN"/>
        </w:rPr>
        <w:t>。</w:t>
      </w:r>
    </w:p>
    <w:p w14:paraId="17AC975B">
      <w:pPr>
        <w:widowControl/>
        <w:autoSpaceDE w:val="0"/>
        <w:autoSpaceDN w:val="0"/>
        <w:adjustRightInd w:val="0"/>
        <w:snapToGrid w:val="0"/>
        <w:spacing w:before="120" w:beforeLines="50" w:line="360" w:lineRule="auto"/>
        <w:jc w:val="center"/>
        <w:rPr>
          <w:rFonts w:hint="eastAsia" w:ascii="宋体" w:hAnsi="宋体" w:eastAsia="宋体" w:cs="宋体"/>
          <w:b/>
          <w:bCs/>
          <w:kern w:val="0"/>
          <w:sz w:val="24"/>
          <w:szCs w:val="24"/>
          <w:highlight w:val="none"/>
          <w:lang w:val="zh-CN" w:eastAsia="en-US"/>
        </w:rPr>
      </w:pPr>
      <w:r>
        <w:rPr>
          <w:rFonts w:hint="eastAsia" w:ascii="宋体" w:hAnsi="宋体" w:eastAsia="宋体" w:cs="宋体"/>
          <w:b/>
          <w:bCs/>
          <w:kern w:val="0"/>
          <w:sz w:val="24"/>
          <w:szCs w:val="24"/>
          <w:highlight w:val="none"/>
          <w:lang w:val="zh-CN" w:eastAsia="en-US"/>
        </w:rPr>
        <w:t>电梯技术参数表 1</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87"/>
        <w:gridCol w:w="867"/>
        <w:gridCol w:w="2226"/>
        <w:gridCol w:w="4566"/>
      </w:tblGrid>
      <w:tr w14:paraId="1E9D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tblHeader/>
          <w:jc w:val="center"/>
        </w:trPr>
        <w:tc>
          <w:tcPr>
            <w:tcW w:w="519" w:type="pct"/>
            <w:tcMar>
              <w:top w:w="120" w:type="dxa"/>
              <w:left w:w="120" w:type="dxa"/>
              <w:bottom w:w="120" w:type="dxa"/>
              <w:right w:w="120" w:type="dxa"/>
            </w:tcMar>
            <w:vAlign w:val="center"/>
          </w:tcPr>
          <w:p w14:paraId="3F8511F7">
            <w:pPr>
              <w:widowControl/>
              <w:autoSpaceDE w:val="0"/>
              <w:autoSpaceDN w:val="0"/>
              <w:jc w:val="center"/>
              <w:rPr>
                <w:rFonts w:hint="eastAsia" w:ascii="宋体" w:hAnsi="宋体" w:eastAsia="宋体" w:cs="宋体"/>
                <w:b/>
                <w:bCs/>
                <w:kern w:val="0"/>
                <w:sz w:val="24"/>
                <w:szCs w:val="24"/>
                <w:highlight w:val="none"/>
                <w:lang w:eastAsia="en-US"/>
              </w:rPr>
            </w:pPr>
            <w:r>
              <w:rPr>
                <w:rFonts w:hint="eastAsia" w:ascii="宋体" w:hAnsi="宋体" w:eastAsia="宋体" w:cs="宋体"/>
                <w:b/>
                <w:bCs/>
                <w:kern w:val="0"/>
                <w:sz w:val="24"/>
                <w:szCs w:val="24"/>
                <w:highlight w:val="none"/>
                <w:lang w:eastAsia="zh-CN" w:bidi="ar"/>
              </w:rPr>
              <w:t>分类</w:t>
            </w:r>
          </w:p>
        </w:tc>
        <w:tc>
          <w:tcPr>
            <w:tcW w:w="507" w:type="pct"/>
            <w:tcMar>
              <w:top w:w="120" w:type="dxa"/>
              <w:left w:w="120" w:type="dxa"/>
              <w:bottom w:w="120" w:type="dxa"/>
              <w:right w:w="120" w:type="dxa"/>
            </w:tcMar>
            <w:vAlign w:val="center"/>
          </w:tcPr>
          <w:p w14:paraId="62085651">
            <w:pPr>
              <w:widowControl/>
              <w:autoSpaceDE w:val="0"/>
              <w:autoSpaceDN w:val="0"/>
              <w:jc w:val="center"/>
              <w:rPr>
                <w:rFonts w:hint="eastAsia" w:ascii="宋体" w:hAnsi="宋体" w:eastAsia="宋体" w:cs="宋体"/>
                <w:b/>
                <w:bCs/>
                <w:kern w:val="0"/>
                <w:sz w:val="24"/>
                <w:szCs w:val="24"/>
                <w:highlight w:val="none"/>
                <w:lang w:eastAsia="zh-CN" w:bidi="ar"/>
              </w:rPr>
            </w:pPr>
            <w:r>
              <w:rPr>
                <w:rFonts w:hint="eastAsia" w:ascii="宋体" w:hAnsi="宋体" w:eastAsia="宋体" w:cs="宋体"/>
                <w:b/>
                <w:bCs/>
                <w:kern w:val="0"/>
                <w:sz w:val="24"/>
                <w:szCs w:val="24"/>
                <w:highlight w:val="none"/>
                <w:lang w:eastAsia="zh-CN" w:bidi="ar"/>
              </w:rPr>
              <w:t>序号</w:t>
            </w:r>
          </w:p>
        </w:tc>
        <w:tc>
          <w:tcPr>
            <w:tcW w:w="1302" w:type="pct"/>
            <w:tcMar>
              <w:top w:w="120" w:type="dxa"/>
              <w:left w:w="120" w:type="dxa"/>
              <w:bottom w:w="120" w:type="dxa"/>
              <w:right w:w="120" w:type="dxa"/>
            </w:tcMar>
            <w:vAlign w:val="center"/>
          </w:tcPr>
          <w:p w14:paraId="76363774">
            <w:pPr>
              <w:widowControl/>
              <w:autoSpaceDE w:val="0"/>
              <w:autoSpaceDN w:val="0"/>
              <w:jc w:val="center"/>
              <w:rPr>
                <w:rFonts w:hint="eastAsia" w:ascii="宋体" w:hAnsi="宋体" w:eastAsia="宋体" w:cs="宋体"/>
                <w:b/>
                <w:bCs/>
                <w:kern w:val="0"/>
                <w:sz w:val="24"/>
                <w:szCs w:val="24"/>
                <w:highlight w:val="none"/>
                <w:lang w:eastAsia="en-US"/>
              </w:rPr>
            </w:pPr>
            <w:r>
              <w:rPr>
                <w:rFonts w:hint="eastAsia" w:ascii="宋体" w:hAnsi="宋体" w:eastAsia="宋体" w:cs="宋体"/>
                <w:b/>
                <w:bCs/>
                <w:kern w:val="0"/>
                <w:sz w:val="24"/>
                <w:szCs w:val="24"/>
                <w:highlight w:val="none"/>
                <w:lang w:eastAsia="zh-CN" w:bidi="ar"/>
              </w:rPr>
              <w:t>项目</w:t>
            </w:r>
          </w:p>
        </w:tc>
        <w:tc>
          <w:tcPr>
            <w:tcW w:w="2670" w:type="pct"/>
            <w:tcMar>
              <w:top w:w="120" w:type="dxa"/>
              <w:left w:w="120" w:type="dxa"/>
              <w:bottom w:w="120" w:type="dxa"/>
              <w:right w:w="120" w:type="dxa"/>
            </w:tcMar>
            <w:vAlign w:val="center"/>
          </w:tcPr>
          <w:p w14:paraId="5A0013ED">
            <w:pPr>
              <w:widowControl/>
              <w:autoSpaceDE w:val="0"/>
              <w:autoSpaceDN w:val="0"/>
              <w:jc w:val="center"/>
              <w:rPr>
                <w:rFonts w:hint="eastAsia" w:ascii="宋体" w:hAnsi="宋体" w:eastAsia="宋体" w:cs="宋体"/>
                <w:b/>
                <w:bCs/>
                <w:kern w:val="0"/>
                <w:sz w:val="24"/>
                <w:szCs w:val="24"/>
                <w:highlight w:val="none"/>
                <w:lang w:eastAsia="en-US"/>
              </w:rPr>
            </w:pPr>
            <w:r>
              <w:rPr>
                <w:rFonts w:hint="eastAsia" w:ascii="宋体" w:hAnsi="宋体" w:eastAsia="宋体" w:cs="宋体"/>
                <w:b/>
                <w:bCs/>
                <w:kern w:val="0"/>
                <w:sz w:val="24"/>
                <w:szCs w:val="24"/>
                <w:highlight w:val="none"/>
                <w:lang w:eastAsia="zh-CN" w:bidi="ar"/>
              </w:rPr>
              <w:t>技术参数</w:t>
            </w:r>
          </w:p>
        </w:tc>
      </w:tr>
      <w:tr w14:paraId="49D0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restart"/>
            <w:tcMar>
              <w:top w:w="120" w:type="dxa"/>
              <w:left w:w="120" w:type="dxa"/>
              <w:bottom w:w="120" w:type="dxa"/>
              <w:right w:w="120" w:type="dxa"/>
            </w:tcMar>
            <w:vAlign w:val="center"/>
          </w:tcPr>
          <w:p w14:paraId="7DFAF949">
            <w:pPr>
              <w:widowControl/>
              <w:autoSpaceDE w:val="0"/>
              <w:autoSpaceDN w:val="0"/>
              <w:jc w:val="center"/>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基础整机参数</w:t>
            </w:r>
          </w:p>
        </w:tc>
        <w:tc>
          <w:tcPr>
            <w:tcW w:w="507" w:type="pct"/>
            <w:tcMar>
              <w:top w:w="120" w:type="dxa"/>
              <w:left w:w="120" w:type="dxa"/>
              <w:bottom w:w="120" w:type="dxa"/>
              <w:right w:w="120" w:type="dxa"/>
            </w:tcMar>
            <w:vAlign w:val="center"/>
          </w:tcPr>
          <w:p w14:paraId="5DF92A52">
            <w:pPr>
              <w:widowControl/>
              <w:autoSpaceDE w:val="0"/>
              <w:autoSpaceDN w:val="0"/>
              <w:jc w:val="center"/>
              <w:textAlignment w:val="center"/>
              <w:rPr>
                <w:rFonts w:hint="eastAsia" w:ascii="宋体" w:hAnsi="宋体" w:eastAsia="宋体" w:cs="宋体"/>
                <w:kern w:val="0"/>
                <w:sz w:val="24"/>
                <w:szCs w:val="24"/>
                <w:highlight w:val="none"/>
                <w:lang w:eastAsia="zh-CN" w:bidi="ar"/>
              </w:rPr>
            </w:pPr>
            <w:r>
              <w:rPr>
                <w:rFonts w:hint="eastAsia" w:ascii="宋体" w:hAnsi="宋体" w:eastAsia="宋体" w:cs="宋体"/>
                <w:color w:val="000000"/>
                <w:kern w:val="0"/>
                <w:sz w:val="24"/>
                <w:szCs w:val="24"/>
                <w:highlight w:val="none"/>
                <w:lang w:eastAsia="zh-CN" w:bidi="ar"/>
              </w:rPr>
              <w:t>1</w:t>
            </w:r>
          </w:p>
        </w:tc>
        <w:tc>
          <w:tcPr>
            <w:tcW w:w="1302" w:type="pct"/>
            <w:tcMar>
              <w:top w:w="120" w:type="dxa"/>
              <w:left w:w="120" w:type="dxa"/>
              <w:bottom w:w="120" w:type="dxa"/>
              <w:right w:w="120" w:type="dxa"/>
            </w:tcMar>
            <w:vAlign w:val="center"/>
          </w:tcPr>
          <w:p w14:paraId="6B675A53">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梯号</w:t>
            </w:r>
          </w:p>
        </w:tc>
        <w:tc>
          <w:tcPr>
            <w:tcW w:w="2670" w:type="pct"/>
            <w:tcMar>
              <w:top w:w="120" w:type="dxa"/>
              <w:left w:w="120" w:type="dxa"/>
              <w:bottom w:w="120" w:type="dxa"/>
              <w:right w:w="120" w:type="dxa"/>
            </w:tcMar>
            <w:vAlign w:val="center"/>
          </w:tcPr>
          <w:p w14:paraId="377AA21A">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2 号住宅楼（1#、2#）</w:t>
            </w:r>
          </w:p>
        </w:tc>
      </w:tr>
      <w:tr w14:paraId="2B18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09EA317E">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52D38A80">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2</w:t>
            </w:r>
          </w:p>
        </w:tc>
        <w:tc>
          <w:tcPr>
            <w:tcW w:w="1302" w:type="pct"/>
            <w:tcMar>
              <w:top w:w="120" w:type="dxa"/>
              <w:left w:w="120" w:type="dxa"/>
              <w:bottom w:w="120" w:type="dxa"/>
              <w:right w:w="120" w:type="dxa"/>
            </w:tcMar>
            <w:vAlign w:val="center"/>
          </w:tcPr>
          <w:p w14:paraId="00E648B9">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曳引系统</w:t>
            </w:r>
          </w:p>
        </w:tc>
        <w:tc>
          <w:tcPr>
            <w:tcW w:w="2670" w:type="pct"/>
            <w:tcMar>
              <w:top w:w="120" w:type="dxa"/>
              <w:left w:w="120" w:type="dxa"/>
              <w:bottom w:w="120" w:type="dxa"/>
              <w:right w:w="120" w:type="dxa"/>
            </w:tcMar>
            <w:vAlign w:val="center"/>
          </w:tcPr>
          <w:p w14:paraId="7FCA1905">
            <w:pPr>
              <w:widowControl/>
              <w:autoSpaceDE w:val="0"/>
              <w:autoSpaceDN w:val="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bidi="ar"/>
              </w:rPr>
              <w:t>永磁同步无齿轮曳引机</w:t>
            </w:r>
          </w:p>
        </w:tc>
      </w:tr>
      <w:tr w14:paraId="5449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6CA0DF5A">
            <w:pPr>
              <w:autoSpaceDE w:val="0"/>
              <w:autoSpaceDN w:val="0"/>
              <w:jc w:val="center"/>
              <w:rPr>
                <w:rFonts w:hint="eastAsia" w:ascii="宋体" w:hAnsi="宋体" w:eastAsia="宋体" w:cs="宋体"/>
                <w:kern w:val="0"/>
                <w:sz w:val="24"/>
                <w:szCs w:val="24"/>
                <w:highlight w:val="none"/>
                <w:lang w:eastAsia="zh-CN"/>
              </w:rPr>
            </w:pPr>
          </w:p>
        </w:tc>
        <w:tc>
          <w:tcPr>
            <w:tcW w:w="507" w:type="pct"/>
            <w:tcMar>
              <w:top w:w="120" w:type="dxa"/>
              <w:left w:w="120" w:type="dxa"/>
              <w:bottom w:w="120" w:type="dxa"/>
              <w:right w:w="120" w:type="dxa"/>
            </w:tcMar>
            <w:vAlign w:val="center"/>
          </w:tcPr>
          <w:p w14:paraId="508638F7">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3</w:t>
            </w:r>
          </w:p>
        </w:tc>
        <w:tc>
          <w:tcPr>
            <w:tcW w:w="1302" w:type="pct"/>
            <w:tcMar>
              <w:top w:w="120" w:type="dxa"/>
              <w:left w:w="120" w:type="dxa"/>
              <w:bottom w:w="120" w:type="dxa"/>
              <w:right w:w="120" w:type="dxa"/>
            </w:tcMar>
            <w:vAlign w:val="center"/>
          </w:tcPr>
          <w:p w14:paraId="7ECF383B">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操作系统</w:t>
            </w:r>
          </w:p>
        </w:tc>
        <w:tc>
          <w:tcPr>
            <w:tcW w:w="2670" w:type="pct"/>
            <w:tcMar>
              <w:top w:w="120" w:type="dxa"/>
              <w:left w:w="120" w:type="dxa"/>
              <w:bottom w:w="120" w:type="dxa"/>
              <w:right w:w="120" w:type="dxa"/>
            </w:tcMar>
            <w:vAlign w:val="center"/>
          </w:tcPr>
          <w:p w14:paraId="22EBB7A2">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单控</w:t>
            </w:r>
          </w:p>
        </w:tc>
      </w:tr>
      <w:tr w14:paraId="6F42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5C25D0F1">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1DFA8D66">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4</w:t>
            </w:r>
          </w:p>
        </w:tc>
        <w:tc>
          <w:tcPr>
            <w:tcW w:w="1302" w:type="pct"/>
            <w:tcMar>
              <w:top w:w="120" w:type="dxa"/>
              <w:left w:w="120" w:type="dxa"/>
              <w:bottom w:w="120" w:type="dxa"/>
              <w:right w:w="120" w:type="dxa"/>
            </w:tcMar>
            <w:vAlign w:val="center"/>
          </w:tcPr>
          <w:p w14:paraId="1D8F0877">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额定载重量</w:t>
            </w:r>
          </w:p>
        </w:tc>
        <w:tc>
          <w:tcPr>
            <w:tcW w:w="2670" w:type="pct"/>
            <w:tcMar>
              <w:top w:w="120" w:type="dxa"/>
              <w:left w:w="120" w:type="dxa"/>
              <w:bottom w:w="120" w:type="dxa"/>
              <w:right w:w="120" w:type="dxa"/>
            </w:tcMar>
            <w:vAlign w:val="center"/>
          </w:tcPr>
          <w:p w14:paraId="3BAF0EC1">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≥1050kg</w:t>
            </w:r>
          </w:p>
        </w:tc>
      </w:tr>
      <w:tr w14:paraId="7B7D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5D8E1A61">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0B1546B5">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5</w:t>
            </w:r>
          </w:p>
        </w:tc>
        <w:tc>
          <w:tcPr>
            <w:tcW w:w="1302" w:type="pct"/>
            <w:tcMar>
              <w:top w:w="120" w:type="dxa"/>
              <w:left w:w="120" w:type="dxa"/>
              <w:bottom w:w="120" w:type="dxa"/>
              <w:right w:w="120" w:type="dxa"/>
            </w:tcMar>
            <w:vAlign w:val="center"/>
          </w:tcPr>
          <w:p w14:paraId="24187492">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额定速度</w:t>
            </w:r>
          </w:p>
        </w:tc>
        <w:tc>
          <w:tcPr>
            <w:tcW w:w="2670" w:type="pct"/>
            <w:tcMar>
              <w:top w:w="120" w:type="dxa"/>
              <w:left w:w="120" w:type="dxa"/>
              <w:bottom w:w="120" w:type="dxa"/>
              <w:right w:w="120" w:type="dxa"/>
            </w:tcMar>
            <w:vAlign w:val="center"/>
          </w:tcPr>
          <w:p w14:paraId="64845387">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≥1.6m/s</w:t>
            </w:r>
          </w:p>
        </w:tc>
      </w:tr>
      <w:tr w14:paraId="532B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640EEECD">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3E6169C1">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6</w:t>
            </w:r>
          </w:p>
        </w:tc>
        <w:tc>
          <w:tcPr>
            <w:tcW w:w="1302" w:type="pct"/>
            <w:tcMar>
              <w:top w:w="120" w:type="dxa"/>
              <w:left w:w="120" w:type="dxa"/>
              <w:bottom w:w="120" w:type="dxa"/>
              <w:right w:w="120" w:type="dxa"/>
            </w:tcMar>
            <w:vAlign w:val="center"/>
          </w:tcPr>
          <w:p w14:paraId="68AD894F">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层 / 站 / 门</w:t>
            </w:r>
          </w:p>
        </w:tc>
        <w:tc>
          <w:tcPr>
            <w:tcW w:w="2670" w:type="pct"/>
            <w:tcMar>
              <w:top w:w="120" w:type="dxa"/>
              <w:left w:w="120" w:type="dxa"/>
              <w:bottom w:w="120" w:type="dxa"/>
              <w:right w:w="120" w:type="dxa"/>
            </w:tcMar>
            <w:vAlign w:val="center"/>
          </w:tcPr>
          <w:p w14:paraId="692E35EA">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11/11/11</w:t>
            </w:r>
          </w:p>
        </w:tc>
      </w:tr>
      <w:tr w14:paraId="46A7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1149003F">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2F026F3D">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7</w:t>
            </w:r>
          </w:p>
        </w:tc>
        <w:tc>
          <w:tcPr>
            <w:tcW w:w="1302" w:type="pct"/>
            <w:tcMar>
              <w:top w:w="120" w:type="dxa"/>
              <w:left w:w="120" w:type="dxa"/>
              <w:bottom w:w="120" w:type="dxa"/>
              <w:right w:w="120" w:type="dxa"/>
            </w:tcMar>
            <w:vAlign w:val="center"/>
          </w:tcPr>
          <w:p w14:paraId="42CC55E8">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开门方式</w:t>
            </w:r>
          </w:p>
        </w:tc>
        <w:tc>
          <w:tcPr>
            <w:tcW w:w="2670" w:type="pct"/>
            <w:tcMar>
              <w:top w:w="120" w:type="dxa"/>
              <w:left w:w="120" w:type="dxa"/>
              <w:bottom w:w="120" w:type="dxa"/>
              <w:right w:w="120" w:type="dxa"/>
            </w:tcMar>
            <w:vAlign w:val="center"/>
          </w:tcPr>
          <w:p w14:paraId="65A43B5A">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自动中分门</w:t>
            </w:r>
          </w:p>
        </w:tc>
      </w:tr>
      <w:tr w14:paraId="272D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67D1DE54">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7CB2C95B">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8</w:t>
            </w:r>
          </w:p>
        </w:tc>
        <w:tc>
          <w:tcPr>
            <w:tcW w:w="1302" w:type="pct"/>
            <w:tcMar>
              <w:top w:w="120" w:type="dxa"/>
              <w:left w:w="120" w:type="dxa"/>
              <w:bottom w:w="120" w:type="dxa"/>
              <w:right w:w="120" w:type="dxa"/>
            </w:tcMar>
            <w:vAlign w:val="center"/>
          </w:tcPr>
          <w:p w14:paraId="62E0A488">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开门净尺寸</w:t>
            </w:r>
          </w:p>
        </w:tc>
        <w:tc>
          <w:tcPr>
            <w:tcW w:w="2670" w:type="pct"/>
            <w:tcMar>
              <w:top w:w="120" w:type="dxa"/>
              <w:left w:w="120" w:type="dxa"/>
              <w:bottom w:w="120" w:type="dxa"/>
              <w:right w:w="120" w:type="dxa"/>
            </w:tcMar>
            <w:vAlign w:val="center"/>
          </w:tcPr>
          <w:p w14:paraId="206332EC">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净宽 900mm× 净高 2100mm</w:t>
            </w:r>
          </w:p>
        </w:tc>
      </w:tr>
      <w:tr w14:paraId="1176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6E1C657D">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2D645EAB">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9</w:t>
            </w:r>
          </w:p>
        </w:tc>
        <w:tc>
          <w:tcPr>
            <w:tcW w:w="1302" w:type="pct"/>
            <w:tcMar>
              <w:top w:w="120" w:type="dxa"/>
              <w:left w:w="120" w:type="dxa"/>
              <w:bottom w:w="120" w:type="dxa"/>
              <w:right w:w="120" w:type="dxa"/>
            </w:tcMar>
            <w:vAlign w:val="center"/>
          </w:tcPr>
          <w:p w14:paraId="04878850">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轿厢内部净尺寸</w:t>
            </w:r>
          </w:p>
        </w:tc>
        <w:tc>
          <w:tcPr>
            <w:tcW w:w="2670" w:type="pct"/>
            <w:tcMar>
              <w:top w:w="120" w:type="dxa"/>
              <w:left w:w="120" w:type="dxa"/>
              <w:bottom w:w="120" w:type="dxa"/>
              <w:right w:w="120" w:type="dxa"/>
            </w:tcMar>
            <w:vAlign w:val="center"/>
          </w:tcPr>
          <w:p w14:paraId="3221204B">
            <w:pPr>
              <w:widowControl/>
              <w:autoSpaceDE w:val="0"/>
              <w:autoSpaceDN w:val="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bidi="ar"/>
              </w:rPr>
              <w:t>净宽 1600mm× 净深 1500mm× 净高 2300mm</w:t>
            </w:r>
          </w:p>
        </w:tc>
      </w:tr>
      <w:tr w14:paraId="5D9F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5C593B31">
            <w:pPr>
              <w:autoSpaceDE w:val="0"/>
              <w:autoSpaceDN w:val="0"/>
              <w:jc w:val="center"/>
              <w:rPr>
                <w:rFonts w:hint="eastAsia" w:ascii="宋体" w:hAnsi="宋体" w:eastAsia="宋体" w:cs="宋体"/>
                <w:kern w:val="0"/>
                <w:sz w:val="24"/>
                <w:szCs w:val="24"/>
                <w:highlight w:val="none"/>
                <w:lang w:eastAsia="zh-CN"/>
              </w:rPr>
            </w:pPr>
          </w:p>
        </w:tc>
        <w:tc>
          <w:tcPr>
            <w:tcW w:w="507" w:type="pct"/>
            <w:tcMar>
              <w:top w:w="120" w:type="dxa"/>
              <w:left w:w="120" w:type="dxa"/>
              <w:bottom w:w="120" w:type="dxa"/>
              <w:right w:w="120" w:type="dxa"/>
            </w:tcMar>
            <w:vAlign w:val="center"/>
          </w:tcPr>
          <w:p w14:paraId="5582E6EE">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10</w:t>
            </w:r>
          </w:p>
        </w:tc>
        <w:tc>
          <w:tcPr>
            <w:tcW w:w="1302" w:type="pct"/>
            <w:tcMar>
              <w:top w:w="120" w:type="dxa"/>
              <w:left w:w="120" w:type="dxa"/>
              <w:bottom w:w="120" w:type="dxa"/>
              <w:right w:w="120" w:type="dxa"/>
            </w:tcMar>
            <w:vAlign w:val="center"/>
          </w:tcPr>
          <w:p w14:paraId="65FB040B">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井道尺寸</w:t>
            </w:r>
          </w:p>
        </w:tc>
        <w:tc>
          <w:tcPr>
            <w:tcW w:w="2670" w:type="pct"/>
            <w:tcMar>
              <w:top w:w="120" w:type="dxa"/>
              <w:left w:w="120" w:type="dxa"/>
              <w:bottom w:w="120" w:type="dxa"/>
              <w:right w:w="120" w:type="dxa"/>
            </w:tcMar>
            <w:vAlign w:val="center"/>
          </w:tcPr>
          <w:p w14:paraId="51AA65FF">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具体以现场测量为准</w:t>
            </w:r>
          </w:p>
        </w:tc>
      </w:tr>
      <w:tr w14:paraId="5EC9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6649BE62">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19A25039">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11</w:t>
            </w:r>
          </w:p>
        </w:tc>
        <w:tc>
          <w:tcPr>
            <w:tcW w:w="1302" w:type="pct"/>
            <w:tcMar>
              <w:top w:w="120" w:type="dxa"/>
              <w:left w:w="120" w:type="dxa"/>
              <w:bottom w:w="120" w:type="dxa"/>
              <w:right w:w="120" w:type="dxa"/>
            </w:tcMar>
            <w:vAlign w:val="center"/>
          </w:tcPr>
          <w:p w14:paraId="6CF41A3B">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顶层高度</w:t>
            </w:r>
          </w:p>
        </w:tc>
        <w:tc>
          <w:tcPr>
            <w:tcW w:w="2670" w:type="pct"/>
            <w:tcMar>
              <w:top w:w="120" w:type="dxa"/>
              <w:left w:w="120" w:type="dxa"/>
              <w:bottom w:w="120" w:type="dxa"/>
              <w:right w:w="120" w:type="dxa"/>
            </w:tcMar>
            <w:vAlign w:val="center"/>
          </w:tcPr>
          <w:p w14:paraId="440A0937">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具体以现场测量为准</w:t>
            </w:r>
          </w:p>
        </w:tc>
      </w:tr>
      <w:tr w14:paraId="04F2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3C835233">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210929DB">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12</w:t>
            </w:r>
          </w:p>
        </w:tc>
        <w:tc>
          <w:tcPr>
            <w:tcW w:w="1302" w:type="pct"/>
            <w:tcMar>
              <w:top w:w="120" w:type="dxa"/>
              <w:left w:w="120" w:type="dxa"/>
              <w:bottom w:w="120" w:type="dxa"/>
              <w:right w:w="120" w:type="dxa"/>
            </w:tcMar>
            <w:vAlign w:val="center"/>
          </w:tcPr>
          <w:p w14:paraId="16D010B9">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底坑深度</w:t>
            </w:r>
          </w:p>
        </w:tc>
        <w:tc>
          <w:tcPr>
            <w:tcW w:w="2670" w:type="pct"/>
            <w:tcMar>
              <w:top w:w="120" w:type="dxa"/>
              <w:left w:w="120" w:type="dxa"/>
              <w:bottom w:w="120" w:type="dxa"/>
              <w:right w:w="120" w:type="dxa"/>
            </w:tcMar>
            <w:vAlign w:val="center"/>
          </w:tcPr>
          <w:p w14:paraId="14397347">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具体以现场测量为准</w:t>
            </w:r>
          </w:p>
        </w:tc>
      </w:tr>
      <w:tr w14:paraId="407B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1CFD5E82">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719A71A1">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13</w:t>
            </w:r>
          </w:p>
        </w:tc>
        <w:tc>
          <w:tcPr>
            <w:tcW w:w="1302" w:type="pct"/>
            <w:tcMar>
              <w:top w:w="120" w:type="dxa"/>
              <w:left w:w="120" w:type="dxa"/>
              <w:bottom w:w="120" w:type="dxa"/>
              <w:right w:w="120" w:type="dxa"/>
            </w:tcMar>
            <w:vAlign w:val="center"/>
          </w:tcPr>
          <w:p w14:paraId="76972E83">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机房位置</w:t>
            </w:r>
          </w:p>
        </w:tc>
        <w:tc>
          <w:tcPr>
            <w:tcW w:w="2670" w:type="pct"/>
            <w:tcMar>
              <w:top w:w="120" w:type="dxa"/>
              <w:left w:w="120" w:type="dxa"/>
              <w:bottom w:w="120" w:type="dxa"/>
              <w:right w:w="120" w:type="dxa"/>
            </w:tcMar>
            <w:vAlign w:val="center"/>
          </w:tcPr>
          <w:p w14:paraId="5A680CAB">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井道上方（有机房）</w:t>
            </w:r>
          </w:p>
        </w:tc>
      </w:tr>
      <w:tr w14:paraId="3586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319B4F1C">
            <w:pPr>
              <w:autoSpaceDE w:val="0"/>
              <w:autoSpaceDN w:val="0"/>
              <w:jc w:val="center"/>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3F1CC8DF">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14</w:t>
            </w:r>
          </w:p>
        </w:tc>
        <w:tc>
          <w:tcPr>
            <w:tcW w:w="1302" w:type="pct"/>
            <w:tcMar>
              <w:top w:w="120" w:type="dxa"/>
              <w:left w:w="120" w:type="dxa"/>
              <w:bottom w:w="120" w:type="dxa"/>
              <w:right w:w="120" w:type="dxa"/>
            </w:tcMar>
            <w:vAlign w:val="center"/>
          </w:tcPr>
          <w:p w14:paraId="0EC2362B">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供电电源</w:t>
            </w:r>
          </w:p>
        </w:tc>
        <w:tc>
          <w:tcPr>
            <w:tcW w:w="2670" w:type="pct"/>
            <w:tcMar>
              <w:top w:w="120" w:type="dxa"/>
              <w:left w:w="120" w:type="dxa"/>
              <w:bottom w:w="120" w:type="dxa"/>
              <w:right w:w="120" w:type="dxa"/>
            </w:tcMar>
            <w:vAlign w:val="center"/>
          </w:tcPr>
          <w:p w14:paraId="2E606EB2">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动力：380V，50Hz；照明：220V，50Hz</w:t>
            </w:r>
          </w:p>
        </w:tc>
      </w:tr>
      <w:tr w14:paraId="0C40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restart"/>
            <w:tcMar>
              <w:top w:w="120" w:type="dxa"/>
              <w:left w:w="120" w:type="dxa"/>
              <w:bottom w:w="120" w:type="dxa"/>
              <w:right w:w="120" w:type="dxa"/>
            </w:tcMar>
            <w:vAlign w:val="center"/>
          </w:tcPr>
          <w:p w14:paraId="71EF6C77">
            <w:pPr>
              <w:widowControl/>
              <w:autoSpaceDE w:val="0"/>
              <w:autoSpaceDN w:val="0"/>
              <w:jc w:val="center"/>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轿厢装潢</w:t>
            </w:r>
          </w:p>
        </w:tc>
        <w:tc>
          <w:tcPr>
            <w:tcW w:w="507" w:type="pct"/>
            <w:tcMar>
              <w:top w:w="120" w:type="dxa"/>
              <w:left w:w="120" w:type="dxa"/>
              <w:bottom w:w="120" w:type="dxa"/>
              <w:right w:w="120" w:type="dxa"/>
            </w:tcMar>
            <w:vAlign w:val="center"/>
          </w:tcPr>
          <w:p w14:paraId="576069E6">
            <w:pPr>
              <w:widowControl/>
              <w:autoSpaceDE w:val="0"/>
              <w:autoSpaceDN w:val="0"/>
              <w:jc w:val="center"/>
              <w:textAlignment w:val="center"/>
              <w:rPr>
                <w:rFonts w:hint="eastAsia" w:ascii="宋体" w:hAnsi="宋体" w:eastAsia="宋体" w:cs="宋体"/>
                <w:kern w:val="0"/>
                <w:sz w:val="24"/>
                <w:szCs w:val="24"/>
                <w:highlight w:val="none"/>
                <w:lang w:eastAsia="zh-CN" w:bidi="ar"/>
              </w:rPr>
            </w:pPr>
            <w:r>
              <w:rPr>
                <w:rFonts w:hint="eastAsia" w:ascii="宋体" w:hAnsi="宋体" w:eastAsia="宋体" w:cs="宋体"/>
                <w:color w:val="000000"/>
                <w:kern w:val="0"/>
                <w:sz w:val="24"/>
                <w:szCs w:val="24"/>
                <w:highlight w:val="none"/>
                <w:lang w:eastAsia="zh-CN" w:bidi="ar"/>
              </w:rPr>
              <w:t>1</w:t>
            </w:r>
          </w:p>
        </w:tc>
        <w:tc>
          <w:tcPr>
            <w:tcW w:w="1302" w:type="pct"/>
            <w:tcMar>
              <w:top w:w="120" w:type="dxa"/>
              <w:left w:w="120" w:type="dxa"/>
              <w:bottom w:w="120" w:type="dxa"/>
              <w:right w:w="120" w:type="dxa"/>
            </w:tcMar>
            <w:vAlign w:val="center"/>
          </w:tcPr>
          <w:p w14:paraId="770CEF1D">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轿顶型号</w:t>
            </w:r>
          </w:p>
        </w:tc>
        <w:tc>
          <w:tcPr>
            <w:tcW w:w="2670" w:type="pct"/>
            <w:tcMar>
              <w:top w:w="120" w:type="dxa"/>
              <w:left w:w="120" w:type="dxa"/>
              <w:bottom w:w="120" w:type="dxa"/>
              <w:right w:w="120" w:type="dxa"/>
            </w:tcMar>
            <w:vAlign w:val="center"/>
          </w:tcPr>
          <w:p w14:paraId="3CF64DEB">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标准轿顶</w:t>
            </w:r>
          </w:p>
        </w:tc>
      </w:tr>
      <w:tr w14:paraId="52C7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2D4152DA">
            <w:pPr>
              <w:autoSpaceDE w:val="0"/>
              <w:autoSpaceDN w:val="0"/>
              <w:jc w:val="left"/>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1E9F3C20">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2</w:t>
            </w:r>
          </w:p>
        </w:tc>
        <w:tc>
          <w:tcPr>
            <w:tcW w:w="1302" w:type="pct"/>
            <w:tcMar>
              <w:top w:w="120" w:type="dxa"/>
              <w:left w:w="120" w:type="dxa"/>
              <w:bottom w:w="120" w:type="dxa"/>
              <w:right w:w="120" w:type="dxa"/>
            </w:tcMar>
            <w:vAlign w:val="center"/>
          </w:tcPr>
          <w:p w14:paraId="21180B92">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轿厢前壁</w:t>
            </w:r>
          </w:p>
        </w:tc>
        <w:tc>
          <w:tcPr>
            <w:tcW w:w="2670" w:type="pct"/>
            <w:tcMar>
              <w:top w:w="120" w:type="dxa"/>
              <w:left w:w="120" w:type="dxa"/>
              <w:bottom w:w="120" w:type="dxa"/>
              <w:right w:w="120" w:type="dxa"/>
            </w:tcMar>
            <w:vAlign w:val="center"/>
          </w:tcPr>
          <w:p w14:paraId="62E287A7">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发纹不锈钢</w:t>
            </w:r>
          </w:p>
        </w:tc>
      </w:tr>
      <w:tr w14:paraId="0E19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01D2D7B2">
            <w:pPr>
              <w:autoSpaceDE w:val="0"/>
              <w:autoSpaceDN w:val="0"/>
              <w:jc w:val="left"/>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1EDF7C58">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3</w:t>
            </w:r>
          </w:p>
        </w:tc>
        <w:tc>
          <w:tcPr>
            <w:tcW w:w="1302" w:type="pct"/>
            <w:tcMar>
              <w:top w:w="120" w:type="dxa"/>
              <w:left w:w="120" w:type="dxa"/>
              <w:bottom w:w="120" w:type="dxa"/>
              <w:right w:w="120" w:type="dxa"/>
            </w:tcMar>
            <w:vAlign w:val="center"/>
          </w:tcPr>
          <w:p w14:paraId="1FFE653E">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轿厢侧壁</w:t>
            </w:r>
          </w:p>
        </w:tc>
        <w:tc>
          <w:tcPr>
            <w:tcW w:w="2670" w:type="pct"/>
            <w:tcMar>
              <w:top w:w="120" w:type="dxa"/>
              <w:left w:w="120" w:type="dxa"/>
              <w:bottom w:w="120" w:type="dxa"/>
              <w:right w:w="120" w:type="dxa"/>
            </w:tcMar>
            <w:vAlign w:val="center"/>
          </w:tcPr>
          <w:p w14:paraId="7564627D">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发纹不锈钢</w:t>
            </w:r>
          </w:p>
        </w:tc>
      </w:tr>
      <w:tr w14:paraId="138C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30369ED7">
            <w:pPr>
              <w:autoSpaceDE w:val="0"/>
              <w:autoSpaceDN w:val="0"/>
              <w:jc w:val="left"/>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3C48BC23">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4</w:t>
            </w:r>
          </w:p>
        </w:tc>
        <w:tc>
          <w:tcPr>
            <w:tcW w:w="1302" w:type="pct"/>
            <w:tcMar>
              <w:top w:w="120" w:type="dxa"/>
              <w:left w:w="120" w:type="dxa"/>
              <w:bottom w:w="120" w:type="dxa"/>
              <w:right w:w="120" w:type="dxa"/>
            </w:tcMar>
            <w:vAlign w:val="center"/>
          </w:tcPr>
          <w:p w14:paraId="43FE133A">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轿厢后壁</w:t>
            </w:r>
          </w:p>
        </w:tc>
        <w:tc>
          <w:tcPr>
            <w:tcW w:w="2670" w:type="pct"/>
            <w:tcMar>
              <w:top w:w="120" w:type="dxa"/>
              <w:left w:w="120" w:type="dxa"/>
              <w:bottom w:w="120" w:type="dxa"/>
              <w:right w:w="120" w:type="dxa"/>
            </w:tcMar>
            <w:vAlign w:val="center"/>
          </w:tcPr>
          <w:p w14:paraId="63D3B703">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发纹不锈钢</w:t>
            </w:r>
          </w:p>
        </w:tc>
      </w:tr>
      <w:tr w14:paraId="4EE7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079DA7E3">
            <w:pPr>
              <w:autoSpaceDE w:val="0"/>
              <w:autoSpaceDN w:val="0"/>
              <w:jc w:val="left"/>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53D6B407">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5</w:t>
            </w:r>
          </w:p>
        </w:tc>
        <w:tc>
          <w:tcPr>
            <w:tcW w:w="1302" w:type="pct"/>
            <w:tcMar>
              <w:top w:w="120" w:type="dxa"/>
              <w:left w:w="120" w:type="dxa"/>
              <w:bottom w:w="120" w:type="dxa"/>
              <w:right w:w="120" w:type="dxa"/>
            </w:tcMar>
            <w:vAlign w:val="center"/>
          </w:tcPr>
          <w:p w14:paraId="273F2A52">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轿厢门</w:t>
            </w:r>
          </w:p>
        </w:tc>
        <w:tc>
          <w:tcPr>
            <w:tcW w:w="2670" w:type="pct"/>
            <w:tcMar>
              <w:top w:w="120" w:type="dxa"/>
              <w:left w:w="120" w:type="dxa"/>
              <w:bottom w:w="120" w:type="dxa"/>
              <w:right w:w="120" w:type="dxa"/>
            </w:tcMar>
            <w:vAlign w:val="center"/>
          </w:tcPr>
          <w:p w14:paraId="2DC844BD">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发纹不锈钢</w:t>
            </w:r>
          </w:p>
        </w:tc>
      </w:tr>
      <w:tr w14:paraId="4EC1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54818151">
            <w:pPr>
              <w:autoSpaceDE w:val="0"/>
              <w:autoSpaceDN w:val="0"/>
              <w:jc w:val="left"/>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229D6894">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6</w:t>
            </w:r>
          </w:p>
        </w:tc>
        <w:tc>
          <w:tcPr>
            <w:tcW w:w="1302" w:type="pct"/>
            <w:tcMar>
              <w:top w:w="120" w:type="dxa"/>
              <w:left w:w="120" w:type="dxa"/>
              <w:bottom w:w="120" w:type="dxa"/>
              <w:right w:w="120" w:type="dxa"/>
            </w:tcMar>
            <w:vAlign w:val="center"/>
          </w:tcPr>
          <w:p w14:paraId="4EE50816">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轿厢地面</w:t>
            </w:r>
          </w:p>
        </w:tc>
        <w:tc>
          <w:tcPr>
            <w:tcW w:w="2670" w:type="pct"/>
            <w:tcMar>
              <w:top w:w="120" w:type="dxa"/>
              <w:left w:w="120" w:type="dxa"/>
              <w:bottom w:w="120" w:type="dxa"/>
              <w:right w:w="120" w:type="dxa"/>
            </w:tcMar>
            <w:vAlign w:val="center"/>
          </w:tcPr>
          <w:p w14:paraId="674B5532">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PVC 地板</w:t>
            </w:r>
          </w:p>
        </w:tc>
      </w:tr>
      <w:tr w14:paraId="39AC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0E2A0156">
            <w:pPr>
              <w:autoSpaceDE w:val="0"/>
              <w:autoSpaceDN w:val="0"/>
              <w:jc w:val="left"/>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1C9468FF">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7</w:t>
            </w:r>
          </w:p>
        </w:tc>
        <w:tc>
          <w:tcPr>
            <w:tcW w:w="1302" w:type="pct"/>
            <w:tcMar>
              <w:top w:w="120" w:type="dxa"/>
              <w:left w:w="120" w:type="dxa"/>
              <w:bottom w:w="120" w:type="dxa"/>
              <w:right w:w="120" w:type="dxa"/>
            </w:tcMar>
            <w:vAlign w:val="center"/>
          </w:tcPr>
          <w:p w14:paraId="310B5852">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轿厢整体装饰主材</w:t>
            </w:r>
          </w:p>
        </w:tc>
        <w:tc>
          <w:tcPr>
            <w:tcW w:w="2670" w:type="pct"/>
            <w:tcMar>
              <w:top w:w="120" w:type="dxa"/>
              <w:left w:w="120" w:type="dxa"/>
              <w:bottom w:w="120" w:type="dxa"/>
              <w:right w:w="120" w:type="dxa"/>
            </w:tcMar>
            <w:vAlign w:val="center"/>
          </w:tcPr>
          <w:p w14:paraId="260C44EA">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发纹不锈钢</w:t>
            </w:r>
          </w:p>
        </w:tc>
      </w:tr>
      <w:tr w14:paraId="629A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restart"/>
            <w:tcMar>
              <w:top w:w="120" w:type="dxa"/>
              <w:left w:w="120" w:type="dxa"/>
              <w:bottom w:w="120" w:type="dxa"/>
              <w:right w:w="120" w:type="dxa"/>
            </w:tcMar>
            <w:vAlign w:val="center"/>
          </w:tcPr>
          <w:p w14:paraId="43516FB0">
            <w:pPr>
              <w:widowControl/>
              <w:autoSpaceDE w:val="0"/>
              <w:autoSpaceDN w:val="0"/>
              <w:jc w:val="center"/>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候梯厅配置</w:t>
            </w:r>
          </w:p>
        </w:tc>
        <w:tc>
          <w:tcPr>
            <w:tcW w:w="507" w:type="pct"/>
            <w:tcMar>
              <w:top w:w="120" w:type="dxa"/>
              <w:left w:w="120" w:type="dxa"/>
              <w:bottom w:w="120" w:type="dxa"/>
              <w:right w:w="120" w:type="dxa"/>
            </w:tcMar>
            <w:vAlign w:val="center"/>
          </w:tcPr>
          <w:p w14:paraId="1481A42B">
            <w:pPr>
              <w:widowControl/>
              <w:autoSpaceDE w:val="0"/>
              <w:autoSpaceDN w:val="0"/>
              <w:jc w:val="center"/>
              <w:textAlignment w:val="center"/>
              <w:rPr>
                <w:rFonts w:hint="eastAsia" w:ascii="宋体" w:hAnsi="宋体" w:eastAsia="宋体" w:cs="宋体"/>
                <w:kern w:val="0"/>
                <w:sz w:val="24"/>
                <w:szCs w:val="24"/>
                <w:highlight w:val="none"/>
                <w:lang w:eastAsia="zh-CN" w:bidi="ar"/>
              </w:rPr>
            </w:pPr>
            <w:r>
              <w:rPr>
                <w:rFonts w:hint="eastAsia" w:ascii="宋体" w:hAnsi="宋体" w:eastAsia="宋体" w:cs="宋体"/>
                <w:color w:val="000000"/>
                <w:kern w:val="0"/>
                <w:sz w:val="24"/>
                <w:szCs w:val="24"/>
                <w:highlight w:val="none"/>
                <w:lang w:eastAsia="zh-CN" w:bidi="ar"/>
              </w:rPr>
              <w:t>1</w:t>
            </w:r>
          </w:p>
        </w:tc>
        <w:tc>
          <w:tcPr>
            <w:tcW w:w="1302" w:type="pct"/>
            <w:tcMar>
              <w:top w:w="120" w:type="dxa"/>
              <w:left w:w="120" w:type="dxa"/>
              <w:bottom w:w="120" w:type="dxa"/>
              <w:right w:w="120" w:type="dxa"/>
            </w:tcMar>
            <w:vAlign w:val="center"/>
          </w:tcPr>
          <w:p w14:paraId="3C0F96E2">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门套</w:t>
            </w:r>
          </w:p>
        </w:tc>
        <w:tc>
          <w:tcPr>
            <w:tcW w:w="2670" w:type="pct"/>
            <w:tcMar>
              <w:top w:w="120" w:type="dxa"/>
              <w:left w:w="120" w:type="dxa"/>
              <w:bottom w:w="120" w:type="dxa"/>
              <w:right w:w="120" w:type="dxa"/>
            </w:tcMar>
            <w:vAlign w:val="center"/>
          </w:tcPr>
          <w:p w14:paraId="4606E961">
            <w:pPr>
              <w:widowControl/>
              <w:autoSpaceDE w:val="0"/>
              <w:autoSpaceDN w:val="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bidi="ar"/>
              </w:rPr>
              <w:t>所有楼层标准小门套，发纹不锈钢</w:t>
            </w:r>
          </w:p>
        </w:tc>
      </w:tr>
      <w:tr w14:paraId="557F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50986837">
            <w:pPr>
              <w:autoSpaceDE w:val="0"/>
              <w:autoSpaceDN w:val="0"/>
              <w:jc w:val="left"/>
              <w:rPr>
                <w:rFonts w:hint="eastAsia" w:ascii="宋体" w:hAnsi="宋体" w:eastAsia="宋体" w:cs="宋体"/>
                <w:kern w:val="0"/>
                <w:sz w:val="24"/>
                <w:szCs w:val="24"/>
                <w:highlight w:val="none"/>
                <w:lang w:eastAsia="zh-CN"/>
              </w:rPr>
            </w:pPr>
          </w:p>
        </w:tc>
        <w:tc>
          <w:tcPr>
            <w:tcW w:w="507" w:type="pct"/>
            <w:tcMar>
              <w:top w:w="120" w:type="dxa"/>
              <w:left w:w="120" w:type="dxa"/>
              <w:bottom w:w="120" w:type="dxa"/>
              <w:right w:w="120" w:type="dxa"/>
            </w:tcMar>
            <w:vAlign w:val="center"/>
          </w:tcPr>
          <w:p w14:paraId="19EDF230">
            <w:pPr>
              <w:widowControl/>
              <w:autoSpaceDE w:val="0"/>
              <w:autoSpaceDN w:val="0"/>
              <w:jc w:val="center"/>
              <w:textAlignment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2</w:t>
            </w:r>
          </w:p>
        </w:tc>
        <w:tc>
          <w:tcPr>
            <w:tcW w:w="1302" w:type="pct"/>
            <w:tcMar>
              <w:top w:w="120" w:type="dxa"/>
              <w:left w:w="120" w:type="dxa"/>
              <w:bottom w:w="120" w:type="dxa"/>
              <w:right w:w="120" w:type="dxa"/>
            </w:tcMar>
            <w:vAlign w:val="center"/>
          </w:tcPr>
          <w:p w14:paraId="3DCE97A4">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梯厅门（层门）</w:t>
            </w:r>
          </w:p>
        </w:tc>
        <w:tc>
          <w:tcPr>
            <w:tcW w:w="2670" w:type="pct"/>
            <w:tcMar>
              <w:top w:w="120" w:type="dxa"/>
              <w:left w:w="120" w:type="dxa"/>
              <w:bottom w:w="120" w:type="dxa"/>
              <w:right w:w="120" w:type="dxa"/>
            </w:tcMar>
            <w:vAlign w:val="center"/>
          </w:tcPr>
          <w:p w14:paraId="0711B1F2">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所有楼层发纹不锈钢</w:t>
            </w:r>
          </w:p>
        </w:tc>
      </w:tr>
      <w:tr w14:paraId="5B80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4285A304">
            <w:pPr>
              <w:autoSpaceDE w:val="0"/>
              <w:autoSpaceDN w:val="0"/>
              <w:jc w:val="left"/>
              <w:rPr>
                <w:rFonts w:hint="eastAsia" w:ascii="宋体" w:hAnsi="宋体" w:eastAsia="宋体" w:cs="宋体"/>
                <w:kern w:val="0"/>
                <w:sz w:val="24"/>
                <w:szCs w:val="24"/>
                <w:highlight w:val="none"/>
                <w:lang w:eastAsia="en-US"/>
              </w:rPr>
            </w:pPr>
          </w:p>
        </w:tc>
        <w:tc>
          <w:tcPr>
            <w:tcW w:w="507" w:type="pct"/>
            <w:tcMar>
              <w:top w:w="120" w:type="dxa"/>
              <w:left w:w="120" w:type="dxa"/>
              <w:bottom w:w="120" w:type="dxa"/>
              <w:right w:w="120" w:type="dxa"/>
            </w:tcMar>
            <w:vAlign w:val="center"/>
          </w:tcPr>
          <w:p w14:paraId="361F2BF4">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3</w:t>
            </w:r>
          </w:p>
        </w:tc>
        <w:tc>
          <w:tcPr>
            <w:tcW w:w="1302" w:type="pct"/>
            <w:tcMar>
              <w:top w:w="120" w:type="dxa"/>
              <w:left w:w="120" w:type="dxa"/>
              <w:bottom w:w="120" w:type="dxa"/>
              <w:right w:w="120" w:type="dxa"/>
            </w:tcMar>
            <w:vAlign w:val="center"/>
          </w:tcPr>
          <w:p w14:paraId="2E948528">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地坎</w:t>
            </w:r>
          </w:p>
        </w:tc>
        <w:tc>
          <w:tcPr>
            <w:tcW w:w="2670" w:type="pct"/>
            <w:tcMar>
              <w:top w:w="120" w:type="dxa"/>
              <w:left w:w="120" w:type="dxa"/>
              <w:bottom w:w="120" w:type="dxa"/>
              <w:right w:w="120" w:type="dxa"/>
            </w:tcMar>
            <w:vAlign w:val="center"/>
          </w:tcPr>
          <w:p w14:paraId="2EC1C60C">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铝合金材质</w:t>
            </w:r>
          </w:p>
        </w:tc>
      </w:tr>
      <w:tr w14:paraId="1E21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restart"/>
            <w:tcMar>
              <w:top w:w="120" w:type="dxa"/>
              <w:left w:w="120" w:type="dxa"/>
              <w:bottom w:w="120" w:type="dxa"/>
              <w:right w:w="120" w:type="dxa"/>
            </w:tcMar>
            <w:vAlign w:val="center"/>
          </w:tcPr>
          <w:p w14:paraId="116FF1B4">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操纵显示系统</w:t>
            </w:r>
          </w:p>
        </w:tc>
        <w:tc>
          <w:tcPr>
            <w:tcW w:w="507" w:type="pct"/>
            <w:tcMar>
              <w:top w:w="120" w:type="dxa"/>
              <w:left w:w="120" w:type="dxa"/>
              <w:bottom w:w="120" w:type="dxa"/>
              <w:right w:w="120" w:type="dxa"/>
            </w:tcMar>
            <w:vAlign w:val="center"/>
          </w:tcPr>
          <w:p w14:paraId="2387D7F6">
            <w:pPr>
              <w:widowControl/>
              <w:autoSpaceDE w:val="0"/>
              <w:autoSpaceDN w:val="0"/>
              <w:jc w:val="center"/>
              <w:rPr>
                <w:rFonts w:hint="eastAsia" w:ascii="宋体" w:hAnsi="宋体" w:eastAsia="宋体" w:cs="宋体"/>
                <w:kern w:val="0"/>
                <w:sz w:val="24"/>
                <w:szCs w:val="24"/>
                <w:highlight w:val="none"/>
                <w:lang w:eastAsia="zh-CN" w:bidi="ar"/>
              </w:rPr>
            </w:pPr>
            <w:r>
              <w:rPr>
                <w:rFonts w:hint="eastAsia" w:ascii="宋体" w:hAnsi="宋体" w:eastAsia="宋体" w:cs="宋体"/>
                <w:kern w:val="0"/>
                <w:sz w:val="24"/>
                <w:szCs w:val="24"/>
                <w:highlight w:val="none"/>
                <w:lang w:eastAsia="zh-CN" w:bidi="ar"/>
              </w:rPr>
              <w:t>1</w:t>
            </w:r>
          </w:p>
        </w:tc>
        <w:tc>
          <w:tcPr>
            <w:tcW w:w="1302" w:type="pct"/>
            <w:tcMar>
              <w:top w:w="120" w:type="dxa"/>
              <w:left w:w="120" w:type="dxa"/>
              <w:bottom w:w="120" w:type="dxa"/>
              <w:right w:w="120" w:type="dxa"/>
            </w:tcMar>
            <w:vAlign w:val="center"/>
          </w:tcPr>
          <w:p w14:paraId="48F68728">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轿厢操作板显示</w:t>
            </w:r>
          </w:p>
        </w:tc>
        <w:tc>
          <w:tcPr>
            <w:tcW w:w="2670" w:type="pct"/>
            <w:tcMar>
              <w:top w:w="120" w:type="dxa"/>
              <w:left w:w="120" w:type="dxa"/>
              <w:bottom w:w="120" w:type="dxa"/>
              <w:right w:w="120" w:type="dxa"/>
            </w:tcMar>
            <w:vAlign w:val="center"/>
          </w:tcPr>
          <w:p w14:paraId="53A5054E">
            <w:pPr>
              <w:widowControl/>
              <w:autoSpaceDE w:val="0"/>
              <w:autoSpaceDN w:val="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bidi="ar"/>
              </w:rPr>
              <w:t>橙色段码显示，面板材质：发纹不锈钢</w:t>
            </w:r>
          </w:p>
        </w:tc>
      </w:tr>
      <w:tr w14:paraId="68E1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9" w:type="pct"/>
            <w:vMerge w:val="continue"/>
            <w:tcMar>
              <w:top w:w="120" w:type="dxa"/>
              <w:left w:w="120" w:type="dxa"/>
              <w:bottom w:w="120" w:type="dxa"/>
              <w:right w:w="120" w:type="dxa"/>
            </w:tcMar>
            <w:vAlign w:val="center"/>
          </w:tcPr>
          <w:p w14:paraId="0C907254">
            <w:pPr>
              <w:autoSpaceDE w:val="0"/>
              <w:autoSpaceDN w:val="0"/>
              <w:jc w:val="left"/>
              <w:rPr>
                <w:rFonts w:hint="eastAsia" w:ascii="宋体" w:hAnsi="宋体" w:eastAsia="宋体" w:cs="宋体"/>
                <w:kern w:val="0"/>
                <w:sz w:val="24"/>
                <w:szCs w:val="24"/>
                <w:highlight w:val="none"/>
                <w:lang w:eastAsia="zh-CN"/>
              </w:rPr>
            </w:pPr>
          </w:p>
        </w:tc>
        <w:tc>
          <w:tcPr>
            <w:tcW w:w="507" w:type="pct"/>
            <w:tcMar>
              <w:top w:w="120" w:type="dxa"/>
              <w:left w:w="120" w:type="dxa"/>
              <w:bottom w:w="120" w:type="dxa"/>
              <w:right w:w="120" w:type="dxa"/>
            </w:tcMar>
            <w:vAlign w:val="center"/>
          </w:tcPr>
          <w:p w14:paraId="5899A6EA">
            <w:pPr>
              <w:autoSpaceDE w:val="0"/>
              <w:autoSpaceDN w:val="0"/>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2</w:t>
            </w:r>
          </w:p>
        </w:tc>
        <w:tc>
          <w:tcPr>
            <w:tcW w:w="1302" w:type="pct"/>
            <w:tcMar>
              <w:top w:w="120" w:type="dxa"/>
              <w:left w:w="120" w:type="dxa"/>
              <w:bottom w:w="120" w:type="dxa"/>
              <w:right w:w="120" w:type="dxa"/>
            </w:tcMar>
            <w:vAlign w:val="center"/>
          </w:tcPr>
          <w:p w14:paraId="359F1601">
            <w:pPr>
              <w:widowControl/>
              <w:autoSpaceDE w:val="0"/>
              <w:autoSpaceDN w:val="0"/>
              <w:jc w:val="left"/>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zh-CN" w:bidi="ar"/>
              </w:rPr>
              <w:t>各层梯厅位置显示器</w:t>
            </w:r>
          </w:p>
        </w:tc>
        <w:tc>
          <w:tcPr>
            <w:tcW w:w="2670" w:type="pct"/>
            <w:tcMar>
              <w:top w:w="120" w:type="dxa"/>
              <w:left w:w="120" w:type="dxa"/>
              <w:bottom w:w="120" w:type="dxa"/>
              <w:right w:w="120" w:type="dxa"/>
            </w:tcMar>
            <w:vAlign w:val="center"/>
          </w:tcPr>
          <w:p w14:paraId="1F96D7EF">
            <w:pPr>
              <w:widowControl/>
              <w:autoSpaceDE w:val="0"/>
              <w:autoSpaceDN w:val="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bidi="ar"/>
              </w:rPr>
              <w:t>橙色段码显示，面板材质：发纹不锈钢</w:t>
            </w:r>
          </w:p>
        </w:tc>
      </w:tr>
    </w:tbl>
    <w:p w14:paraId="7580D36B">
      <w:pPr>
        <w:widowControl w:val="0"/>
        <w:autoSpaceDE w:val="0"/>
        <w:autoSpaceDN w:val="0"/>
        <w:rPr>
          <w:rFonts w:hint="eastAsia" w:ascii="宋体" w:hAnsi="宋体" w:eastAsia="宋体" w:cs="宋体"/>
          <w:sz w:val="24"/>
          <w:szCs w:val="24"/>
          <w:highlight w:val="none"/>
          <w:lang w:val="en-US" w:eastAsia="zh-CN" w:bidi="ar-SA"/>
        </w:rPr>
      </w:pPr>
    </w:p>
    <w:p w14:paraId="0C8BF752">
      <w:pPr>
        <w:widowControl/>
        <w:autoSpaceDE w:val="0"/>
        <w:autoSpaceDN w:val="0"/>
        <w:adjustRightInd w:val="0"/>
        <w:snapToGrid w:val="0"/>
        <w:spacing w:before="120" w:beforeLines="50" w:line="360" w:lineRule="auto"/>
        <w:jc w:val="center"/>
        <w:rPr>
          <w:rFonts w:hint="eastAsia" w:ascii="宋体" w:hAnsi="宋体" w:eastAsia="宋体" w:cs="宋体"/>
          <w:b/>
          <w:bCs/>
          <w:kern w:val="0"/>
          <w:sz w:val="24"/>
          <w:szCs w:val="24"/>
          <w:highlight w:val="none"/>
          <w:lang w:val="zh-CN" w:eastAsia="zh-CN"/>
        </w:rPr>
      </w:pPr>
      <w:r>
        <w:rPr>
          <w:rFonts w:hint="eastAsia" w:ascii="宋体" w:hAnsi="宋体" w:eastAsia="宋体" w:cs="宋体"/>
          <w:b/>
          <w:bCs/>
          <w:kern w:val="0"/>
          <w:sz w:val="24"/>
          <w:szCs w:val="24"/>
          <w:highlight w:val="none"/>
          <w:lang w:val="zh-CN" w:eastAsia="en-US"/>
        </w:rPr>
        <w:t>电梯技术参数表2</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82"/>
        <w:gridCol w:w="887"/>
        <w:gridCol w:w="2215"/>
        <w:gridCol w:w="4562"/>
      </w:tblGrid>
      <w:tr w14:paraId="54B6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tblHeader/>
          <w:jc w:val="center"/>
        </w:trPr>
        <w:tc>
          <w:tcPr>
            <w:tcW w:w="516" w:type="pct"/>
            <w:tcMar>
              <w:top w:w="120" w:type="dxa"/>
              <w:left w:w="120" w:type="dxa"/>
              <w:bottom w:w="120" w:type="dxa"/>
              <w:right w:w="120" w:type="dxa"/>
            </w:tcMar>
            <w:vAlign w:val="center"/>
          </w:tcPr>
          <w:p w14:paraId="55DA4EAB">
            <w:pPr>
              <w:widowControl/>
              <w:autoSpaceDE w:val="0"/>
              <w:autoSpaceDN w:val="0"/>
              <w:jc w:val="center"/>
              <w:rPr>
                <w:rFonts w:hint="eastAsia" w:ascii="宋体" w:hAnsi="宋体" w:eastAsia="宋体" w:cs="宋体"/>
                <w:b/>
                <w:bCs/>
                <w:kern w:val="0"/>
                <w:sz w:val="22"/>
                <w:szCs w:val="22"/>
                <w:highlight w:val="none"/>
                <w:lang w:eastAsia="en-US"/>
              </w:rPr>
            </w:pPr>
            <w:r>
              <w:rPr>
                <w:rFonts w:ascii="宋体" w:hAnsi="宋体" w:eastAsia="宋体" w:cs="宋体"/>
                <w:b/>
                <w:bCs/>
                <w:kern w:val="0"/>
                <w:sz w:val="24"/>
                <w:szCs w:val="24"/>
                <w:highlight w:val="none"/>
                <w:lang w:eastAsia="zh-CN" w:bidi="ar"/>
              </w:rPr>
              <w:t>分类</w:t>
            </w:r>
          </w:p>
        </w:tc>
        <w:tc>
          <w:tcPr>
            <w:tcW w:w="519" w:type="pct"/>
            <w:tcMar>
              <w:top w:w="120" w:type="dxa"/>
              <w:left w:w="120" w:type="dxa"/>
              <w:bottom w:w="120" w:type="dxa"/>
              <w:right w:w="120" w:type="dxa"/>
            </w:tcMar>
            <w:vAlign w:val="center"/>
          </w:tcPr>
          <w:p w14:paraId="1364EAAE">
            <w:pPr>
              <w:widowControl/>
              <w:autoSpaceDE w:val="0"/>
              <w:autoSpaceDN w:val="0"/>
              <w:jc w:val="center"/>
              <w:rPr>
                <w:rFonts w:hint="eastAsia" w:ascii="宋体" w:hAnsi="宋体" w:eastAsia="宋体" w:cs="宋体"/>
                <w:b/>
                <w:bCs/>
                <w:kern w:val="0"/>
                <w:sz w:val="24"/>
                <w:szCs w:val="24"/>
                <w:highlight w:val="none"/>
                <w:lang w:eastAsia="zh-CN" w:bidi="ar"/>
              </w:rPr>
            </w:pPr>
            <w:r>
              <w:rPr>
                <w:rFonts w:hint="eastAsia" w:ascii="宋体" w:hAnsi="宋体" w:eastAsia="宋体" w:cs="宋体"/>
                <w:b/>
                <w:bCs/>
                <w:kern w:val="0"/>
                <w:sz w:val="24"/>
                <w:szCs w:val="24"/>
                <w:highlight w:val="none"/>
                <w:lang w:eastAsia="zh-CN" w:bidi="ar"/>
              </w:rPr>
              <w:t>序号</w:t>
            </w:r>
          </w:p>
        </w:tc>
        <w:tc>
          <w:tcPr>
            <w:tcW w:w="0" w:type="auto"/>
            <w:tcMar>
              <w:top w:w="120" w:type="dxa"/>
              <w:left w:w="120" w:type="dxa"/>
              <w:bottom w:w="120" w:type="dxa"/>
              <w:right w:w="120" w:type="dxa"/>
            </w:tcMar>
            <w:vAlign w:val="center"/>
          </w:tcPr>
          <w:p w14:paraId="63DF56A3">
            <w:pPr>
              <w:widowControl/>
              <w:autoSpaceDE w:val="0"/>
              <w:autoSpaceDN w:val="0"/>
              <w:jc w:val="center"/>
              <w:rPr>
                <w:rFonts w:hint="eastAsia" w:ascii="宋体" w:hAnsi="宋体" w:eastAsia="宋体" w:cs="宋体"/>
                <w:b/>
                <w:bCs/>
                <w:kern w:val="0"/>
                <w:sz w:val="22"/>
                <w:szCs w:val="22"/>
                <w:highlight w:val="none"/>
                <w:lang w:eastAsia="en-US"/>
              </w:rPr>
            </w:pPr>
            <w:r>
              <w:rPr>
                <w:rFonts w:ascii="宋体" w:hAnsi="宋体" w:eastAsia="宋体" w:cs="宋体"/>
                <w:b/>
                <w:bCs/>
                <w:kern w:val="0"/>
                <w:sz w:val="24"/>
                <w:szCs w:val="24"/>
                <w:highlight w:val="none"/>
                <w:lang w:eastAsia="zh-CN" w:bidi="ar"/>
              </w:rPr>
              <w:t>项目</w:t>
            </w:r>
          </w:p>
        </w:tc>
        <w:tc>
          <w:tcPr>
            <w:tcW w:w="0" w:type="auto"/>
            <w:tcMar>
              <w:top w:w="120" w:type="dxa"/>
              <w:left w:w="120" w:type="dxa"/>
              <w:bottom w:w="120" w:type="dxa"/>
              <w:right w:w="120" w:type="dxa"/>
            </w:tcMar>
            <w:vAlign w:val="center"/>
          </w:tcPr>
          <w:p w14:paraId="18ACDA3D">
            <w:pPr>
              <w:widowControl/>
              <w:autoSpaceDE w:val="0"/>
              <w:autoSpaceDN w:val="0"/>
              <w:jc w:val="center"/>
              <w:rPr>
                <w:rFonts w:hint="eastAsia" w:ascii="宋体" w:hAnsi="宋体" w:eastAsia="宋体" w:cs="宋体"/>
                <w:b/>
                <w:bCs/>
                <w:kern w:val="0"/>
                <w:sz w:val="22"/>
                <w:szCs w:val="22"/>
                <w:highlight w:val="none"/>
                <w:lang w:eastAsia="en-US"/>
              </w:rPr>
            </w:pPr>
            <w:r>
              <w:rPr>
                <w:rFonts w:ascii="宋体" w:hAnsi="宋体" w:eastAsia="宋体" w:cs="宋体"/>
                <w:b/>
                <w:bCs/>
                <w:kern w:val="0"/>
                <w:sz w:val="24"/>
                <w:szCs w:val="24"/>
                <w:highlight w:val="none"/>
                <w:lang w:eastAsia="zh-CN" w:bidi="ar"/>
              </w:rPr>
              <w:t>技术参数</w:t>
            </w:r>
          </w:p>
        </w:tc>
      </w:tr>
      <w:tr w14:paraId="4021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restart"/>
            <w:tcMar>
              <w:top w:w="120" w:type="dxa"/>
              <w:left w:w="120" w:type="dxa"/>
              <w:bottom w:w="120" w:type="dxa"/>
              <w:right w:w="120" w:type="dxa"/>
            </w:tcMar>
            <w:vAlign w:val="center"/>
          </w:tcPr>
          <w:p w14:paraId="47F0383D">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基础整机参数</w:t>
            </w:r>
          </w:p>
        </w:tc>
        <w:tc>
          <w:tcPr>
            <w:tcW w:w="519" w:type="pct"/>
            <w:tcMar>
              <w:top w:w="120" w:type="dxa"/>
              <w:left w:w="120" w:type="dxa"/>
              <w:bottom w:w="120" w:type="dxa"/>
              <w:right w:w="120" w:type="dxa"/>
            </w:tcMar>
            <w:vAlign w:val="center"/>
          </w:tcPr>
          <w:p w14:paraId="1699D850">
            <w:pPr>
              <w:widowControl/>
              <w:autoSpaceDE w:val="0"/>
              <w:autoSpaceDN w:val="0"/>
              <w:jc w:val="center"/>
              <w:textAlignment w:val="center"/>
              <w:rPr>
                <w:rFonts w:hint="eastAsia" w:ascii="宋体" w:hAnsi="宋体" w:eastAsia="宋体" w:cs="宋体"/>
                <w:kern w:val="0"/>
                <w:sz w:val="24"/>
                <w:szCs w:val="24"/>
                <w:highlight w:val="none"/>
                <w:lang w:eastAsia="zh-CN" w:bidi="ar"/>
              </w:rPr>
            </w:pPr>
            <w:r>
              <w:rPr>
                <w:rFonts w:hint="eastAsia" w:ascii="宋体" w:hAnsi="宋体" w:eastAsia="宋体" w:cs="宋体"/>
                <w:color w:val="000000"/>
                <w:kern w:val="0"/>
                <w:sz w:val="24"/>
                <w:szCs w:val="24"/>
                <w:highlight w:val="none"/>
                <w:lang w:eastAsia="zh-CN" w:bidi="ar"/>
              </w:rPr>
              <w:t>1</w:t>
            </w:r>
          </w:p>
        </w:tc>
        <w:tc>
          <w:tcPr>
            <w:tcW w:w="0" w:type="auto"/>
            <w:tcMar>
              <w:top w:w="120" w:type="dxa"/>
              <w:left w:w="120" w:type="dxa"/>
              <w:bottom w:w="120" w:type="dxa"/>
              <w:right w:w="120" w:type="dxa"/>
            </w:tcMar>
            <w:vAlign w:val="center"/>
          </w:tcPr>
          <w:p w14:paraId="02AA2B1D">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梯号</w:t>
            </w:r>
          </w:p>
        </w:tc>
        <w:tc>
          <w:tcPr>
            <w:tcW w:w="0" w:type="auto"/>
            <w:tcMar>
              <w:top w:w="120" w:type="dxa"/>
              <w:left w:w="120" w:type="dxa"/>
              <w:bottom w:w="120" w:type="dxa"/>
              <w:right w:w="120" w:type="dxa"/>
            </w:tcMar>
            <w:vAlign w:val="center"/>
          </w:tcPr>
          <w:p w14:paraId="029B234F">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4 号住宅楼（3#、4#）</w:t>
            </w:r>
          </w:p>
        </w:tc>
      </w:tr>
      <w:tr w14:paraId="6C22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1F606703">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2504074A">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2</w:t>
            </w:r>
          </w:p>
        </w:tc>
        <w:tc>
          <w:tcPr>
            <w:tcW w:w="0" w:type="auto"/>
            <w:tcMar>
              <w:top w:w="120" w:type="dxa"/>
              <w:left w:w="120" w:type="dxa"/>
              <w:bottom w:w="120" w:type="dxa"/>
              <w:right w:w="120" w:type="dxa"/>
            </w:tcMar>
            <w:vAlign w:val="center"/>
          </w:tcPr>
          <w:p w14:paraId="44BD0305">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曳引系统</w:t>
            </w:r>
          </w:p>
        </w:tc>
        <w:tc>
          <w:tcPr>
            <w:tcW w:w="0" w:type="auto"/>
            <w:tcMar>
              <w:top w:w="120" w:type="dxa"/>
              <w:left w:w="120" w:type="dxa"/>
              <w:bottom w:w="120" w:type="dxa"/>
              <w:right w:w="120" w:type="dxa"/>
            </w:tcMar>
            <w:vAlign w:val="center"/>
          </w:tcPr>
          <w:p w14:paraId="3D189766">
            <w:pPr>
              <w:widowControl/>
              <w:autoSpaceDE w:val="0"/>
              <w:autoSpaceDN w:val="0"/>
              <w:jc w:val="left"/>
              <w:rPr>
                <w:rFonts w:hint="eastAsia" w:ascii="宋体" w:hAnsi="宋体" w:eastAsia="宋体" w:cs="宋体"/>
                <w:kern w:val="0"/>
                <w:sz w:val="22"/>
                <w:szCs w:val="22"/>
                <w:highlight w:val="none"/>
                <w:lang w:eastAsia="zh-CN"/>
              </w:rPr>
            </w:pPr>
            <w:r>
              <w:rPr>
                <w:rFonts w:ascii="宋体" w:hAnsi="宋体" w:eastAsia="宋体" w:cs="宋体"/>
                <w:kern w:val="0"/>
                <w:sz w:val="24"/>
                <w:szCs w:val="24"/>
                <w:highlight w:val="none"/>
                <w:lang w:eastAsia="zh-CN" w:bidi="ar"/>
              </w:rPr>
              <w:t>永磁同步无齿轮曳引机</w:t>
            </w:r>
          </w:p>
        </w:tc>
      </w:tr>
      <w:tr w14:paraId="2880E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5B7A8A0C">
            <w:pPr>
              <w:autoSpaceDE w:val="0"/>
              <w:autoSpaceDN w:val="0"/>
              <w:jc w:val="left"/>
              <w:rPr>
                <w:rFonts w:hint="eastAsia" w:ascii="宋体" w:hAnsi="宋体" w:eastAsia="宋体" w:cs="宋体"/>
                <w:kern w:val="0"/>
                <w:sz w:val="24"/>
                <w:szCs w:val="24"/>
                <w:highlight w:val="none"/>
                <w:lang w:eastAsia="zh-CN"/>
              </w:rPr>
            </w:pPr>
          </w:p>
        </w:tc>
        <w:tc>
          <w:tcPr>
            <w:tcW w:w="519" w:type="pct"/>
            <w:tcMar>
              <w:top w:w="120" w:type="dxa"/>
              <w:left w:w="120" w:type="dxa"/>
              <w:bottom w:w="120" w:type="dxa"/>
              <w:right w:w="120" w:type="dxa"/>
            </w:tcMar>
            <w:vAlign w:val="center"/>
          </w:tcPr>
          <w:p w14:paraId="544F1C11">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3</w:t>
            </w:r>
          </w:p>
        </w:tc>
        <w:tc>
          <w:tcPr>
            <w:tcW w:w="0" w:type="auto"/>
            <w:tcMar>
              <w:top w:w="120" w:type="dxa"/>
              <w:left w:w="120" w:type="dxa"/>
              <w:bottom w:w="120" w:type="dxa"/>
              <w:right w:w="120" w:type="dxa"/>
            </w:tcMar>
            <w:vAlign w:val="center"/>
          </w:tcPr>
          <w:p w14:paraId="79CE1BE5">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操作系统</w:t>
            </w:r>
          </w:p>
        </w:tc>
        <w:tc>
          <w:tcPr>
            <w:tcW w:w="0" w:type="auto"/>
            <w:tcMar>
              <w:top w:w="120" w:type="dxa"/>
              <w:left w:w="120" w:type="dxa"/>
              <w:bottom w:w="120" w:type="dxa"/>
              <w:right w:w="120" w:type="dxa"/>
            </w:tcMar>
            <w:vAlign w:val="center"/>
          </w:tcPr>
          <w:p w14:paraId="1FA16D10">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单控</w:t>
            </w:r>
          </w:p>
        </w:tc>
      </w:tr>
      <w:tr w14:paraId="7A89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337337C4">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0246D9EE">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4</w:t>
            </w:r>
          </w:p>
        </w:tc>
        <w:tc>
          <w:tcPr>
            <w:tcW w:w="0" w:type="auto"/>
            <w:tcMar>
              <w:top w:w="120" w:type="dxa"/>
              <w:left w:w="120" w:type="dxa"/>
              <w:bottom w:w="120" w:type="dxa"/>
              <w:right w:w="120" w:type="dxa"/>
            </w:tcMar>
            <w:vAlign w:val="center"/>
          </w:tcPr>
          <w:p w14:paraId="538395F9">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额定载重量</w:t>
            </w:r>
          </w:p>
        </w:tc>
        <w:tc>
          <w:tcPr>
            <w:tcW w:w="0" w:type="auto"/>
            <w:tcMar>
              <w:top w:w="120" w:type="dxa"/>
              <w:left w:w="120" w:type="dxa"/>
              <w:bottom w:w="120" w:type="dxa"/>
              <w:right w:w="120" w:type="dxa"/>
            </w:tcMar>
            <w:vAlign w:val="center"/>
          </w:tcPr>
          <w:p w14:paraId="08BA7663">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≥1050kg</w:t>
            </w:r>
          </w:p>
        </w:tc>
      </w:tr>
      <w:tr w14:paraId="40B7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4F0DC0BB">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2C5E017E">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5</w:t>
            </w:r>
          </w:p>
        </w:tc>
        <w:tc>
          <w:tcPr>
            <w:tcW w:w="0" w:type="auto"/>
            <w:tcMar>
              <w:top w:w="120" w:type="dxa"/>
              <w:left w:w="120" w:type="dxa"/>
              <w:bottom w:w="120" w:type="dxa"/>
              <w:right w:w="120" w:type="dxa"/>
            </w:tcMar>
            <w:vAlign w:val="center"/>
          </w:tcPr>
          <w:p w14:paraId="5A0EF075">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额定速度</w:t>
            </w:r>
          </w:p>
        </w:tc>
        <w:tc>
          <w:tcPr>
            <w:tcW w:w="0" w:type="auto"/>
            <w:tcMar>
              <w:top w:w="120" w:type="dxa"/>
              <w:left w:w="120" w:type="dxa"/>
              <w:bottom w:w="120" w:type="dxa"/>
              <w:right w:w="120" w:type="dxa"/>
            </w:tcMar>
            <w:vAlign w:val="center"/>
          </w:tcPr>
          <w:p w14:paraId="5CAC8131">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≥1.6m/s</w:t>
            </w:r>
          </w:p>
        </w:tc>
      </w:tr>
      <w:tr w14:paraId="6777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5E9F2300">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4D34DBEB">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6</w:t>
            </w:r>
          </w:p>
        </w:tc>
        <w:tc>
          <w:tcPr>
            <w:tcW w:w="0" w:type="auto"/>
            <w:tcMar>
              <w:top w:w="120" w:type="dxa"/>
              <w:left w:w="120" w:type="dxa"/>
              <w:bottom w:w="120" w:type="dxa"/>
              <w:right w:w="120" w:type="dxa"/>
            </w:tcMar>
            <w:vAlign w:val="center"/>
          </w:tcPr>
          <w:p w14:paraId="586CCB79">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层 / 站 / 门</w:t>
            </w:r>
          </w:p>
        </w:tc>
        <w:tc>
          <w:tcPr>
            <w:tcW w:w="0" w:type="auto"/>
            <w:tcMar>
              <w:top w:w="120" w:type="dxa"/>
              <w:left w:w="120" w:type="dxa"/>
              <w:bottom w:w="120" w:type="dxa"/>
              <w:right w:w="120" w:type="dxa"/>
            </w:tcMar>
            <w:vAlign w:val="center"/>
          </w:tcPr>
          <w:p w14:paraId="7DC46C81">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13/7/7、11/5/5</w:t>
            </w:r>
          </w:p>
        </w:tc>
      </w:tr>
      <w:tr w14:paraId="6B22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7535D740">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1BD6BD4C">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7</w:t>
            </w:r>
          </w:p>
        </w:tc>
        <w:tc>
          <w:tcPr>
            <w:tcW w:w="0" w:type="auto"/>
            <w:tcMar>
              <w:top w:w="120" w:type="dxa"/>
              <w:left w:w="120" w:type="dxa"/>
              <w:bottom w:w="120" w:type="dxa"/>
              <w:right w:w="120" w:type="dxa"/>
            </w:tcMar>
            <w:vAlign w:val="center"/>
          </w:tcPr>
          <w:p w14:paraId="1A7B9A44">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开门方式</w:t>
            </w:r>
          </w:p>
        </w:tc>
        <w:tc>
          <w:tcPr>
            <w:tcW w:w="0" w:type="auto"/>
            <w:tcMar>
              <w:top w:w="120" w:type="dxa"/>
              <w:left w:w="120" w:type="dxa"/>
              <w:bottom w:w="120" w:type="dxa"/>
              <w:right w:w="120" w:type="dxa"/>
            </w:tcMar>
            <w:vAlign w:val="center"/>
          </w:tcPr>
          <w:p w14:paraId="71F1709F">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自动中分门</w:t>
            </w:r>
          </w:p>
        </w:tc>
      </w:tr>
      <w:tr w14:paraId="6888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760A0D7A">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65917AD8">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8</w:t>
            </w:r>
          </w:p>
        </w:tc>
        <w:tc>
          <w:tcPr>
            <w:tcW w:w="0" w:type="auto"/>
            <w:tcMar>
              <w:top w:w="120" w:type="dxa"/>
              <w:left w:w="120" w:type="dxa"/>
              <w:bottom w:w="120" w:type="dxa"/>
              <w:right w:w="120" w:type="dxa"/>
            </w:tcMar>
            <w:vAlign w:val="center"/>
          </w:tcPr>
          <w:p w14:paraId="16573E2F">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开门净尺寸</w:t>
            </w:r>
          </w:p>
        </w:tc>
        <w:tc>
          <w:tcPr>
            <w:tcW w:w="0" w:type="auto"/>
            <w:tcMar>
              <w:top w:w="120" w:type="dxa"/>
              <w:left w:w="120" w:type="dxa"/>
              <w:bottom w:w="120" w:type="dxa"/>
              <w:right w:w="120" w:type="dxa"/>
            </w:tcMar>
            <w:vAlign w:val="center"/>
          </w:tcPr>
          <w:p w14:paraId="5C8B30BA">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净宽 900mm× 净高 2100mm</w:t>
            </w:r>
          </w:p>
        </w:tc>
      </w:tr>
      <w:tr w14:paraId="18A8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7AF9F322">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1C52CA4D">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9</w:t>
            </w:r>
          </w:p>
        </w:tc>
        <w:tc>
          <w:tcPr>
            <w:tcW w:w="0" w:type="auto"/>
            <w:tcMar>
              <w:top w:w="120" w:type="dxa"/>
              <w:left w:w="120" w:type="dxa"/>
              <w:bottom w:w="120" w:type="dxa"/>
              <w:right w:w="120" w:type="dxa"/>
            </w:tcMar>
            <w:vAlign w:val="center"/>
          </w:tcPr>
          <w:p w14:paraId="3556F885">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轿厢内部尺寸</w:t>
            </w:r>
          </w:p>
        </w:tc>
        <w:tc>
          <w:tcPr>
            <w:tcW w:w="0" w:type="auto"/>
            <w:tcMar>
              <w:top w:w="120" w:type="dxa"/>
              <w:left w:w="120" w:type="dxa"/>
              <w:bottom w:w="120" w:type="dxa"/>
              <w:right w:w="120" w:type="dxa"/>
            </w:tcMar>
            <w:vAlign w:val="center"/>
          </w:tcPr>
          <w:p w14:paraId="4A485AFB">
            <w:pPr>
              <w:widowControl/>
              <w:autoSpaceDE w:val="0"/>
              <w:autoSpaceDN w:val="0"/>
              <w:jc w:val="left"/>
              <w:rPr>
                <w:rFonts w:hint="eastAsia" w:ascii="宋体" w:hAnsi="宋体" w:eastAsia="宋体" w:cs="宋体"/>
                <w:kern w:val="0"/>
                <w:sz w:val="22"/>
                <w:szCs w:val="22"/>
                <w:highlight w:val="none"/>
                <w:lang w:eastAsia="zh-CN"/>
              </w:rPr>
            </w:pPr>
            <w:r>
              <w:rPr>
                <w:rFonts w:ascii="宋体" w:hAnsi="宋体" w:eastAsia="宋体" w:cs="宋体"/>
                <w:kern w:val="0"/>
                <w:sz w:val="24"/>
                <w:szCs w:val="24"/>
                <w:highlight w:val="none"/>
                <w:lang w:eastAsia="zh-CN" w:bidi="ar"/>
              </w:rPr>
              <w:t>净宽 1600mm× 净深 1500mm× 净高 2300mm</w:t>
            </w:r>
          </w:p>
        </w:tc>
      </w:tr>
      <w:tr w14:paraId="66F6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7CB8C0DC">
            <w:pPr>
              <w:autoSpaceDE w:val="0"/>
              <w:autoSpaceDN w:val="0"/>
              <w:jc w:val="left"/>
              <w:rPr>
                <w:rFonts w:hint="eastAsia" w:ascii="宋体" w:hAnsi="宋体" w:eastAsia="宋体" w:cs="宋体"/>
                <w:kern w:val="0"/>
                <w:sz w:val="24"/>
                <w:szCs w:val="24"/>
                <w:highlight w:val="none"/>
                <w:lang w:eastAsia="zh-CN"/>
              </w:rPr>
            </w:pPr>
          </w:p>
        </w:tc>
        <w:tc>
          <w:tcPr>
            <w:tcW w:w="519" w:type="pct"/>
            <w:tcMar>
              <w:top w:w="120" w:type="dxa"/>
              <w:left w:w="120" w:type="dxa"/>
              <w:bottom w:w="120" w:type="dxa"/>
              <w:right w:w="120" w:type="dxa"/>
            </w:tcMar>
            <w:vAlign w:val="center"/>
          </w:tcPr>
          <w:p w14:paraId="045F40E9">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10</w:t>
            </w:r>
          </w:p>
        </w:tc>
        <w:tc>
          <w:tcPr>
            <w:tcW w:w="0" w:type="auto"/>
            <w:tcMar>
              <w:top w:w="120" w:type="dxa"/>
              <w:left w:w="120" w:type="dxa"/>
              <w:bottom w:w="120" w:type="dxa"/>
              <w:right w:w="120" w:type="dxa"/>
            </w:tcMar>
            <w:vAlign w:val="center"/>
          </w:tcPr>
          <w:p w14:paraId="3F30E857">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井道尺寸</w:t>
            </w:r>
          </w:p>
        </w:tc>
        <w:tc>
          <w:tcPr>
            <w:tcW w:w="0" w:type="auto"/>
            <w:tcMar>
              <w:top w:w="120" w:type="dxa"/>
              <w:left w:w="120" w:type="dxa"/>
              <w:bottom w:w="120" w:type="dxa"/>
              <w:right w:w="120" w:type="dxa"/>
            </w:tcMar>
            <w:vAlign w:val="center"/>
          </w:tcPr>
          <w:p w14:paraId="2A211753">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具体以现场测量为准</w:t>
            </w:r>
          </w:p>
        </w:tc>
      </w:tr>
      <w:tr w14:paraId="5D9D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22DFE1BF">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34548A08">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11</w:t>
            </w:r>
          </w:p>
        </w:tc>
        <w:tc>
          <w:tcPr>
            <w:tcW w:w="0" w:type="auto"/>
            <w:tcMar>
              <w:top w:w="120" w:type="dxa"/>
              <w:left w:w="120" w:type="dxa"/>
              <w:bottom w:w="120" w:type="dxa"/>
              <w:right w:w="120" w:type="dxa"/>
            </w:tcMar>
            <w:vAlign w:val="center"/>
          </w:tcPr>
          <w:p w14:paraId="401BA21D">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顶层高度</w:t>
            </w:r>
          </w:p>
        </w:tc>
        <w:tc>
          <w:tcPr>
            <w:tcW w:w="0" w:type="auto"/>
            <w:tcMar>
              <w:top w:w="120" w:type="dxa"/>
              <w:left w:w="120" w:type="dxa"/>
              <w:bottom w:w="120" w:type="dxa"/>
              <w:right w:w="120" w:type="dxa"/>
            </w:tcMar>
            <w:vAlign w:val="center"/>
          </w:tcPr>
          <w:p w14:paraId="0761A708">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具体以现场测量为准</w:t>
            </w:r>
          </w:p>
        </w:tc>
      </w:tr>
      <w:tr w14:paraId="347B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6C7A27C8">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39B447E3">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12</w:t>
            </w:r>
          </w:p>
        </w:tc>
        <w:tc>
          <w:tcPr>
            <w:tcW w:w="0" w:type="auto"/>
            <w:tcMar>
              <w:top w:w="120" w:type="dxa"/>
              <w:left w:w="120" w:type="dxa"/>
              <w:bottom w:w="120" w:type="dxa"/>
              <w:right w:w="120" w:type="dxa"/>
            </w:tcMar>
            <w:vAlign w:val="center"/>
          </w:tcPr>
          <w:p w14:paraId="4EE3BAF1">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底坑深度</w:t>
            </w:r>
          </w:p>
        </w:tc>
        <w:tc>
          <w:tcPr>
            <w:tcW w:w="0" w:type="auto"/>
            <w:tcMar>
              <w:top w:w="120" w:type="dxa"/>
              <w:left w:w="120" w:type="dxa"/>
              <w:bottom w:w="120" w:type="dxa"/>
              <w:right w:w="120" w:type="dxa"/>
            </w:tcMar>
            <w:vAlign w:val="center"/>
          </w:tcPr>
          <w:p w14:paraId="4F457E8A">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具体以现场测量为准</w:t>
            </w:r>
          </w:p>
        </w:tc>
      </w:tr>
      <w:tr w14:paraId="673C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0611EE2F">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4FC860ED">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13</w:t>
            </w:r>
          </w:p>
        </w:tc>
        <w:tc>
          <w:tcPr>
            <w:tcW w:w="0" w:type="auto"/>
            <w:tcMar>
              <w:top w:w="120" w:type="dxa"/>
              <w:left w:w="120" w:type="dxa"/>
              <w:bottom w:w="120" w:type="dxa"/>
              <w:right w:w="120" w:type="dxa"/>
            </w:tcMar>
            <w:vAlign w:val="center"/>
          </w:tcPr>
          <w:p w14:paraId="484CDA16">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机房位置</w:t>
            </w:r>
          </w:p>
        </w:tc>
        <w:tc>
          <w:tcPr>
            <w:tcW w:w="0" w:type="auto"/>
            <w:tcMar>
              <w:top w:w="120" w:type="dxa"/>
              <w:left w:w="120" w:type="dxa"/>
              <w:bottom w:w="120" w:type="dxa"/>
              <w:right w:w="120" w:type="dxa"/>
            </w:tcMar>
            <w:vAlign w:val="center"/>
          </w:tcPr>
          <w:p w14:paraId="028DABFB">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井道上方</w:t>
            </w:r>
          </w:p>
        </w:tc>
      </w:tr>
      <w:tr w14:paraId="2834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2D866877">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763352E7">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14</w:t>
            </w:r>
          </w:p>
        </w:tc>
        <w:tc>
          <w:tcPr>
            <w:tcW w:w="0" w:type="auto"/>
            <w:tcMar>
              <w:top w:w="120" w:type="dxa"/>
              <w:left w:w="120" w:type="dxa"/>
              <w:bottom w:w="120" w:type="dxa"/>
              <w:right w:w="120" w:type="dxa"/>
            </w:tcMar>
            <w:vAlign w:val="center"/>
          </w:tcPr>
          <w:p w14:paraId="1F7DF6F7">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电源</w:t>
            </w:r>
          </w:p>
        </w:tc>
        <w:tc>
          <w:tcPr>
            <w:tcW w:w="0" w:type="auto"/>
            <w:tcMar>
              <w:top w:w="120" w:type="dxa"/>
              <w:left w:w="120" w:type="dxa"/>
              <w:bottom w:w="120" w:type="dxa"/>
              <w:right w:w="120" w:type="dxa"/>
            </w:tcMar>
            <w:vAlign w:val="center"/>
          </w:tcPr>
          <w:p w14:paraId="3499E119">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动力：380V，50Hz；照明：220V，50Hz</w:t>
            </w:r>
          </w:p>
        </w:tc>
      </w:tr>
      <w:tr w14:paraId="6AF8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restart"/>
            <w:tcMar>
              <w:top w:w="120" w:type="dxa"/>
              <w:left w:w="120" w:type="dxa"/>
              <w:bottom w:w="120" w:type="dxa"/>
              <w:right w:w="120" w:type="dxa"/>
            </w:tcMar>
            <w:vAlign w:val="center"/>
          </w:tcPr>
          <w:p w14:paraId="272CFD18">
            <w:pPr>
              <w:widowControl/>
              <w:autoSpaceDE w:val="0"/>
              <w:autoSpaceDN w:val="0"/>
              <w:jc w:val="center"/>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轿厢装潢</w:t>
            </w:r>
          </w:p>
        </w:tc>
        <w:tc>
          <w:tcPr>
            <w:tcW w:w="519" w:type="pct"/>
            <w:tcMar>
              <w:top w:w="120" w:type="dxa"/>
              <w:left w:w="120" w:type="dxa"/>
              <w:bottom w:w="120" w:type="dxa"/>
              <w:right w:w="120" w:type="dxa"/>
            </w:tcMar>
            <w:vAlign w:val="center"/>
          </w:tcPr>
          <w:p w14:paraId="0AED217B">
            <w:pPr>
              <w:widowControl/>
              <w:autoSpaceDE w:val="0"/>
              <w:autoSpaceDN w:val="0"/>
              <w:jc w:val="center"/>
              <w:textAlignment w:val="center"/>
              <w:rPr>
                <w:rFonts w:hint="eastAsia" w:ascii="宋体" w:hAnsi="宋体" w:eastAsia="宋体" w:cs="宋体"/>
                <w:kern w:val="0"/>
                <w:sz w:val="24"/>
                <w:szCs w:val="24"/>
                <w:highlight w:val="none"/>
                <w:lang w:eastAsia="zh-CN" w:bidi="ar"/>
              </w:rPr>
            </w:pPr>
            <w:r>
              <w:rPr>
                <w:rFonts w:hint="eastAsia" w:ascii="宋体" w:hAnsi="宋体" w:eastAsia="宋体" w:cs="宋体"/>
                <w:color w:val="000000"/>
                <w:kern w:val="0"/>
                <w:sz w:val="24"/>
                <w:szCs w:val="24"/>
                <w:highlight w:val="none"/>
                <w:lang w:eastAsia="zh-CN" w:bidi="ar"/>
              </w:rPr>
              <w:t>1</w:t>
            </w:r>
          </w:p>
        </w:tc>
        <w:tc>
          <w:tcPr>
            <w:tcW w:w="0" w:type="auto"/>
            <w:tcMar>
              <w:top w:w="120" w:type="dxa"/>
              <w:left w:w="120" w:type="dxa"/>
              <w:bottom w:w="120" w:type="dxa"/>
              <w:right w:w="120" w:type="dxa"/>
            </w:tcMar>
            <w:vAlign w:val="center"/>
          </w:tcPr>
          <w:p w14:paraId="193C3463">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轿顶型号</w:t>
            </w:r>
          </w:p>
        </w:tc>
        <w:tc>
          <w:tcPr>
            <w:tcW w:w="0" w:type="auto"/>
            <w:tcMar>
              <w:top w:w="120" w:type="dxa"/>
              <w:left w:w="120" w:type="dxa"/>
              <w:bottom w:w="120" w:type="dxa"/>
              <w:right w:w="120" w:type="dxa"/>
            </w:tcMar>
            <w:vAlign w:val="center"/>
          </w:tcPr>
          <w:p w14:paraId="17D8E51D">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标准轿顶</w:t>
            </w:r>
          </w:p>
        </w:tc>
      </w:tr>
      <w:tr w14:paraId="2267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4EF33937">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0DEBD0D0">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2</w:t>
            </w:r>
          </w:p>
        </w:tc>
        <w:tc>
          <w:tcPr>
            <w:tcW w:w="0" w:type="auto"/>
            <w:tcMar>
              <w:top w:w="120" w:type="dxa"/>
              <w:left w:w="120" w:type="dxa"/>
              <w:bottom w:w="120" w:type="dxa"/>
              <w:right w:w="120" w:type="dxa"/>
            </w:tcMar>
            <w:vAlign w:val="center"/>
          </w:tcPr>
          <w:p w14:paraId="43B6A044">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轿厢前壁</w:t>
            </w:r>
          </w:p>
        </w:tc>
        <w:tc>
          <w:tcPr>
            <w:tcW w:w="0" w:type="auto"/>
            <w:tcMar>
              <w:top w:w="120" w:type="dxa"/>
              <w:left w:w="120" w:type="dxa"/>
              <w:bottom w:w="120" w:type="dxa"/>
              <w:right w:w="120" w:type="dxa"/>
            </w:tcMar>
            <w:vAlign w:val="center"/>
          </w:tcPr>
          <w:p w14:paraId="30633087">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发纹不锈钢</w:t>
            </w:r>
          </w:p>
        </w:tc>
      </w:tr>
      <w:tr w14:paraId="334B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0BC42296">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2ACAF9F9">
            <w:pPr>
              <w:widowControl/>
              <w:autoSpaceDE w:val="0"/>
              <w:autoSpaceDN w:val="0"/>
              <w:jc w:val="center"/>
              <w:textAlignment w:val="center"/>
              <w:rPr>
                <w:rFonts w:hint="eastAsia" w:ascii="宋体" w:hAnsi="宋体" w:eastAsia="宋体" w:cs="宋体"/>
                <w:kern w:val="0"/>
                <w:sz w:val="24"/>
                <w:szCs w:val="24"/>
                <w:highlight w:val="none"/>
                <w:lang w:eastAsia="en-US"/>
              </w:rPr>
            </w:pPr>
            <w:r>
              <w:rPr>
                <w:rFonts w:hint="eastAsia" w:ascii="宋体" w:hAnsi="宋体" w:eastAsia="宋体" w:cs="宋体"/>
                <w:color w:val="000000"/>
                <w:kern w:val="0"/>
                <w:sz w:val="24"/>
                <w:szCs w:val="24"/>
                <w:highlight w:val="none"/>
                <w:lang w:eastAsia="zh-CN" w:bidi="ar"/>
              </w:rPr>
              <w:t>3</w:t>
            </w:r>
          </w:p>
        </w:tc>
        <w:tc>
          <w:tcPr>
            <w:tcW w:w="0" w:type="auto"/>
            <w:tcMar>
              <w:top w:w="120" w:type="dxa"/>
              <w:left w:w="120" w:type="dxa"/>
              <w:bottom w:w="120" w:type="dxa"/>
              <w:right w:w="120" w:type="dxa"/>
            </w:tcMar>
            <w:vAlign w:val="center"/>
          </w:tcPr>
          <w:p w14:paraId="63B92F8A">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轿厢侧壁</w:t>
            </w:r>
          </w:p>
        </w:tc>
        <w:tc>
          <w:tcPr>
            <w:tcW w:w="0" w:type="auto"/>
            <w:tcMar>
              <w:top w:w="120" w:type="dxa"/>
              <w:left w:w="120" w:type="dxa"/>
              <w:bottom w:w="120" w:type="dxa"/>
              <w:right w:w="120" w:type="dxa"/>
            </w:tcMar>
            <w:vAlign w:val="center"/>
          </w:tcPr>
          <w:p w14:paraId="25354968">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发纹不锈钢</w:t>
            </w:r>
          </w:p>
        </w:tc>
      </w:tr>
      <w:tr w14:paraId="77F2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0BAE8326">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3295D099">
            <w:pPr>
              <w:widowControl/>
              <w:autoSpaceDE w:val="0"/>
              <w:autoSpaceDN w:val="0"/>
              <w:jc w:val="center"/>
              <w:textAlignment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4</w:t>
            </w:r>
          </w:p>
        </w:tc>
        <w:tc>
          <w:tcPr>
            <w:tcW w:w="0" w:type="auto"/>
            <w:tcMar>
              <w:top w:w="120" w:type="dxa"/>
              <w:left w:w="120" w:type="dxa"/>
              <w:bottom w:w="120" w:type="dxa"/>
              <w:right w:w="120" w:type="dxa"/>
            </w:tcMar>
            <w:vAlign w:val="center"/>
          </w:tcPr>
          <w:p w14:paraId="1B7CD937">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轿厢后壁</w:t>
            </w:r>
          </w:p>
        </w:tc>
        <w:tc>
          <w:tcPr>
            <w:tcW w:w="0" w:type="auto"/>
            <w:tcMar>
              <w:top w:w="120" w:type="dxa"/>
              <w:left w:w="120" w:type="dxa"/>
              <w:bottom w:w="120" w:type="dxa"/>
              <w:right w:w="120" w:type="dxa"/>
            </w:tcMar>
            <w:vAlign w:val="center"/>
          </w:tcPr>
          <w:p w14:paraId="520B77F4">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发纹不锈钢</w:t>
            </w:r>
          </w:p>
        </w:tc>
      </w:tr>
      <w:tr w14:paraId="5F6E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750439D6">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2CD0DD4E">
            <w:pPr>
              <w:widowControl/>
              <w:autoSpaceDE w:val="0"/>
              <w:autoSpaceDN w:val="0"/>
              <w:jc w:val="center"/>
              <w:textAlignment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5</w:t>
            </w:r>
          </w:p>
        </w:tc>
        <w:tc>
          <w:tcPr>
            <w:tcW w:w="0" w:type="auto"/>
            <w:tcMar>
              <w:top w:w="120" w:type="dxa"/>
              <w:left w:w="120" w:type="dxa"/>
              <w:bottom w:w="120" w:type="dxa"/>
              <w:right w:w="120" w:type="dxa"/>
            </w:tcMar>
            <w:vAlign w:val="center"/>
          </w:tcPr>
          <w:p w14:paraId="274526FA">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轿厢门</w:t>
            </w:r>
          </w:p>
        </w:tc>
        <w:tc>
          <w:tcPr>
            <w:tcW w:w="0" w:type="auto"/>
            <w:tcMar>
              <w:top w:w="120" w:type="dxa"/>
              <w:left w:w="120" w:type="dxa"/>
              <w:bottom w:w="120" w:type="dxa"/>
              <w:right w:w="120" w:type="dxa"/>
            </w:tcMar>
            <w:vAlign w:val="center"/>
          </w:tcPr>
          <w:p w14:paraId="1780E2E7">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发纹不锈钢</w:t>
            </w:r>
          </w:p>
        </w:tc>
      </w:tr>
      <w:tr w14:paraId="569A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10674766">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0EFF6D5B">
            <w:pPr>
              <w:widowControl/>
              <w:autoSpaceDE w:val="0"/>
              <w:autoSpaceDN w:val="0"/>
              <w:jc w:val="center"/>
              <w:textAlignment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6</w:t>
            </w:r>
          </w:p>
        </w:tc>
        <w:tc>
          <w:tcPr>
            <w:tcW w:w="0" w:type="auto"/>
            <w:tcMar>
              <w:top w:w="120" w:type="dxa"/>
              <w:left w:w="120" w:type="dxa"/>
              <w:bottom w:w="120" w:type="dxa"/>
              <w:right w:w="120" w:type="dxa"/>
            </w:tcMar>
            <w:vAlign w:val="center"/>
          </w:tcPr>
          <w:p w14:paraId="6A517FE5">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轿厢地面</w:t>
            </w:r>
          </w:p>
        </w:tc>
        <w:tc>
          <w:tcPr>
            <w:tcW w:w="0" w:type="auto"/>
            <w:tcMar>
              <w:top w:w="120" w:type="dxa"/>
              <w:left w:w="120" w:type="dxa"/>
              <w:bottom w:w="120" w:type="dxa"/>
              <w:right w:w="120" w:type="dxa"/>
            </w:tcMar>
            <w:vAlign w:val="center"/>
          </w:tcPr>
          <w:p w14:paraId="731A2259">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PVC 地板</w:t>
            </w:r>
          </w:p>
        </w:tc>
      </w:tr>
      <w:tr w14:paraId="3D91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18D85737">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1E219EF1">
            <w:pPr>
              <w:widowControl/>
              <w:autoSpaceDE w:val="0"/>
              <w:autoSpaceDN w:val="0"/>
              <w:jc w:val="center"/>
              <w:textAlignment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7</w:t>
            </w:r>
          </w:p>
        </w:tc>
        <w:tc>
          <w:tcPr>
            <w:tcW w:w="0" w:type="auto"/>
            <w:tcMar>
              <w:top w:w="120" w:type="dxa"/>
              <w:left w:w="120" w:type="dxa"/>
              <w:bottom w:w="120" w:type="dxa"/>
              <w:right w:w="120" w:type="dxa"/>
            </w:tcMar>
            <w:vAlign w:val="center"/>
          </w:tcPr>
          <w:p w14:paraId="45F84009">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轿厢装饰主材</w:t>
            </w:r>
          </w:p>
        </w:tc>
        <w:tc>
          <w:tcPr>
            <w:tcW w:w="0" w:type="auto"/>
            <w:tcMar>
              <w:top w:w="120" w:type="dxa"/>
              <w:left w:w="120" w:type="dxa"/>
              <w:bottom w:w="120" w:type="dxa"/>
              <w:right w:w="120" w:type="dxa"/>
            </w:tcMar>
            <w:vAlign w:val="center"/>
          </w:tcPr>
          <w:p w14:paraId="455F8A5D">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发纹不锈钢</w:t>
            </w:r>
          </w:p>
        </w:tc>
      </w:tr>
      <w:tr w14:paraId="4E65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restart"/>
            <w:tcMar>
              <w:top w:w="120" w:type="dxa"/>
              <w:left w:w="120" w:type="dxa"/>
              <w:bottom w:w="120" w:type="dxa"/>
              <w:right w:w="120" w:type="dxa"/>
            </w:tcMar>
            <w:vAlign w:val="center"/>
          </w:tcPr>
          <w:p w14:paraId="565FCFE3">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梯厅入口设计</w:t>
            </w:r>
          </w:p>
        </w:tc>
        <w:tc>
          <w:tcPr>
            <w:tcW w:w="519" w:type="pct"/>
            <w:tcMar>
              <w:top w:w="120" w:type="dxa"/>
              <w:left w:w="120" w:type="dxa"/>
              <w:bottom w:w="120" w:type="dxa"/>
              <w:right w:w="120" w:type="dxa"/>
            </w:tcMar>
            <w:vAlign w:val="center"/>
          </w:tcPr>
          <w:p w14:paraId="3F0710EC">
            <w:pPr>
              <w:widowControl/>
              <w:autoSpaceDE w:val="0"/>
              <w:autoSpaceDN w:val="0"/>
              <w:jc w:val="center"/>
              <w:textAlignment w:val="center"/>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1</w:t>
            </w:r>
          </w:p>
        </w:tc>
        <w:tc>
          <w:tcPr>
            <w:tcW w:w="0" w:type="auto"/>
            <w:tcMar>
              <w:top w:w="120" w:type="dxa"/>
              <w:left w:w="120" w:type="dxa"/>
              <w:bottom w:w="120" w:type="dxa"/>
              <w:right w:w="120" w:type="dxa"/>
            </w:tcMar>
            <w:vAlign w:val="center"/>
          </w:tcPr>
          <w:p w14:paraId="76DA2353">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门套</w:t>
            </w:r>
          </w:p>
        </w:tc>
        <w:tc>
          <w:tcPr>
            <w:tcW w:w="0" w:type="auto"/>
            <w:tcMar>
              <w:top w:w="120" w:type="dxa"/>
              <w:left w:w="120" w:type="dxa"/>
              <w:bottom w:w="120" w:type="dxa"/>
              <w:right w:w="120" w:type="dxa"/>
            </w:tcMar>
            <w:vAlign w:val="center"/>
          </w:tcPr>
          <w:p w14:paraId="6904DB15">
            <w:pPr>
              <w:widowControl/>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所有层发纹不锈钢，标准小门套</w:t>
            </w:r>
          </w:p>
        </w:tc>
      </w:tr>
      <w:tr w14:paraId="6873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72FA7B47">
            <w:pPr>
              <w:autoSpaceDE w:val="0"/>
              <w:autoSpaceDN w:val="0"/>
              <w:jc w:val="left"/>
              <w:rPr>
                <w:rFonts w:hint="eastAsia" w:ascii="宋体" w:hAnsi="宋体" w:eastAsia="宋体" w:cs="宋体"/>
                <w:kern w:val="0"/>
                <w:sz w:val="24"/>
                <w:szCs w:val="24"/>
                <w:highlight w:val="none"/>
                <w:lang w:eastAsia="zh-CN"/>
              </w:rPr>
            </w:pPr>
          </w:p>
        </w:tc>
        <w:tc>
          <w:tcPr>
            <w:tcW w:w="519" w:type="pct"/>
            <w:tcMar>
              <w:top w:w="120" w:type="dxa"/>
              <w:left w:w="120" w:type="dxa"/>
              <w:bottom w:w="120" w:type="dxa"/>
              <w:right w:w="120" w:type="dxa"/>
            </w:tcMar>
            <w:vAlign w:val="center"/>
          </w:tcPr>
          <w:p w14:paraId="318BECAF">
            <w:pPr>
              <w:widowControl/>
              <w:autoSpaceDE w:val="0"/>
              <w:autoSpaceDN w:val="0"/>
              <w:jc w:val="center"/>
              <w:textAlignment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2</w:t>
            </w:r>
          </w:p>
        </w:tc>
        <w:tc>
          <w:tcPr>
            <w:tcW w:w="0" w:type="auto"/>
            <w:tcMar>
              <w:top w:w="120" w:type="dxa"/>
              <w:left w:w="120" w:type="dxa"/>
              <w:bottom w:w="120" w:type="dxa"/>
              <w:right w:w="120" w:type="dxa"/>
            </w:tcMar>
            <w:vAlign w:val="center"/>
          </w:tcPr>
          <w:p w14:paraId="7522C048">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梯厅门</w:t>
            </w:r>
          </w:p>
        </w:tc>
        <w:tc>
          <w:tcPr>
            <w:tcW w:w="0" w:type="auto"/>
            <w:tcMar>
              <w:top w:w="120" w:type="dxa"/>
              <w:left w:w="120" w:type="dxa"/>
              <w:bottom w:w="120" w:type="dxa"/>
              <w:right w:w="120" w:type="dxa"/>
            </w:tcMar>
            <w:vAlign w:val="center"/>
          </w:tcPr>
          <w:p w14:paraId="03546B00">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所有层发纹不锈钢</w:t>
            </w:r>
          </w:p>
        </w:tc>
      </w:tr>
      <w:tr w14:paraId="22E5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777D730B">
            <w:pPr>
              <w:autoSpaceDE w:val="0"/>
              <w:autoSpaceDN w:val="0"/>
              <w:jc w:val="left"/>
              <w:rPr>
                <w:rFonts w:hint="eastAsia" w:ascii="宋体" w:hAnsi="宋体" w:eastAsia="宋体" w:cs="宋体"/>
                <w:kern w:val="0"/>
                <w:sz w:val="24"/>
                <w:szCs w:val="24"/>
                <w:highlight w:val="none"/>
                <w:lang w:eastAsia="en-US"/>
              </w:rPr>
            </w:pPr>
          </w:p>
        </w:tc>
        <w:tc>
          <w:tcPr>
            <w:tcW w:w="519" w:type="pct"/>
            <w:tcMar>
              <w:top w:w="120" w:type="dxa"/>
              <w:left w:w="120" w:type="dxa"/>
              <w:bottom w:w="120" w:type="dxa"/>
              <w:right w:w="120" w:type="dxa"/>
            </w:tcMar>
            <w:vAlign w:val="center"/>
          </w:tcPr>
          <w:p w14:paraId="2146394C">
            <w:pPr>
              <w:widowControl/>
              <w:autoSpaceDE w:val="0"/>
              <w:autoSpaceDN w:val="0"/>
              <w:jc w:val="center"/>
              <w:textAlignment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3</w:t>
            </w:r>
          </w:p>
        </w:tc>
        <w:tc>
          <w:tcPr>
            <w:tcW w:w="0" w:type="auto"/>
            <w:tcMar>
              <w:top w:w="120" w:type="dxa"/>
              <w:left w:w="120" w:type="dxa"/>
              <w:bottom w:w="120" w:type="dxa"/>
              <w:right w:w="120" w:type="dxa"/>
            </w:tcMar>
            <w:vAlign w:val="center"/>
          </w:tcPr>
          <w:p w14:paraId="2C193443">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地坎</w:t>
            </w:r>
          </w:p>
        </w:tc>
        <w:tc>
          <w:tcPr>
            <w:tcW w:w="0" w:type="auto"/>
            <w:tcMar>
              <w:top w:w="120" w:type="dxa"/>
              <w:left w:w="120" w:type="dxa"/>
              <w:bottom w:w="120" w:type="dxa"/>
              <w:right w:w="120" w:type="dxa"/>
            </w:tcMar>
            <w:vAlign w:val="center"/>
          </w:tcPr>
          <w:p w14:paraId="07894CA4">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铝合金</w:t>
            </w:r>
          </w:p>
        </w:tc>
      </w:tr>
      <w:tr w14:paraId="7397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restart"/>
            <w:tcMar>
              <w:top w:w="120" w:type="dxa"/>
              <w:left w:w="120" w:type="dxa"/>
              <w:bottom w:w="120" w:type="dxa"/>
              <w:right w:w="120" w:type="dxa"/>
            </w:tcMar>
            <w:vAlign w:val="center"/>
          </w:tcPr>
          <w:p w14:paraId="152F5530">
            <w:pPr>
              <w:widowControl/>
              <w:autoSpaceDE w:val="0"/>
              <w:autoSpaceDN w:val="0"/>
              <w:jc w:val="left"/>
              <w:rPr>
                <w:rFonts w:hint="eastAsia" w:ascii="宋体" w:hAnsi="宋体" w:eastAsia="宋体" w:cs="宋体"/>
                <w:kern w:val="0"/>
                <w:sz w:val="22"/>
                <w:szCs w:val="22"/>
                <w:highlight w:val="none"/>
                <w:lang w:eastAsia="en-US"/>
              </w:rPr>
            </w:pPr>
            <w:r>
              <w:rPr>
                <w:rFonts w:ascii="宋体" w:hAnsi="宋体" w:eastAsia="宋体" w:cs="宋体"/>
                <w:kern w:val="0"/>
                <w:sz w:val="24"/>
                <w:szCs w:val="24"/>
                <w:highlight w:val="none"/>
                <w:lang w:eastAsia="zh-CN" w:bidi="ar"/>
              </w:rPr>
              <w:t>操纵显示系统</w:t>
            </w:r>
          </w:p>
        </w:tc>
        <w:tc>
          <w:tcPr>
            <w:tcW w:w="519" w:type="pct"/>
            <w:tcMar>
              <w:top w:w="120" w:type="dxa"/>
              <w:left w:w="120" w:type="dxa"/>
              <w:bottom w:w="120" w:type="dxa"/>
              <w:right w:w="120" w:type="dxa"/>
            </w:tcMar>
            <w:vAlign w:val="center"/>
          </w:tcPr>
          <w:p w14:paraId="68A144FC">
            <w:pPr>
              <w:widowControl/>
              <w:autoSpaceDE w:val="0"/>
              <w:autoSpaceDN w:val="0"/>
              <w:jc w:val="center"/>
              <w:textAlignment w:val="center"/>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1</w:t>
            </w:r>
          </w:p>
        </w:tc>
        <w:tc>
          <w:tcPr>
            <w:tcW w:w="0" w:type="auto"/>
            <w:tcMar>
              <w:top w:w="120" w:type="dxa"/>
              <w:left w:w="120" w:type="dxa"/>
              <w:bottom w:w="120" w:type="dxa"/>
              <w:right w:w="120" w:type="dxa"/>
            </w:tcMar>
            <w:vAlign w:val="center"/>
          </w:tcPr>
          <w:p w14:paraId="64FE3583">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轿厢操作板及指示器</w:t>
            </w:r>
          </w:p>
        </w:tc>
        <w:tc>
          <w:tcPr>
            <w:tcW w:w="0" w:type="auto"/>
            <w:tcMar>
              <w:top w:w="120" w:type="dxa"/>
              <w:left w:w="120" w:type="dxa"/>
              <w:bottom w:w="120" w:type="dxa"/>
              <w:right w:w="120" w:type="dxa"/>
            </w:tcMar>
            <w:vAlign w:val="center"/>
          </w:tcPr>
          <w:p w14:paraId="4A25067D">
            <w:pPr>
              <w:widowControl/>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橙色段码显示，面板材质：发纹不锈钢</w:t>
            </w:r>
          </w:p>
        </w:tc>
      </w:tr>
      <w:tr w14:paraId="1DE6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 w:hRule="atLeast"/>
          <w:jc w:val="center"/>
        </w:trPr>
        <w:tc>
          <w:tcPr>
            <w:tcW w:w="516" w:type="pct"/>
            <w:vMerge w:val="continue"/>
            <w:tcMar>
              <w:top w:w="120" w:type="dxa"/>
              <w:left w:w="120" w:type="dxa"/>
              <w:bottom w:w="120" w:type="dxa"/>
              <w:right w:w="120" w:type="dxa"/>
            </w:tcMar>
            <w:vAlign w:val="center"/>
          </w:tcPr>
          <w:p w14:paraId="1CCDFF5B">
            <w:pPr>
              <w:autoSpaceDE w:val="0"/>
              <w:autoSpaceDN w:val="0"/>
              <w:jc w:val="left"/>
              <w:rPr>
                <w:rFonts w:hint="eastAsia" w:ascii="宋体" w:hAnsi="宋体" w:eastAsia="宋体" w:cs="宋体"/>
                <w:kern w:val="0"/>
                <w:sz w:val="24"/>
                <w:szCs w:val="24"/>
                <w:highlight w:val="none"/>
                <w:lang w:eastAsia="zh-CN"/>
              </w:rPr>
            </w:pPr>
          </w:p>
        </w:tc>
        <w:tc>
          <w:tcPr>
            <w:tcW w:w="519" w:type="pct"/>
            <w:tcMar>
              <w:top w:w="120" w:type="dxa"/>
              <w:left w:w="120" w:type="dxa"/>
              <w:bottom w:w="120" w:type="dxa"/>
              <w:right w:w="120" w:type="dxa"/>
            </w:tcMar>
            <w:vAlign w:val="center"/>
          </w:tcPr>
          <w:p w14:paraId="19CE9DAA">
            <w:pPr>
              <w:widowControl/>
              <w:autoSpaceDE w:val="0"/>
              <w:autoSpaceDN w:val="0"/>
              <w:jc w:val="center"/>
              <w:textAlignment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2</w:t>
            </w:r>
          </w:p>
        </w:tc>
        <w:tc>
          <w:tcPr>
            <w:tcW w:w="0" w:type="auto"/>
            <w:tcMar>
              <w:top w:w="120" w:type="dxa"/>
              <w:left w:w="120" w:type="dxa"/>
              <w:bottom w:w="120" w:type="dxa"/>
              <w:right w:w="120" w:type="dxa"/>
            </w:tcMar>
            <w:vAlign w:val="center"/>
          </w:tcPr>
          <w:p w14:paraId="5D9BA623">
            <w:pPr>
              <w:widowControl/>
              <w:autoSpaceDE w:val="0"/>
              <w:autoSpaceDN w:val="0"/>
              <w:jc w:val="left"/>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zh-CN"/>
              </w:rPr>
              <w:t>梯厅位置显示器</w:t>
            </w:r>
          </w:p>
        </w:tc>
        <w:tc>
          <w:tcPr>
            <w:tcW w:w="0" w:type="auto"/>
            <w:tcMar>
              <w:top w:w="120" w:type="dxa"/>
              <w:left w:w="120" w:type="dxa"/>
              <w:bottom w:w="120" w:type="dxa"/>
              <w:right w:w="120" w:type="dxa"/>
            </w:tcMar>
            <w:vAlign w:val="center"/>
          </w:tcPr>
          <w:p w14:paraId="69574BD1">
            <w:pPr>
              <w:widowControl/>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各层橙色段码显示，面板材质：发纹不锈钢</w:t>
            </w:r>
          </w:p>
        </w:tc>
      </w:tr>
    </w:tbl>
    <w:p w14:paraId="518AF6AD">
      <w:pPr>
        <w:autoSpaceDE w:val="0"/>
        <w:autoSpaceDN w:val="0"/>
        <w:spacing w:line="360" w:lineRule="auto"/>
        <w:ind w:firstLine="482" w:firstLineChars="200"/>
        <w:jc w:val="left"/>
        <w:rPr>
          <w:rFonts w:hint="eastAsia" w:ascii="宋体" w:hAnsi="宋体" w:eastAsia="宋体" w:cs="宋体"/>
          <w:b/>
          <w:bCs/>
          <w:kern w:val="0"/>
          <w:sz w:val="24"/>
          <w:szCs w:val="22"/>
          <w:highlight w:val="none"/>
          <w:lang w:eastAsia="zh-CN"/>
        </w:rPr>
      </w:pPr>
    </w:p>
    <w:p w14:paraId="5231617E">
      <w:pPr>
        <w:autoSpaceDE w:val="0"/>
        <w:autoSpaceDN w:val="0"/>
        <w:spacing w:line="360" w:lineRule="auto"/>
        <w:jc w:val="left"/>
        <w:rPr>
          <w:rFonts w:hint="eastAsia" w:ascii="宋体" w:hAnsi="宋体" w:eastAsia="宋体" w:cs="宋体"/>
          <w:kern w:val="0"/>
          <w:sz w:val="24"/>
          <w:szCs w:val="24"/>
          <w:highlight w:val="none"/>
          <w:lang w:val="zh-CN" w:eastAsia="zh-CN"/>
        </w:rPr>
      </w:pPr>
      <w:r>
        <w:rPr>
          <w:rFonts w:hint="eastAsia" w:ascii="宋体" w:hAnsi="宋体" w:eastAsia="宋体" w:cs="宋体"/>
          <w:b/>
          <w:bCs/>
          <w:kern w:val="0"/>
          <w:sz w:val="24"/>
          <w:szCs w:val="22"/>
          <w:highlight w:val="none"/>
          <w:lang w:eastAsia="zh-CN"/>
        </w:rPr>
        <w:t>（5）电梯功能要求</w:t>
      </w:r>
    </w:p>
    <w:p w14:paraId="54A5C75A">
      <w:pPr>
        <w:autoSpaceDE w:val="0"/>
        <w:autoSpaceDN w:val="0"/>
        <w:spacing w:line="360" w:lineRule="auto"/>
        <w:jc w:val="center"/>
        <w:rPr>
          <w:rFonts w:hint="eastAsia" w:ascii="宋体" w:hAnsi="宋体" w:eastAsia="宋体" w:cs="宋体"/>
          <w:b/>
          <w:bCs/>
          <w:kern w:val="0"/>
          <w:sz w:val="24"/>
          <w:szCs w:val="24"/>
          <w:highlight w:val="none"/>
          <w:lang w:val="zh-CN" w:eastAsia="zh-CN"/>
        </w:rPr>
      </w:pPr>
      <w:r>
        <w:rPr>
          <w:rFonts w:hint="eastAsia" w:ascii="宋体" w:hAnsi="宋体" w:eastAsia="宋体" w:cs="宋体"/>
          <w:b/>
          <w:bCs/>
          <w:kern w:val="0"/>
          <w:sz w:val="24"/>
          <w:szCs w:val="24"/>
          <w:highlight w:val="none"/>
          <w:lang w:val="zh-CN" w:eastAsia="zh-CN"/>
        </w:rPr>
        <w:t>电梯功能表</w:t>
      </w:r>
    </w:p>
    <w:tbl>
      <w:tblPr>
        <w:tblStyle w:val="2"/>
        <w:tblW w:w="96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1"/>
        <w:gridCol w:w="2213"/>
        <w:gridCol w:w="6710"/>
      </w:tblGrid>
      <w:tr w14:paraId="553EA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5673E73C">
            <w:pPr>
              <w:widowControl w:val="0"/>
              <w:autoSpaceDE w:val="0"/>
              <w:autoSpaceDN w:val="0"/>
              <w:adjustRightInd w:val="0"/>
              <w:jc w:val="center"/>
              <w:rPr>
                <w:rFonts w:hint="eastAsia" w:ascii="宋体" w:hAnsi="宋体" w:eastAsia="宋体" w:cs="宋体"/>
                <w:sz w:val="24"/>
                <w:szCs w:val="24"/>
                <w:highlight w:val="none"/>
                <w:lang w:val="en-US" w:eastAsia="en-US" w:bidi="ar-SA"/>
              </w:rPr>
            </w:pPr>
            <w:r>
              <w:rPr>
                <w:rFonts w:hint="eastAsia" w:ascii="宋体" w:hAnsi="宋体" w:eastAsia="宋体" w:cs="宋体"/>
                <w:b/>
                <w:bCs/>
                <w:sz w:val="24"/>
                <w:szCs w:val="24"/>
                <w:highlight w:val="none"/>
                <w:lang w:val="en-US" w:eastAsia="en-US" w:bidi="ar-SA"/>
              </w:rPr>
              <w:t>序号</w:t>
            </w:r>
          </w:p>
        </w:tc>
        <w:tc>
          <w:tcPr>
            <w:tcW w:w="2213" w:type="dxa"/>
            <w:vAlign w:val="center"/>
          </w:tcPr>
          <w:p w14:paraId="32C84918">
            <w:pPr>
              <w:widowControl w:val="0"/>
              <w:autoSpaceDE w:val="0"/>
              <w:autoSpaceDN w:val="0"/>
              <w:adjustRightInd w:val="0"/>
              <w:jc w:val="center"/>
              <w:rPr>
                <w:rFonts w:hint="eastAsia" w:ascii="宋体" w:hAnsi="宋体" w:eastAsia="宋体" w:cs="宋体"/>
                <w:sz w:val="24"/>
                <w:szCs w:val="24"/>
                <w:highlight w:val="none"/>
                <w:lang w:val="en-US" w:eastAsia="en-US" w:bidi="ar-SA"/>
              </w:rPr>
            </w:pPr>
            <w:r>
              <w:rPr>
                <w:rFonts w:hint="eastAsia" w:ascii="宋体" w:hAnsi="宋体" w:eastAsia="宋体" w:cs="宋体"/>
                <w:b/>
                <w:bCs/>
                <w:sz w:val="24"/>
                <w:szCs w:val="24"/>
                <w:highlight w:val="none"/>
                <w:lang w:val="en-US" w:eastAsia="en-US" w:bidi="ar-SA"/>
              </w:rPr>
              <w:t>功能名称</w:t>
            </w:r>
          </w:p>
        </w:tc>
        <w:tc>
          <w:tcPr>
            <w:tcW w:w="6710" w:type="dxa"/>
            <w:vAlign w:val="center"/>
          </w:tcPr>
          <w:p w14:paraId="79132ABA">
            <w:pPr>
              <w:widowControl w:val="0"/>
              <w:autoSpaceDE w:val="0"/>
              <w:autoSpaceDN w:val="0"/>
              <w:adjustRightInd w:val="0"/>
              <w:jc w:val="center"/>
              <w:rPr>
                <w:rFonts w:hint="eastAsia" w:ascii="宋体" w:hAnsi="宋体" w:eastAsia="宋体" w:cs="宋体"/>
                <w:sz w:val="24"/>
                <w:szCs w:val="24"/>
                <w:highlight w:val="none"/>
                <w:lang w:val="en-US" w:eastAsia="en-US" w:bidi="ar-SA"/>
              </w:rPr>
            </w:pPr>
            <w:r>
              <w:rPr>
                <w:rFonts w:hint="eastAsia" w:ascii="宋体" w:hAnsi="宋体" w:eastAsia="宋体" w:cs="宋体"/>
                <w:b/>
                <w:bCs/>
                <w:sz w:val="24"/>
                <w:szCs w:val="24"/>
                <w:highlight w:val="none"/>
                <w:lang w:val="en-US" w:eastAsia="en-US" w:bidi="ar-SA"/>
              </w:rPr>
              <w:t>功能说明</w:t>
            </w:r>
          </w:p>
        </w:tc>
      </w:tr>
      <w:tr w14:paraId="02780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1DE0CBEA">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1</w:t>
            </w:r>
          </w:p>
        </w:tc>
        <w:tc>
          <w:tcPr>
            <w:tcW w:w="2213" w:type="dxa"/>
            <w:vAlign w:val="center"/>
          </w:tcPr>
          <w:p w14:paraId="268E9D02">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自动再平层</w:t>
            </w:r>
          </w:p>
        </w:tc>
        <w:tc>
          <w:tcPr>
            <w:tcW w:w="6710" w:type="dxa"/>
            <w:vAlign w:val="center"/>
          </w:tcPr>
          <w:p w14:paraId="7623E49E">
            <w:pPr>
              <w:widowControl w:val="0"/>
              <w:autoSpaceDE w:val="0"/>
              <w:autoSpaceDN w:val="0"/>
              <w:adjustRightInd w:val="0"/>
              <w:jc w:val="both"/>
              <w:rPr>
                <w:rFonts w:hint="eastAsia" w:ascii="宋体" w:hAnsi="宋体" w:eastAsia="宋体" w:cs="宋体"/>
                <w:bCs/>
                <w:sz w:val="24"/>
                <w:szCs w:val="24"/>
                <w:highlight w:val="none"/>
                <w:lang w:val="en-US" w:eastAsia="zh-CN" w:bidi="ar-SA"/>
              </w:rPr>
            </w:pPr>
            <w:r>
              <w:rPr>
                <w:rFonts w:hint="eastAsia" w:ascii="宋体" w:hAnsi="宋体" w:eastAsia="宋体" w:cs="宋体"/>
                <w:bCs/>
                <w:sz w:val="24"/>
                <w:szCs w:val="24"/>
                <w:highlight w:val="none"/>
                <w:lang w:val="en-US" w:eastAsia="zh-CN" w:bidi="ar-SA"/>
              </w:rPr>
              <w:t>轿厢到站停靠后，轿厢地坎上平面与层门地坎上平面之间垂直方向的偏差超过预定值时，电梯自动平层。</w:t>
            </w:r>
          </w:p>
        </w:tc>
      </w:tr>
      <w:tr w14:paraId="2A298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385A7412">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w:t>
            </w:r>
          </w:p>
        </w:tc>
        <w:tc>
          <w:tcPr>
            <w:tcW w:w="2213" w:type="dxa"/>
            <w:vAlign w:val="center"/>
          </w:tcPr>
          <w:p w14:paraId="39463C4A">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电梯受阻失速保护</w:t>
            </w:r>
          </w:p>
        </w:tc>
        <w:tc>
          <w:tcPr>
            <w:tcW w:w="6710" w:type="dxa"/>
            <w:vAlign w:val="center"/>
          </w:tcPr>
          <w:p w14:paraId="10B1235F">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曳引钢丝绳打滑到预定时间时，电梯停止运行。</w:t>
            </w:r>
          </w:p>
        </w:tc>
      </w:tr>
      <w:tr w14:paraId="51210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FD21AB5">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w:t>
            </w:r>
          </w:p>
        </w:tc>
        <w:tc>
          <w:tcPr>
            <w:tcW w:w="2213" w:type="dxa"/>
            <w:vAlign w:val="center"/>
          </w:tcPr>
          <w:p w14:paraId="5646F583">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制动器冗余保护</w:t>
            </w:r>
          </w:p>
        </w:tc>
        <w:tc>
          <w:tcPr>
            <w:tcW w:w="6710" w:type="dxa"/>
            <w:vAlign w:val="center"/>
          </w:tcPr>
          <w:p w14:paraId="1ABCDA88">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当一组制动器发生故障时，其余制动器也可实现电梯有效制动。</w:t>
            </w:r>
          </w:p>
        </w:tc>
      </w:tr>
      <w:tr w14:paraId="578E2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675CBF1B">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4</w:t>
            </w:r>
          </w:p>
        </w:tc>
        <w:tc>
          <w:tcPr>
            <w:tcW w:w="2213" w:type="dxa"/>
            <w:vAlign w:val="center"/>
          </w:tcPr>
          <w:p w14:paraId="0C01BC8C">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电气安全回路保护</w:t>
            </w:r>
          </w:p>
        </w:tc>
        <w:tc>
          <w:tcPr>
            <w:tcW w:w="6710" w:type="dxa"/>
            <w:vAlign w:val="center"/>
          </w:tcPr>
          <w:p w14:paraId="69F12C23">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串联在一起的电气安全装置一旦动作，则阻止电梯运行。</w:t>
            </w:r>
          </w:p>
        </w:tc>
      </w:tr>
      <w:tr w14:paraId="36067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13B49068">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5</w:t>
            </w:r>
          </w:p>
        </w:tc>
        <w:tc>
          <w:tcPr>
            <w:tcW w:w="2213" w:type="dxa"/>
            <w:vAlign w:val="center"/>
          </w:tcPr>
          <w:p w14:paraId="21DDA440">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层高自测定</w:t>
            </w:r>
          </w:p>
        </w:tc>
        <w:tc>
          <w:tcPr>
            <w:tcW w:w="6710" w:type="dxa"/>
            <w:vAlign w:val="center"/>
          </w:tcPr>
          <w:p w14:paraId="70FB9C0A">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自动测量并记录层高数据。</w:t>
            </w:r>
          </w:p>
        </w:tc>
      </w:tr>
      <w:tr w14:paraId="7E531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63B98DCA">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6</w:t>
            </w:r>
          </w:p>
        </w:tc>
        <w:tc>
          <w:tcPr>
            <w:tcW w:w="2213" w:type="dxa"/>
            <w:vAlign w:val="center"/>
          </w:tcPr>
          <w:p w14:paraId="6C5C7D8D">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检修操作</w:t>
            </w:r>
          </w:p>
        </w:tc>
        <w:tc>
          <w:tcPr>
            <w:tcW w:w="6710" w:type="dxa"/>
            <w:vAlign w:val="center"/>
          </w:tcPr>
          <w:p w14:paraId="50107E09">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供维修人员使用的检修运行模式。</w:t>
            </w:r>
          </w:p>
        </w:tc>
      </w:tr>
      <w:tr w14:paraId="6C7F4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1C51A5BB">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7</w:t>
            </w:r>
          </w:p>
        </w:tc>
        <w:tc>
          <w:tcPr>
            <w:tcW w:w="2213" w:type="dxa"/>
            <w:vAlign w:val="center"/>
          </w:tcPr>
          <w:p w14:paraId="4CD7F87E">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称重启动</w:t>
            </w:r>
          </w:p>
        </w:tc>
        <w:tc>
          <w:tcPr>
            <w:tcW w:w="6710" w:type="dxa"/>
            <w:vAlign w:val="center"/>
          </w:tcPr>
          <w:p w14:paraId="6F2F9AC4">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电梯启动前，对轿厢内负载进行称重，以使电梯启动平稳。</w:t>
            </w:r>
          </w:p>
        </w:tc>
      </w:tr>
      <w:tr w14:paraId="781AA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4BA0D06C">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8</w:t>
            </w:r>
          </w:p>
        </w:tc>
        <w:tc>
          <w:tcPr>
            <w:tcW w:w="2213" w:type="dxa"/>
            <w:vAlign w:val="center"/>
          </w:tcPr>
          <w:p w14:paraId="583F7BAA">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过电流保护</w:t>
            </w:r>
          </w:p>
        </w:tc>
        <w:tc>
          <w:tcPr>
            <w:tcW w:w="6710" w:type="dxa"/>
            <w:vAlign w:val="center"/>
          </w:tcPr>
          <w:p w14:paraId="60444954">
            <w:pPr>
              <w:widowControl w:val="0"/>
              <w:autoSpaceDE w:val="0"/>
              <w:autoSpaceDN w:val="0"/>
              <w:adjustRightInd w:val="0"/>
              <w:jc w:val="both"/>
              <w:rPr>
                <w:rFonts w:hint="eastAsia" w:ascii="宋体" w:hAnsi="宋体" w:eastAsia="宋体" w:cs="宋体"/>
                <w:bCs/>
                <w:sz w:val="24"/>
                <w:szCs w:val="24"/>
                <w:highlight w:val="none"/>
                <w:lang w:val="en-US" w:eastAsia="zh-CN" w:bidi="ar-SA"/>
              </w:rPr>
            </w:pPr>
            <w:r>
              <w:rPr>
                <w:rFonts w:hint="eastAsia" w:ascii="宋体" w:hAnsi="宋体" w:eastAsia="宋体" w:cs="宋体"/>
                <w:bCs/>
                <w:sz w:val="24"/>
                <w:szCs w:val="24"/>
                <w:highlight w:val="none"/>
                <w:lang w:val="en-US" w:eastAsia="zh-CN" w:bidi="ar-SA"/>
              </w:rPr>
              <w:t>检测到整流装置或逆变装置电流过大，则停止电梯运行。</w:t>
            </w:r>
          </w:p>
        </w:tc>
      </w:tr>
      <w:tr w14:paraId="57EB2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5AB1FF78">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9</w:t>
            </w:r>
          </w:p>
        </w:tc>
        <w:tc>
          <w:tcPr>
            <w:tcW w:w="2213" w:type="dxa"/>
            <w:vAlign w:val="center"/>
          </w:tcPr>
          <w:p w14:paraId="7E48149F">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超速保护</w:t>
            </w:r>
          </w:p>
        </w:tc>
        <w:tc>
          <w:tcPr>
            <w:tcW w:w="6710" w:type="dxa"/>
            <w:vAlign w:val="center"/>
          </w:tcPr>
          <w:p w14:paraId="0D73A2A4">
            <w:pPr>
              <w:widowControl w:val="0"/>
              <w:autoSpaceDE w:val="0"/>
              <w:autoSpaceDN w:val="0"/>
              <w:adjustRightInd w:val="0"/>
              <w:jc w:val="both"/>
              <w:rPr>
                <w:rFonts w:hint="eastAsia" w:ascii="宋体" w:hAnsi="宋体" w:eastAsia="宋体" w:cs="宋体"/>
                <w:bCs/>
                <w:sz w:val="24"/>
                <w:szCs w:val="24"/>
                <w:highlight w:val="none"/>
                <w:lang w:val="en-US" w:eastAsia="zh-CN" w:bidi="ar-SA"/>
              </w:rPr>
            </w:pPr>
            <w:r>
              <w:rPr>
                <w:rFonts w:hint="eastAsia" w:ascii="宋体" w:hAnsi="宋体" w:eastAsia="宋体" w:cs="宋体"/>
                <w:bCs/>
                <w:sz w:val="24"/>
                <w:szCs w:val="24"/>
                <w:highlight w:val="none"/>
                <w:lang w:val="en-US" w:eastAsia="zh-CN" w:bidi="ar-SA"/>
              </w:rPr>
              <w:t>检测到电梯运行速度超过允许值时，则停止电梯运行。</w:t>
            </w:r>
          </w:p>
        </w:tc>
      </w:tr>
      <w:tr w14:paraId="3879E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052445B9">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10</w:t>
            </w:r>
          </w:p>
        </w:tc>
        <w:tc>
          <w:tcPr>
            <w:tcW w:w="2213" w:type="dxa"/>
            <w:vAlign w:val="center"/>
          </w:tcPr>
          <w:p w14:paraId="1A970176">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电机过热保护</w:t>
            </w:r>
          </w:p>
        </w:tc>
        <w:tc>
          <w:tcPr>
            <w:tcW w:w="6710" w:type="dxa"/>
            <w:vAlign w:val="center"/>
          </w:tcPr>
          <w:p w14:paraId="685ADD47">
            <w:pPr>
              <w:widowControl w:val="0"/>
              <w:autoSpaceDE w:val="0"/>
              <w:autoSpaceDN w:val="0"/>
              <w:adjustRightInd w:val="0"/>
              <w:jc w:val="both"/>
              <w:rPr>
                <w:rFonts w:hint="eastAsia" w:ascii="宋体" w:hAnsi="宋体" w:eastAsia="宋体" w:cs="宋体"/>
                <w:bCs/>
                <w:sz w:val="24"/>
                <w:szCs w:val="24"/>
                <w:highlight w:val="none"/>
                <w:lang w:val="en-US" w:eastAsia="zh-CN" w:bidi="ar-SA"/>
              </w:rPr>
            </w:pPr>
            <w:r>
              <w:rPr>
                <w:rFonts w:hint="eastAsia" w:ascii="宋体" w:hAnsi="宋体" w:eastAsia="宋体" w:cs="宋体"/>
                <w:bCs/>
                <w:sz w:val="24"/>
                <w:szCs w:val="24"/>
                <w:highlight w:val="none"/>
                <w:lang w:val="en-US" w:eastAsia="zh-CN" w:bidi="ar-SA"/>
              </w:rPr>
              <w:t>检测到电机过热，则停止电梯运行。</w:t>
            </w:r>
          </w:p>
        </w:tc>
      </w:tr>
      <w:tr w14:paraId="4A34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2833BEAF">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11</w:t>
            </w:r>
          </w:p>
        </w:tc>
        <w:tc>
          <w:tcPr>
            <w:tcW w:w="2213" w:type="dxa"/>
            <w:vAlign w:val="center"/>
          </w:tcPr>
          <w:p w14:paraId="3D808E3D">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过电压保护</w:t>
            </w:r>
          </w:p>
        </w:tc>
        <w:tc>
          <w:tcPr>
            <w:tcW w:w="6710" w:type="dxa"/>
            <w:vAlign w:val="center"/>
          </w:tcPr>
          <w:p w14:paraId="0A65041F">
            <w:pPr>
              <w:widowControl w:val="0"/>
              <w:autoSpaceDE w:val="0"/>
              <w:autoSpaceDN w:val="0"/>
              <w:adjustRightInd w:val="0"/>
              <w:jc w:val="both"/>
              <w:rPr>
                <w:rFonts w:hint="eastAsia" w:ascii="宋体" w:hAnsi="宋体" w:eastAsia="宋体" w:cs="宋体"/>
                <w:bCs/>
                <w:sz w:val="24"/>
                <w:szCs w:val="24"/>
                <w:highlight w:val="none"/>
                <w:lang w:val="en-US" w:eastAsia="zh-CN" w:bidi="ar-SA"/>
              </w:rPr>
            </w:pPr>
            <w:r>
              <w:rPr>
                <w:rFonts w:hint="eastAsia" w:ascii="宋体" w:hAnsi="宋体" w:eastAsia="宋体" w:cs="宋体"/>
                <w:bCs/>
                <w:sz w:val="24"/>
                <w:szCs w:val="24"/>
                <w:highlight w:val="none"/>
                <w:lang w:val="en-US" w:eastAsia="zh-CN" w:bidi="ar-SA"/>
              </w:rPr>
              <w:t>检测到整流装置或逆变装置电压过高，则停止电梯运行。</w:t>
            </w:r>
          </w:p>
        </w:tc>
      </w:tr>
      <w:tr w14:paraId="05113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515BA9C0">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12</w:t>
            </w:r>
          </w:p>
        </w:tc>
        <w:tc>
          <w:tcPr>
            <w:tcW w:w="2213" w:type="dxa"/>
            <w:vAlign w:val="center"/>
          </w:tcPr>
          <w:p w14:paraId="520CE01D">
            <w:pPr>
              <w:widowControl w:val="0"/>
              <w:autoSpaceDE w:val="0"/>
              <w:autoSpaceDN w:val="0"/>
              <w:adjustRightInd w:val="0"/>
              <w:jc w:val="center"/>
              <w:rPr>
                <w:rFonts w:hint="eastAsia" w:ascii="宋体" w:hAnsi="宋体" w:eastAsia="宋体" w:cs="宋体"/>
                <w:bCs/>
                <w:sz w:val="24"/>
                <w:szCs w:val="24"/>
                <w:highlight w:val="none"/>
                <w:lang w:val="en-US" w:eastAsia="en-US" w:bidi="ar-SA"/>
              </w:rPr>
            </w:pPr>
            <w:r>
              <w:rPr>
                <w:rFonts w:hint="eastAsia" w:ascii="宋体" w:hAnsi="宋体" w:eastAsia="宋体" w:cs="宋体"/>
                <w:bCs/>
                <w:sz w:val="24"/>
                <w:szCs w:val="24"/>
                <w:highlight w:val="none"/>
                <w:lang w:val="en-US" w:eastAsia="en-US" w:bidi="ar-SA"/>
              </w:rPr>
              <w:t>电源故障保护</w:t>
            </w:r>
          </w:p>
        </w:tc>
        <w:tc>
          <w:tcPr>
            <w:tcW w:w="6710" w:type="dxa"/>
            <w:vAlign w:val="center"/>
          </w:tcPr>
          <w:p w14:paraId="61B89174">
            <w:pPr>
              <w:widowControl w:val="0"/>
              <w:autoSpaceDE w:val="0"/>
              <w:autoSpaceDN w:val="0"/>
              <w:adjustRightInd w:val="0"/>
              <w:jc w:val="both"/>
              <w:rPr>
                <w:rFonts w:hint="eastAsia" w:ascii="宋体" w:hAnsi="宋体" w:eastAsia="宋体" w:cs="宋体"/>
                <w:bCs/>
                <w:sz w:val="24"/>
                <w:szCs w:val="24"/>
                <w:highlight w:val="none"/>
                <w:lang w:val="en-US" w:eastAsia="zh-CN" w:bidi="ar-SA"/>
              </w:rPr>
            </w:pPr>
            <w:r>
              <w:rPr>
                <w:rFonts w:hint="eastAsia" w:ascii="宋体" w:hAnsi="宋体" w:eastAsia="宋体" w:cs="宋体"/>
                <w:bCs/>
                <w:sz w:val="24"/>
                <w:szCs w:val="24"/>
                <w:highlight w:val="none"/>
                <w:lang w:val="en-US" w:eastAsia="zh-CN" w:bidi="ar-SA"/>
              </w:rPr>
              <w:t>电源发生缺断相、欠压等故障时，则停止电梯运行。</w:t>
            </w:r>
          </w:p>
        </w:tc>
      </w:tr>
      <w:tr w14:paraId="23F28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A589C90">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13</w:t>
            </w:r>
          </w:p>
        </w:tc>
        <w:tc>
          <w:tcPr>
            <w:tcW w:w="2213" w:type="dxa"/>
            <w:vAlign w:val="center"/>
          </w:tcPr>
          <w:p w14:paraId="4D5D4BB2">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上电再平层</w:t>
            </w:r>
          </w:p>
        </w:tc>
        <w:tc>
          <w:tcPr>
            <w:tcW w:w="6710" w:type="dxa"/>
            <w:vAlign w:val="center"/>
          </w:tcPr>
          <w:p w14:paraId="66DF8918">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由于断电引起轿厢停在门区范围内，当电源恢复后轿厢将再平层到平层位置。</w:t>
            </w:r>
          </w:p>
        </w:tc>
      </w:tr>
      <w:tr w14:paraId="33A0C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84B7F36">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14</w:t>
            </w:r>
          </w:p>
        </w:tc>
        <w:tc>
          <w:tcPr>
            <w:tcW w:w="2213" w:type="dxa"/>
            <w:vAlign w:val="center"/>
          </w:tcPr>
          <w:p w14:paraId="161AC2A2">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逆行保护）</w:t>
            </w:r>
          </w:p>
        </w:tc>
        <w:tc>
          <w:tcPr>
            <w:tcW w:w="6710" w:type="dxa"/>
            <w:vAlign w:val="center"/>
          </w:tcPr>
          <w:p w14:paraId="05576931">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检测到电梯逆行，则停止电梯运行。</w:t>
            </w:r>
          </w:p>
        </w:tc>
      </w:tr>
      <w:tr w14:paraId="3B334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5DA7918B">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15</w:t>
            </w:r>
          </w:p>
        </w:tc>
        <w:tc>
          <w:tcPr>
            <w:tcW w:w="2213" w:type="dxa"/>
            <w:vAlign w:val="center"/>
          </w:tcPr>
          <w:p w14:paraId="02BDE96C">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选层器修正</w:t>
            </w:r>
          </w:p>
        </w:tc>
        <w:tc>
          <w:tcPr>
            <w:tcW w:w="6710" w:type="dxa"/>
            <w:vAlign w:val="center"/>
          </w:tcPr>
          <w:p w14:paraId="7587FAD9">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电梯在运行过程中，对选层器进行修正。</w:t>
            </w:r>
          </w:p>
        </w:tc>
      </w:tr>
      <w:tr w14:paraId="66107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1B197A9">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16</w:t>
            </w:r>
          </w:p>
        </w:tc>
        <w:tc>
          <w:tcPr>
            <w:tcW w:w="2213" w:type="dxa"/>
            <w:vAlign w:val="center"/>
          </w:tcPr>
          <w:p w14:paraId="6FDBB9D8">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安全停靠</w:t>
            </w:r>
          </w:p>
        </w:tc>
        <w:tc>
          <w:tcPr>
            <w:tcW w:w="6710" w:type="dxa"/>
            <w:vAlign w:val="center"/>
          </w:tcPr>
          <w:p w14:paraId="07A28BE5">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如果电梯发生故障并停止在楼层之间，控制器执行诊断检查，一旦运行被确认为安全后，电梯以慢速驶往最近的楼层。</w:t>
            </w:r>
          </w:p>
        </w:tc>
      </w:tr>
      <w:tr w14:paraId="09B89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57B47365">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17</w:t>
            </w:r>
          </w:p>
        </w:tc>
        <w:tc>
          <w:tcPr>
            <w:tcW w:w="2213" w:type="dxa"/>
            <w:vAlign w:val="center"/>
          </w:tcPr>
          <w:p w14:paraId="7541AECD">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停层开门</w:t>
            </w:r>
          </w:p>
        </w:tc>
        <w:tc>
          <w:tcPr>
            <w:tcW w:w="6710" w:type="dxa"/>
            <w:vAlign w:val="center"/>
          </w:tcPr>
          <w:p w14:paraId="058C45A2">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电梯停层后自动开门。</w:t>
            </w:r>
          </w:p>
        </w:tc>
      </w:tr>
      <w:tr w14:paraId="5FCCD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4FE69CF">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18</w:t>
            </w:r>
          </w:p>
        </w:tc>
        <w:tc>
          <w:tcPr>
            <w:tcW w:w="2213" w:type="dxa"/>
            <w:vAlign w:val="center"/>
          </w:tcPr>
          <w:p w14:paraId="4E9B64D1">
            <w:pPr>
              <w:autoSpaceDE w:val="0"/>
              <w:autoSpaceDN w:val="0"/>
              <w:jc w:val="center"/>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逆变器散热器高温检测</w:t>
            </w:r>
          </w:p>
        </w:tc>
        <w:tc>
          <w:tcPr>
            <w:tcW w:w="6710" w:type="dxa"/>
            <w:vAlign w:val="center"/>
          </w:tcPr>
          <w:p w14:paraId="36FCACB6">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检测到逆变装置过热，则停止电梯运行。</w:t>
            </w:r>
          </w:p>
        </w:tc>
      </w:tr>
      <w:tr w14:paraId="4158D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03A90665">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19</w:t>
            </w:r>
          </w:p>
        </w:tc>
        <w:tc>
          <w:tcPr>
            <w:tcW w:w="2213" w:type="dxa"/>
            <w:vAlign w:val="center"/>
          </w:tcPr>
          <w:p w14:paraId="78FB4DBB">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过低速保护</w:t>
            </w:r>
          </w:p>
        </w:tc>
        <w:tc>
          <w:tcPr>
            <w:tcW w:w="6710" w:type="dxa"/>
            <w:vAlign w:val="center"/>
          </w:tcPr>
          <w:p w14:paraId="145B0227">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检测到运行速度低于允许值时，则停止电梯运行。</w:t>
            </w:r>
          </w:p>
        </w:tc>
      </w:tr>
      <w:tr w14:paraId="77206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11766ACC">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20</w:t>
            </w:r>
          </w:p>
        </w:tc>
        <w:tc>
          <w:tcPr>
            <w:tcW w:w="2213" w:type="dxa"/>
            <w:vAlign w:val="center"/>
          </w:tcPr>
          <w:p w14:paraId="4D349D7D">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操作箱微机异常处理</w:t>
            </w:r>
          </w:p>
        </w:tc>
        <w:tc>
          <w:tcPr>
            <w:tcW w:w="6710" w:type="dxa"/>
            <w:vAlign w:val="center"/>
          </w:tcPr>
          <w:p w14:paraId="202195F0">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当操纵箱微机发生异常时，就近层停靠后，电梯不能再启动。</w:t>
            </w:r>
          </w:p>
        </w:tc>
      </w:tr>
      <w:tr w14:paraId="7D222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A01FDE6">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21</w:t>
            </w:r>
          </w:p>
        </w:tc>
        <w:tc>
          <w:tcPr>
            <w:tcW w:w="2213" w:type="dxa"/>
            <w:vAlign w:val="center"/>
          </w:tcPr>
          <w:p w14:paraId="515550D0">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轿内反向指令消除</w:t>
            </w:r>
          </w:p>
        </w:tc>
        <w:tc>
          <w:tcPr>
            <w:tcW w:w="6710" w:type="dxa"/>
            <w:vAlign w:val="center"/>
          </w:tcPr>
          <w:p w14:paraId="5D909311">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电梯自动运行时，当电梯沿途响应完最后一个轿内指令或层站召唤后，系统自动检查并消除余下的轿内指令。</w:t>
            </w:r>
          </w:p>
        </w:tc>
      </w:tr>
      <w:tr w14:paraId="216AA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3965F67B">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22</w:t>
            </w:r>
          </w:p>
        </w:tc>
        <w:tc>
          <w:tcPr>
            <w:tcW w:w="2213" w:type="dxa"/>
            <w:vAlign w:val="center"/>
          </w:tcPr>
          <w:p w14:paraId="21E86C14">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故障自诊断</w:t>
            </w:r>
          </w:p>
        </w:tc>
        <w:tc>
          <w:tcPr>
            <w:tcW w:w="6710" w:type="dxa"/>
            <w:vAlign w:val="center"/>
          </w:tcPr>
          <w:p w14:paraId="207453C1">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对电梯运行过程中的异常及故障进行诊断。</w:t>
            </w:r>
          </w:p>
        </w:tc>
      </w:tr>
      <w:tr w14:paraId="29C02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08CEEF77">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23</w:t>
            </w:r>
          </w:p>
        </w:tc>
        <w:tc>
          <w:tcPr>
            <w:tcW w:w="2213" w:type="dxa"/>
            <w:vAlign w:val="center"/>
          </w:tcPr>
          <w:p w14:paraId="7B9FE66D">
            <w:pPr>
              <w:autoSpaceDE w:val="0"/>
              <w:autoSpaceDN w:val="0"/>
              <w:jc w:val="center"/>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轿内通风装置手动关闭</w:t>
            </w:r>
          </w:p>
        </w:tc>
        <w:tc>
          <w:tcPr>
            <w:tcW w:w="6710" w:type="dxa"/>
            <w:vAlign w:val="center"/>
          </w:tcPr>
          <w:p w14:paraId="6DC4647E">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通过操纵箱按钮组合来关闭轿内通风装置。</w:t>
            </w:r>
          </w:p>
        </w:tc>
      </w:tr>
      <w:tr w14:paraId="12AD2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219640C9">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24</w:t>
            </w:r>
          </w:p>
        </w:tc>
        <w:tc>
          <w:tcPr>
            <w:tcW w:w="2213" w:type="dxa"/>
            <w:vAlign w:val="center"/>
          </w:tcPr>
          <w:p w14:paraId="7A1449F9">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轿内照明手动关闭</w:t>
            </w:r>
          </w:p>
        </w:tc>
        <w:tc>
          <w:tcPr>
            <w:tcW w:w="6710" w:type="dxa"/>
            <w:vAlign w:val="center"/>
          </w:tcPr>
          <w:p w14:paraId="5C38A384">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通过操纵箱按钮组合来关闭轿内照明。</w:t>
            </w:r>
          </w:p>
        </w:tc>
      </w:tr>
      <w:tr w14:paraId="5F575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5B38E92">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25</w:t>
            </w:r>
          </w:p>
        </w:tc>
        <w:tc>
          <w:tcPr>
            <w:tcW w:w="2213" w:type="dxa"/>
            <w:vAlign w:val="center"/>
          </w:tcPr>
          <w:p w14:paraId="70971EB2">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独立运行</w:t>
            </w:r>
          </w:p>
        </w:tc>
        <w:tc>
          <w:tcPr>
            <w:tcW w:w="6710" w:type="dxa"/>
            <w:vAlign w:val="center"/>
          </w:tcPr>
          <w:p w14:paraId="45D7E2E7">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使用操纵箱内的“独立”开关，可以在不中断运行的情况下，只响应轿内指令而不响应层站召唤。</w:t>
            </w:r>
          </w:p>
        </w:tc>
      </w:tr>
      <w:tr w14:paraId="5DCC7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2890D263">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26</w:t>
            </w:r>
          </w:p>
        </w:tc>
        <w:tc>
          <w:tcPr>
            <w:tcW w:w="2213" w:type="dxa"/>
            <w:vAlign w:val="center"/>
          </w:tcPr>
          <w:p w14:paraId="24326C64">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层站召唤自动登记</w:t>
            </w:r>
          </w:p>
        </w:tc>
        <w:tc>
          <w:tcPr>
            <w:tcW w:w="6710" w:type="dxa"/>
            <w:vAlign w:val="center"/>
          </w:tcPr>
          <w:p w14:paraId="27D346C0">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当一台电梯不能将所有乘客接走，该层站按钮保持登记状态，系统将自动分配另外一台电梯来服务。</w:t>
            </w:r>
          </w:p>
        </w:tc>
      </w:tr>
      <w:tr w14:paraId="4B340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5598E7EC">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27</w:t>
            </w:r>
          </w:p>
        </w:tc>
        <w:tc>
          <w:tcPr>
            <w:tcW w:w="2213" w:type="dxa"/>
            <w:vAlign w:val="center"/>
          </w:tcPr>
          <w:p w14:paraId="55CC8CC4">
            <w:pPr>
              <w:autoSpaceDE w:val="0"/>
              <w:autoSpaceDN w:val="0"/>
              <w:jc w:val="center"/>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en-US"/>
              </w:rPr>
              <w:t>层站微机异常处</w:t>
            </w:r>
            <w:r>
              <w:rPr>
                <w:rFonts w:hint="eastAsia" w:ascii="宋体" w:hAnsi="宋体" w:eastAsia="宋体" w:cs="宋体"/>
                <w:bCs/>
                <w:kern w:val="0"/>
                <w:sz w:val="24"/>
                <w:szCs w:val="24"/>
                <w:highlight w:val="none"/>
                <w:lang w:eastAsia="zh-CN"/>
              </w:rPr>
              <w:t>理</w:t>
            </w:r>
          </w:p>
        </w:tc>
        <w:tc>
          <w:tcPr>
            <w:tcW w:w="6710" w:type="dxa"/>
            <w:vAlign w:val="center"/>
          </w:tcPr>
          <w:p w14:paraId="1F95958C">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当层站微机发生异常时，就近层停靠后，电梯不能再启动。</w:t>
            </w:r>
          </w:p>
        </w:tc>
      </w:tr>
      <w:tr w14:paraId="79B64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94D305B">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28</w:t>
            </w:r>
          </w:p>
        </w:tc>
        <w:tc>
          <w:tcPr>
            <w:tcW w:w="2213" w:type="dxa"/>
            <w:vAlign w:val="center"/>
          </w:tcPr>
          <w:p w14:paraId="09E6A0DD">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层站运行控制开关</w:t>
            </w:r>
          </w:p>
        </w:tc>
        <w:tc>
          <w:tcPr>
            <w:tcW w:w="6710" w:type="dxa"/>
            <w:vAlign w:val="center"/>
          </w:tcPr>
          <w:p w14:paraId="1D0A0353">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通过操作指定层站上安装”运行/停止”钥匙开关,开启或关闭电梯。</w:t>
            </w:r>
          </w:p>
        </w:tc>
      </w:tr>
      <w:tr w14:paraId="73B40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400054B9">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29</w:t>
            </w:r>
          </w:p>
        </w:tc>
        <w:tc>
          <w:tcPr>
            <w:tcW w:w="2213" w:type="dxa"/>
            <w:vAlign w:val="center"/>
          </w:tcPr>
          <w:p w14:paraId="2267B187">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电梯不启动报警</w:t>
            </w:r>
          </w:p>
        </w:tc>
        <w:tc>
          <w:tcPr>
            <w:tcW w:w="6710" w:type="dxa"/>
            <w:vAlign w:val="center"/>
          </w:tcPr>
          <w:p w14:paraId="173A1E5E">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当层站召唤，轿内指令已登记，但电梯在预定时间内不能启动，则清除已分配的层站召唤，保留轿内指令，异常灯点亮，异常警铃鸣响.</w:t>
            </w:r>
          </w:p>
        </w:tc>
      </w:tr>
      <w:tr w14:paraId="5A4A9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0551E0C5">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30</w:t>
            </w:r>
          </w:p>
        </w:tc>
        <w:tc>
          <w:tcPr>
            <w:tcW w:w="2213" w:type="dxa"/>
            <w:vAlign w:val="center"/>
          </w:tcPr>
          <w:p w14:paraId="26092EB1">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次层停靠</w:t>
            </w:r>
          </w:p>
        </w:tc>
        <w:tc>
          <w:tcPr>
            <w:tcW w:w="6710" w:type="dxa"/>
            <w:vAlign w:val="center"/>
          </w:tcPr>
          <w:p w14:paraId="280695E7">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电梯到达目的层后，若轿厢门不能完全开启，则关门后继续向下一层运行，直到门能完全开启后，恢复正常运行。</w:t>
            </w:r>
          </w:p>
        </w:tc>
      </w:tr>
      <w:tr w14:paraId="4E55F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ABA0FDE">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31</w:t>
            </w:r>
          </w:p>
        </w:tc>
        <w:tc>
          <w:tcPr>
            <w:tcW w:w="2213" w:type="dxa"/>
            <w:vAlign w:val="center"/>
          </w:tcPr>
          <w:p w14:paraId="57FB8770">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超载报警</w:t>
            </w:r>
          </w:p>
        </w:tc>
        <w:tc>
          <w:tcPr>
            <w:tcW w:w="6710" w:type="dxa"/>
            <w:vAlign w:val="center"/>
          </w:tcPr>
          <w:p w14:paraId="0F1C5825">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轿厢超载时鸣响蜂鸣器并停止于该层站。</w:t>
            </w:r>
          </w:p>
        </w:tc>
      </w:tr>
      <w:tr w14:paraId="537D1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230BA707">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32</w:t>
            </w:r>
          </w:p>
        </w:tc>
        <w:tc>
          <w:tcPr>
            <w:tcW w:w="2213" w:type="dxa"/>
            <w:vAlign w:val="center"/>
          </w:tcPr>
          <w:p w14:paraId="2335B6DD">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轿内应急照明</w:t>
            </w:r>
          </w:p>
        </w:tc>
        <w:tc>
          <w:tcPr>
            <w:tcW w:w="6710" w:type="dxa"/>
            <w:vAlign w:val="center"/>
          </w:tcPr>
          <w:p w14:paraId="2FF62F19">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当正常照明电源断电时，立即提供轿厢照明。</w:t>
            </w:r>
          </w:p>
        </w:tc>
      </w:tr>
      <w:tr w14:paraId="7E097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49AA08B3">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33</w:t>
            </w:r>
          </w:p>
        </w:tc>
        <w:tc>
          <w:tcPr>
            <w:tcW w:w="2213" w:type="dxa"/>
            <w:vAlign w:val="center"/>
          </w:tcPr>
          <w:p w14:paraId="281360ED">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警铃</w:t>
            </w:r>
          </w:p>
        </w:tc>
        <w:tc>
          <w:tcPr>
            <w:tcW w:w="6710" w:type="dxa"/>
            <w:vAlign w:val="center"/>
          </w:tcPr>
          <w:p w14:paraId="3BAE9591">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紧急时，连续按下轿内操纵箱紧急按钮，装于井道的铃会鸣响。</w:t>
            </w:r>
          </w:p>
        </w:tc>
      </w:tr>
      <w:tr w14:paraId="14CA1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632BF09D">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34</w:t>
            </w:r>
          </w:p>
        </w:tc>
        <w:tc>
          <w:tcPr>
            <w:tcW w:w="2213" w:type="dxa"/>
            <w:vAlign w:val="center"/>
          </w:tcPr>
          <w:p w14:paraId="3E71DBD8">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关门保护</w:t>
            </w:r>
          </w:p>
        </w:tc>
        <w:tc>
          <w:tcPr>
            <w:tcW w:w="6710" w:type="dxa"/>
            <w:vAlign w:val="center"/>
          </w:tcPr>
          <w:p w14:paraId="0CC77FFE">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当轿厢门不能安全关闭时，门反向开启。</w:t>
            </w:r>
          </w:p>
        </w:tc>
      </w:tr>
      <w:tr w14:paraId="23E0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00DEC9AE">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35</w:t>
            </w:r>
          </w:p>
        </w:tc>
        <w:tc>
          <w:tcPr>
            <w:tcW w:w="2213" w:type="dxa"/>
            <w:vAlign w:val="center"/>
          </w:tcPr>
          <w:p w14:paraId="3D2211A8">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换向重开门</w:t>
            </w:r>
          </w:p>
        </w:tc>
        <w:tc>
          <w:tcPr>
            <w:tcW w:w="6710" w:type="dxa"/>
            <w:vAlign w:val="center"/>
          </w:tcPr>
          <w:p w14:paraId="2CB419F0">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电梯门开状态，前行方向上没有轿内指令和层站召唤，且该层站的相反方向的层站召唤已被登记，电梯关门后立即重开。</w:t>
            </w:r>
          </w:p>
        </w:tc>
      </w:tr>
      <w:tr w14:paraId="2E37D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4CB6ED43">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36</w:t>
            </w:r>
          </w:p>
        </w:tc>
        <w:tc>
          <w:tcPr>
            <w:tcW w:w="2213" w:type="dxa"/>
            <w:vAlign w:val="center"/>
          </w:tcPr>
          <w:p w14:paraId="6DF9DC5D">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门负载检测</w:t>
            </w:r>
          </w:p>
        </w:tc>
        <w:tc>
          <w:tcPr>
            <w:tcW w:w="6710" w:type="dxa"/>
            <w:vAlign w:val="center"/>
          </w:tcPr>
          <w:p w14:paraId="65989F29">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如果电梯门不能正常地打开或关闭，门将会朝相反方向动作。</w:t>
            </w:r>
          </w:p>
        </w:tc>
      </w:tr>
      <w:tr w14:paraId="66A4D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0DD57361">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37</w:t>
            </w:r>
          </w:p>
        </w:tc>
        <w:tc>
          <w:tcPr>
            <w:tcW w:w="2213" w:type="dxa"/>
            <w:vAlign w:val="center"/>
          </w:tcPr>
          <w:p w14:paraId="2BE08DF9">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开门受阻控制</w:t>
            </w:r>
          </w:p>
        </w:tc>
        <w:tc>
          <w:tcPr>
            <w:tcW w:w="6710" w:type="dxa"/>
            <w:vAlign w:val="center"/>
          </w:tcPr>
          <w:p w14:paraId="413293A8">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如果电梯开门受阻，立即关门。</w:t>
            </w:r>
          </w:p>
        </w:tc>
      </w:tr>
      <w:tr w14:paraId="4786F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6F56C1EB">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38</w:t>
            </w:r>
          </w:p>
        </w:tc>
        <w:tc>
          <w:tcPr>
            <w:tcW w:w="2213" w:type="dxa"/>
            <w:vAlign w:val="center"/>
          </w:tcPr>
          <w:p w14:paraId="29FA8B4B">
            <w:pPr>
              <w:autoSpaceDE w:val="0"/>
              <w:autoSpaceDN w:val="0"/>
              <w:jc w:val="center"/>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开门保持时间自动调整</w:t>
            </w:r>
          </w:p>
        </w:tc>
        <w:tc>
          <w:tcPr>
            <w:tcW w:w="6710" w:type="dxa"/>
            <w:vAlign w:val="center"/>
          </w:tcPr>
          <w:p w14:paraId="6A91A1DC">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根据层站召唤或轿内指令自动调整开门保持时间。</w:t>
            </w:r>
          </w:p>
        </w:tc>
      </w:tr>
      <w:tr w14:paraId="7F6A6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0A7AEE7E">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39</w:t>
            </w:r>
          </w:p>
        </w:tc>
        <w:tc>
          <w:tcPr>
            <w:tcW w:w="2213" w:type="dxa"/>
            <w:vAlign w:val="center"/>
          </w:tcPr>
          <w:p w14:paraId="6759DBC2">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关门力矩控制</w:t>
            </w:r>
          </w:p>
        </w:tc>
        <w:tc>
          <w:tcPr>
            <w:tcW w:w="6710" w:type="dxa"/>
            <w:vAlign w:val="center"/>
          </w:tcPr>
          <w:p w14:paraId="64BEA6F7">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电梯关门遇到额外阻力时，门系统自动增大力矩。</w:t>
            </w:r>
          </w:p>
        </w:tc>
      </w:tr>
      <w:tr w14:paraId="514FF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F83DC0A">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40</w:t>
            </w:r>
          </w:p>
        </w:tc>
        <w:tc>
          <w:tcPr>
            <w:tcW w:w="2213" w:type="dxa"/>
            <w:vAlign w:val="center"/>
          </w:tcPr>
          <w:p w14:paraId="1ABCF39A">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即时关门</w:t>
            </w:r>
          </w:p>
        </w:tc>
        <w:tc>
          <w:tcPr>
            <w:tcW w:w="6710" w:type="dxa"/>
            <w:vAlign w:val="center"/>
          </w:tcPr>
          <w:p w14:paraId="3882201C">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电梯停站时，按下关门按钮，门立即被关闭。</w:t>
            </w:r>
          </w:p>
        </w:tc>
      </w:tr>
      <w:tr w14:paraId="58382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09E68BEB">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41</w:t>
            </w:r>
          </w:p>
        </w:tc>
        <w:tc>
          <w:tcPr>
            <w:tcW w:w="2213" w:type="dxa"/>
            <w:vAlign w:val="center"/>
          </w:tcPr>
          <w:p w14:paraId="41EB2FCF">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强制关门</w:t>
            </w:r>
          </w:p>
        </w:tc>
        <w:tc>
          <w:tcPr>
            <w:tcW w:w="6710" w:type="dxa"/>
            <w:vAlign w:val="center"/>
          </w:tcPr>
          <w:p w14:paraId="7CF8C49E">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漆过电梯开门保持时间超过预定值，电梯暂时忽略非接触式门传感器的作用，强制关门。</w:t>
            </w:r>
          </w:p>
        </w:tc>
      </w:tr>
      <w:tr w14:paraId="40B26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2D591152">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42</w:t>
            </w:r>
          </w:p>
        </w:tc>
        <w:tc>
          <w:tcPr>
            <w:tcW w:w="2213" w:type="dxa"/>
            <w:vAlign w:val="center"/>
          </w:tcPr>
          <w:p w14:paraId="6E81AFC7">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重复关门</w:t>
            </w:r>
          </w:p>
        </w:tc>
        <w:tc>
          <w:tcPr>
            <w:tcW w:w="6710" w:type="dxa"/>
            <w:vAlign w:val="center"/>
          </w:tcPr>
          <w:p w14:paraId="4DF9D571">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有时因阻碍或干扰，电梯门未能关闭，电梯门就会重复打开或关闭，直到杂物被清除。</w:t>
            </w:r>
          </w:p>
        </w:tc>
      </w:tr>
      <w:tr w14:paraId="73FEE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19B992DB">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43</w:t>
            </w:r>
          </w:p>
        </w:tc>
        <w:tc>
          <w:tcPr>
            <w:tcW w:w="2213" w:type="dxa"/>
            <w:vAlign w:val="center"/>
          </w:tcPr>
          <w:p w14:paraId="7F63C57F">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本层再开门</w:t>
            </w:r>
          </w:p>
        </w:tc>
        <w:tc>
          <w:tcPr>
            <w:tcW w:w="6710" w:type="dxa"/>
            <w:vAlign w:val="center"/>
          </w:tcPr>
          <w:p w14:paraId="73B4663A">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关门途中，按同方向层站召唤按钮电梯重新开门。</w:t>
            </w:r>
          </w:p>
        </w:tc>
      </w:tr>
      <w:tr w14:paraId="7E551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30425C84">
            <w:pPr>
              <w:autoSpaceDE w:val="0"/>
              <w:autoSpaceDN w:val="0"/>
              <w:jc w:val="center"/>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en-US"/>
              </w:rPr>
              <w:t>44</w:t>
            </w:r>
          </w:p>
        </w:tc>
        <w:tc>
          <w:tcPr>
            <w:tcW w:w="2213" w:type="dxa"/>
            <w:vAlign w:val="center"/>
          </w:tcPr>
          <w:p w14:paraId="77C97CA3">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轿内运行方向指示</w:t>
            </w:r>
          </w:p>
        </w:tc>
        <w:tc>
          <w:tcPr>
            <w:tcW w:w="6710" w:type="dxa"/>
            <w:vAlign w:val="center"/>
          </w:tcPr>
          <w:p w14:paraId="58FD78CF">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在轿厢内用箭头表示电梯的运行方向。</w:t>
            </w:r>
          </w:p>
        </w:tc>
      </w:tr>
      <w:tr w14:paraId="4A9A0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68B3A43A">
            <w:pPr>
              <w:autoSpaceDE w:val="0"/>
              <w:autoSpaceDN w:val="0"/>
              <w:jc w:val="center"/>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en-US"/>
              </w:rPr>
              <w:t>45</w:t>
            </w:r>
          </w:p>
        </w:tc>
        <w:tc>
          <w:tcPr>
            <w:tcW w:w="2213" w:type="dxa"/>
            <w:vAlign w:val="center"/>
          </w:tcPr>
          <w:p w14:paraId="732E5B47">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电梯计时计次仪</w:t>
            </w:r>
          </w:p>
        </w:tc>
        <w:tc>
          <w:tcPr>
            <w:tcW w:w="6710" w:type="dxa"/>
            <w:vAlign w:val="center"/>
          </w:tcPr>
          <w:p w14:paraId="10383D16">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记录电梯运行次数及运行时间</w:t>
            </w:r>
          </w:p>
        </w:tc>
      </w:tr>
      <w:tr w14:paraId="2C0D3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0B8E315">
            <w:pPr>
              <w:autoSpaceDE w:val="0"/>
              <w:autoSpaceDN w:val="0"/>
              <w:jc w:val="center"/>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en-US"/>
              </w:rPr>
              <w:t>46</w:t>
            </w:r>
          </w:p>
        </w:tc>
        <w:tc>
          <w:tcPr>
            <w:tcW w:w="2213" w:type="dxa"/>
            <w:vAlign w:val="center"/>
          </w:tcPr>
          <w:p w14:paraId="72317DBE">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层站运行方向指示</w:t>
            </w:r>
          </w:p>
        </w:tc>
        <w:tc>
          <w:tcPr>
            <w:tcW w:w="6710" w:type="dxa"/>
            <w:vAlign w:val="center"/>
          </w:tcPr>
          <w:p w14:paraId="3EC657E0">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在层站用箭头表示电梯的运行方向。</w:t>
            </w:r>
          </w:p>
        </w:tc>
      </w:tr>
      <w:tr w14:paraId="35D31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086644D7">
            <w:pPr>
              <w:widowControl w:val="0"/>
              <w:autoSpaceDE w:val="0"/>
              <w:autoSpaceDN w:val="0"/>
              <w:adjustRightInd w:val="0"/>
              <w:jc w:val="center"/>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47</w:t>
            </w:r>
          </w:p>
        </w:tc>
        <w:tc>
          <w:tcPr>
            <w:tcW w:w="2213" w:type="dxa"/>
            <w:vAlign w:val="center"/>
          </w:tcPr>
          <w:p w14:paraId="5BD651F7">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关门按钮响应指示</w:t>
            </w:r>
          </w:p>
        </w:tc>
        <w:tc>
          <w:tcPr>
            <w:tcW w:w="6710" w:type="dxa"/>
            <w:vAlign w:val="center"/>
          </w:tcPr>
          <w:p w14:paraId="70470707">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按下关门按钮时关门按钮灯同时点亮。</w:t>
            </w:r>
          </w:p>
        </w:tc>
      </w:tr>
      <w:tr w14:paraId="74042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2DD6E8E8">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48</w:t>
            </w:r>
          </w:p>
        </w:tc>
        <w:tc>
          <w:tcPr>
            <w:tcW w:w="2213" w:type="dxa"/>
            <w:vAlign w:val="center"/>
          </w:tcPr>
          <w:p w14:paraId="455FCA23">
            <w:pPr>
              <w:autoSpaceDE w:val="0"/>
              <w:autoSpaceDN w:val="0"/>
              <w:jc w:val="center"/>
              <w:rPr>
                <w:rFonts w:hint="eastAsia" w:ascii="宋体" w:hAnsi="宋体" w:eastAsia="宋体" w:cs="宋体"/>
                <w:bCs/>
                <w:kern w:val="0"/>
                <w:sz w:val="24"/>
                <w:szCs w:val="24"/>
                <w:highlight w:val="none"/>
                <w:lang w:eastAsia="en-US"/>
              </w:rPr>
            </w:pPr>
            <w:r>
              <w:rPr>
                <w:rFonts w:hint="eastAsia" w:ascii="宋体" w:hAnsi="宋体" w:eastAsia="宋体" w:cs="宋体"/>
                <w:bCs/>
                <w:kern w:val="0"/>
                <w:sz w:val="24"/>
                <w:szCs w:val="24"/>
                <w:highlight w:val="none"/>
                <w:lang w:eastAsia="en-US"/>
              </w:rPr>
              <w:t>开门按钮响应指示</w:t>
            </w:r>
          </w:p>
        </w:tc>
        <w:tc>
          <w:tcPr>
            <w:tcW w:w="6710" w:type="dxa"/>
            <w:vAlign w:val="center"/>
          </w:tcPr>
          <w:p w14:paraId="469BEE13">
            <w:pPr>
              <w:autoSpaceDE w:val="0"/>
              <w:autoSpaceDN w:val="0"/>
              <w:jc w:val="left"/>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lang w:eastAsia="zh-CN"/>
              </w:rPr>
              <w:t>按下开门按钮同时开门按钮灯同时点亮。</w:t>
            </w:r>
          </w:p>
        </w:tc>
      </w:tr>
      <w:tr w14:paraId="76761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2E0C0F90">
            <w:pPr>
              <w:autoSpaceDE w:val="0"/>
              <w:autoSpaceDN w:val="0"/>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49</w:t>
            </w:r>
          </w:p>
        </w:tc>
        <w:tc>
          <w:tcPr>
            <w:tcW w:w="2213" w:type="dxa"/>
            <w:vAlign w:val="center"/>
          </w:tcPr>
          <w:p w14:paraId="20FA0B40">
            <w:pPr>
              <w:autoSpaceDE w:val="0"/>
              <w:autoSpaceDN w:val="0"/>
              <w:jc w:val="center"/>
              <w:rPr>
                <w:rFonts w:hint="eastAsia" w:ascii="宋体" w:hAnsi="宋体" w:eastAsia="宋体" w:cs="宋体"/>
                <w:kern w:val="0"/>
                <w:sz w:val="24"/>
                <w:szCs w:val="24"/>
                <w:highlight w:val="none"/>
                <w:lang w:eastAsia="en-US"/>
              </w:rPr>
            </w:pPr>
            <w:r>
              <w:rPr>
                <w:rFonts w:hint="eastAsia" w:ascii="宋体" w:hAnsi="宋体" w:eastAsia="宋体" w:cs="宋体"/>
                <w:kern w:val="0"/>
                <w:sz w:val="24"/>
                <w:szCs w:val="24"/>
                <w:highlight w:val="none"/>
                <w:lang w:eastAsia="en-US"/>
              </w:rPr>
              <w:t>光幕安全触板</w:t>
            </w:r>
          </w:p>
        </w:tc>
        <w:tc>
          <w:tcPr>
            <w:tcW w:w="6710" w:type="dxa"/>
            <w:vAlign w:val="center"/>
          </w:tcPr>
          <w:p w14:paraId="47DE8782">
            <w:pPr>
              <w:widowControl w:val="0"/>
              <w:autoSpaceDE w:val="0"/>
              <w:autoSpaceDN w:val="0"/>
              <w:adjustRightInd w:val="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带光幕的安全触板。利用光幕与安全触板双重保护，在关门期间，检测到乘客或物体时，重新开门。</w:t>
            </w:r>
          </w:p>
        </w:tc>
      </w:tr>
      <w:tr w14:paraId="068B0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74C58214">
            <w:pPr>
              <w:autoSpaceDE w:val="0"/>
              <w:autoSpaceDN w:val="0"/>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en-US"/>
              </w:rPr>
              <w:t>5</w:t>
            </w:r>
            <w:r>
              <w:rPr>
                <w:rFonts w:hint="eastAsia" w:ascii="宋体" w:hAnsi="宋体" w:eastAsia="宋体" w:cs="宋体"/>
                <w:kern w:val="0"/>
                <w:sz w:val="24"/>
                <w:szCs w:val="24"/>
                <w:highlight w:val="none"/>
                <w:lang w:eastAsia="zh-CN"/>
              </w:rPr>
              <w:t>0</w:t>
            </w:r>
          </w:p>
        </w:tc>
        <w:tc>
          <w:tcPr>
            <w:tcW w:w="2213" w:type="dxa"/>
            <w:vAlign w:val="center"/>
          </w:tcPr>
          <w:p w14:paraId="60F8D889">
            <w:pPr>
              <w:autoSpaceDE w:val="0"/>
              <w:autoSpaceDN w:val="0"/>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ITV电缆（ITV）</w:t>
            </w:r>
          </w:p>
        </w:tc>
        <w:tc>
          <w:tcPr>
            <w:tcW w:w="6710" w:type="dxa"/>
            <w:vAlign w:val="center"/>
          </w:tcPr>
          <w:p w14:paraId="330576DE">
            <w:pPr>
              <w:widowControl w:val="0"/>
              <w:autoSpaceDE w:val="0"/>
              <w:autoSpaceDN w:val="0"/>
              <w:adjustRightInd w:val="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供用户的轿内视频装置使用的电缆。（控制柜至中控室线缆客户自理）</w:t>
            </w:r>
          </w:p>
        </w:tc>
      </w:tr>
      <w:tr w14:paraId="45DCD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1" w:type="dxa"/>
            <w:vAlign w:val="center"/>
          </w:tcPr>
          <w:p w14:paraId="0344E239">
            <w:pPr>
              <w:widowControl w:val="0"/>
              <w:autoSpaceDE w:val="0"/>
              <w:autoSpaceDN w:val="0"/>
              <w:adjustRightInd w:val="0"/>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en-US" w:bidi="ar-SA"/>
              </w:rPr>
              <w:t>5</w:t>
            </w:r>
            <w:r>
              <w:rPr>
                <w:rFonts w:hint="eastAsia" w:ascii="宋体" w:hAnsi="宋体" w:eastAsia="宋体" w:cs="宋体"/>
                <w:sz w:val="24"/>
                <w:szCs w:val="24"/>
                <w:highlight w:val="none"/>
                <w:lang w:val="en-US" w:eastAsia="zh-CN" w:bidi="ar-SA"/>
              </w:rPr>
              <w:t>1</w:t>
            </w:r>
          </w:p>
        </w:tc>
        <w:tc>
          <w:tcPr>
            <w:tcW w:w="2213" w:type="dxa"/>
            <w:vAlign w:val="center"/>
          </w:tcPr>
          <w:p w14:paraId="73A305B5">
            <w:pPr>
              <w:widowControl w:val="0"/>
              <w:autoSpaceDE w:val="0"/>
              <w:autoSpaceDN w:val="0"/>
              <w:adjustRightInd w:val="0"/>
              <w:jc w:val="center"/>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五方通话功能</w:t>
            </w:r>
          </w:p>
        </w:tc>
        <w:tc>
          <w:tcPr>
            <w:tcW w:w="6710" w:type="dxa"/>
            <w:vAlign w:val="center"/>
          </w:tcPr>
          <w:p w14:paraId="122740A4">
            <w:pPr>
              <w:widowControl w:val="0"/>
              <w:autoSpaceDE w:val="0"/>
              <w:autoSpaceDN w:val="0"/>
              <w:adjustRightInd w:val="0"/>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提供五方通话功能（控制柜至中控室线缆客户自理）</w:t>
            </w:r>
          </w:p>
        </w:tc>
      </w:tr>
    </w:tbl>
    <w:p w14:paraId="6307511B">
      <w:pPr>
        <w:widowControl/>
        <w:autoSpaceDE w:val="0"/>
        <w:autoSpaceDN w:val="0"/>
        <w:adjustRightInd w:val="0"/>
        <w:snapToGrid w:val="0"/>
        <w:spacing w:line="360" w:lineRule="auto"/>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（五）人员要求</w:t>
      </w:r>
    </w:p>
    <w:p w14:paraId="662CD80E">
      <w:pPr>
        <w:widowControl/>
        <w:autoSpaceDE w:val="0"/>
        <w:autoSpaceDN w:val="0"/>
        <w:adjustRightInd w:val="0"/>
        <w:snapToGrid w:val="0"/>
        <w:spacing w:line="360" w:lineRule="auto"/>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1.配备项目总负责人1名：具备5年以上老旧电梯更新项目管理经验，</w:t>
      </w:r>
      <w:r>
        <w:rPr>
          <w:rFonts w:hint="eastAsia" w:ascii="宋体" w:hAnsi="宋体" w:eastAsia="宋体" w:cs="宋体"/>
          <w:color w:val="000000"/>
          <w:kern w:val="0"/>
          <w:sz w:val="24"/>
          <w:szCs w:val="24"/>
          <w:highlight w:val="none"/>
          <w:lang w:eastAsia="zh-CN"/>
        </w:rPr>
        <w:t>须提供与投标人签署的有效期内的劳动合同复印件（或提供投标人近六个月任意一个月为其缴纳社保的证明复印件）并加盖公章，同时提供人员资质证书及业绩经验证明</w:t>
      </w:r>
      <w:r>
        <w:rPr>
          <w:rFonts w:hint="eastAsia" w:ascii="宋体" w:hAnsi="宋体" w:eastAsia="宋体" w:cs="宋体"/>
          <w:kern w:val="0"/>
          <w:sz w:val="24"/>
          <w:szCs w:val="24"/>
          <w:highlight w:val="none"/>
          <w:lang w:eastAsia="zh-CN"/>
        </w:rPr>
        <w:t>；</w:t>
      </w:r>
    </w:p>
    <w:p w14:paraId="740B80C7">
      <w:pPr>
        <w:widowControl/>
        <w:autoSpaceDE w:val="0"/>
        <w:autoSpaceDN w:val="0"/>
        <w:adjustRightInd w:val="0"/>
        <w:snapToGrid w:val="0"/>
        <w:spacing w:line="360" w:lineRule="auto"/>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2.现场施工班组人员</w:t>
      </w:r>
      <w:r>
        <w:rPr>
          <w:rFonts w:hint="eastAsia" w:ascii="宋体" w:hAnsi="宋体" w:eastAsia="宋体" w:cs="宋体"/>
          <w:color w:val="000000"/>
          <w:kern w:val="0"/>
          <w:sz w:val="24"/>
          <w:szCs w:val="24"/>
          <w:highlight w:val="none"/>
          <w:lang w:eastAsia="zh-CN"/>
        </w:rPr>
        <w:t>必须持有政府部门颁发的特种设备作业人员证书，项目安全员须提供国家相关部门颁发的安全员证书，以上人员须为投标人正式员工，须提供上述人员与投标人签署的有效期内的劳动合同复印件（或提供投标人近六个月任意一个月为该项目团队人员缴纳社保的证明复印件）并加盖公章，同时提供人员资质证书及业绩经验证明</w:t>
      </w:r>
      <w:r>
        <w:rPr>
          <w:rFonts w:hint="eastAsia" w:ascii="宋体" w:hAnsi="宋体" w:eastAsia="宋体" w:cs="宋体"/>
          <w:kern w:val="0"/>
          <w:sz w:val="24"/>
          <w:szCs w:val="24"/>
          <w:highlight w:val="none"/>
          <w:lang w:eastAsia="zh-CN"/>
        </w:rPr>
        <w:t>；</w:t>
      </w:r>
    </w:p>
    <w:p w14:paraId="1A713620">
      <w:pPr>
        <w:widowControl/>
        <w:autoSpaceDE w:val="0"/>
        <w:autoSpaceDN w:val="0"/>
        <w:adjustRightInd w:val="0"/>
        <w:snapToGrid w:val="0"/>
        <w:spacing w:line="360" w:lineRule="auto"/>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（六）其他要求</w:t>
      </w:r>
    </w:p>
    <w:p w14:paraId="52C00514">
      <w:pPr>
        <w:widowControl/>
        <w:autoSpaceDE w:val="0"/>
        <w:autoSpaceDN w:val="0"/>
        <w:adjustRightInd w:val="0"/>
        <w:snapToGrid w:val="0"/>
        <w:spacing w:line="360" w:lineRule="auto"/>
        <w:jc w:val="left"/>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eastAsia="zh-CN"/>
        </w:rPr>
        <w:t>1）项目实施方案 投标人应根据本项目关于项目实施的要求，针对本项目实际情况结合过往经验分析并指出项目实施过程中关于进度控制，交货、付款、安装、调试、履约验收方案等内容，存在潜在的困难点、风险点，并能够给出妥善的实施方案。</w:t>
      </w:r>
    </w:p>
    <w:p w14:paraId="52753DBE">
      <w:pPr>
        <w:widowControl/>
        <w:autoSpaceDE w:val="0"/>
        <w:autoSpaceDN w:val="0"/>
        <w:adjustRightInd w:val="0"/>
        <w:snapToGrid w:val="0"/>
        <w:spacing w:line="360" w:lineRule="auto"/>
        <w:jc w:val="left"/>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eastAsia="zh-CN"/>
        </w:rPr>
        <w:t xml:space="preserve">2）售后服务方案 投标人应根据本项目关于售后服务的要求，制定合理完善的售后服务解决方案，按照国家有关要求及本项目实际情况，最大限度的保证本项目所购设备质保期内外均可以连续、稳定运行，针对本项目提供关于质保服务内容及承诺、故障响应时间等内容的售后服务方案。 </w:t>
      </w:r>
    </w:p>
    <w:p w14:paraId="4DDD0655">
      <w:pPr>
        <w:widowControl/>
        <w:autoSpaceDE w:val="0"/>
        <w:autoSpaceDN w:val="0"/>
        <w:adjustRightInd w:val="0"/>
        <w:snapToGrid w:val="0"/>
        <w:spacing w:line="360" w:lineRule="auto"/>
        <w:jc w:val="left"/>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eastAsia="zh-CN"/>
        </w:rPr>
        <w:t xml:space="preserve">3）培训方案投标人应根据本项目关于培训方案的要求，制定科学、合理的培训组织方案，对采购人及相关下属单位系统使用人员进行及时有效的培训，确保其能正确使用相关系统及功能，应针对本项目提供关于培训内容、时间计划安排等的培训方案。 </w:t>
      </w:r>
    </w:p>
    <w:p w14:paraId="39A99A7F">
      <w:pPr>
        <w:widowControl/>
        <w:autoSpaceDE w:val="0"/>
        <w:autoSpaceDN w:val="0"/>
        <w:adjustRightInd w:val="0"/>
        <w:snapToGrid w:val="0"/>
        <w:spacing w:line="360" w:lineRule="auto"/>
        <w:jc w:val="left"/>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eastAsia="zh-CN"/>
        </w:rPr>
        <w:t>4）兼容性与后续成本投标人应根据本项目关于项目兼容性与后续成本的要求，提供本项目涉及的全生命 周期成本报价方案，如必要耗材或备品备件费用、兼容性成本、废弃处置费等。</w:t>
      </w:r>
    </w:p>
    <w:p w14:paraId="4ADB14A8">
      <w:pPr>
        <w:widowControl/>
        <w:autoSpaceDE w:val="0"/>
        <w:autoSpaceDN w:val="0"/>
        <w:adjustRightInd w:val="0"/>
        <w:snapToGrid w:val="0"/>
        <w:spacing w:line="360" w:lineRule="auto"/>
        <w:jc w:val="left"/>
        <w:rPr>
          <w:rFonts w:hint="eastAsia" w:ascii="宋体" w:hAnsi="宋体" w:eastAsia="宋体" w:cs="宋体"/>
          <w:b/>
          <w:bCs/>
          <w:kern w:val="0"/>
          <w:sz w:val="24"/>
          <w:szCs w:val="24"/>
          <w:highlight w:val="none"/>
          <w:lang w:eastAsia="zh-CN"/>
        </w:rPr>
      </w:pPr>
      <w:r>
        <w:rPr>
          <w:rFonts w:ascii="Times New Roman PS MT" w:hAnsi="Times New Roman PS MT" w:eastAsia="Times New Roman PS MT" w:cs="Times New Roman PS MT"/>
          <w:color w:val="000000"/>
          <w:kern w:val="0"/>
          <w:sz w:val="18"/>
          <w:szCs w:val="18"/>
          <w:highlight w:val="none"/>
          <w:lang w:eastAsia="zh-CN"/>
        </w:rPr>
        <w:t xml:space="preserve"> </w:t>
      </w:r>
      <w:r>
        <w:rPr>
          <w:rFonts w:hint="eastAsia" w:ascii="宋体" w:hAnsi="宋体" w:eastAsia="宋体" w:cs="宋体"/>
          <w:color w:val="000000"/>
          <w:kern w:val="0"/>
          <w:sz w:val="24"/>
          <w:szCs w:val="24"/>
          <w:highlight w:val="none"/>
          <w:lang w:eastAsia="zh-CN"/>
        </w:rPr>
        <w:t>5）项目团队方案 投标人应提供本项目涉及的项目团队成员配置清单，团队成员配置应满足项目团队要求。</w:t>
      </w:r>
    </w:p>
    <w:p w14:paraId="5B0FC89E">
      <w:pPr>
        <w:widowControl/>
        <w:autoSpaceDE w:val="0"/>
        <w:autoSpaceDN w:val="0"/>
        <w:adjustRightInd w:val="0"/>
        <w:snapToGrid w:val="0"/>
        <w:spacing w:before="120" w:beforeLines="50" w:line="360" w:lineRule="auto"/>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2.2 采购标的需满足的服务标准、期限、效率等要求；</w:t>
      </w:r>
    </w:p>
    <w:p w14:paraId="0AE5E39C">
      <w:pPr>
        <w:tabs>
          <w:tab w:val="left" w:pos="900"/>
        </w:tabs>
        <w:autoSpaceDE/>
        <w:autoSpaceDN/>
        <w:spacing w:line="360" w:lineRule="auto"/>
        <w:ind w:firstLine="240" w:firstLineChars="1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（1）采购标的需满足的服务标准、效率要求</w:t>
      </w:r>
    </w:p>
    <w:p w14:paraId="3DBCB665">
      <w:pPr>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详见“采购标的需满足的性能、材料、结构、外观、质量、安全、技术规格、物理特性等要求。”</w:t>
      </w:r>
    </w:p>
    <w:p w14:paraId="541CEA1D">
      <w:pPr>
        <w:autoSpaceDE w:val="0"/>
        <w:autoSpaceDN w:val="0"/>
        <w:spacing w:line="360" w:lineRule="auto"/>
        <w:ind w:firstLine="240" w:firstLineChars="1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（2）采购标的需满足的服务期限要求</w:t>
      </w:r>
    </w:p>
    <w:p w14:paraId="364F9140">
      <w:pPr>
        <w:autoSpaceDE w:val="0"/>
        <w:autoSpaceDN w:val="0"/>
        <w:spacing w:line="360" w:lineRule="auto"/>
        <w:ind w:firstLine="480" w:firstLineChars="200"/>
        <w:contextualSpacing/>
        <w:jc w:val="left"/>
        <w:rPr>
          <w:rFonts w:hint="eastAsia" w:ascii="宋体" w:hAnsi="宋体" w:eastAsia="宋体" w:cs="宋体"/>
          <w:kern w:val="0"/>
          <w:sz w:val="22"/>
          <w:szCs w:val="24"/>
          <w:highlight w:val="none"/>
          <w:lang w:eastAsia="zh-CN"/>
        </w:rPr>
      </w:pPr>
      <w:r>
        <w:rPr>
          <w:rFonts w:hint="eastAsia" w:ascii="宋体" w:hAnsi="宋体" w:eastAsia="宋体" w:cs="宋体"/>
          <w:kern w:val="0"/>
          <w:sz w:val="24"/>
          <w:szCs w:val="24"/>
          <w:highlight w:val="none"/>
          <w:lang w:eastAsia="zh-CN"/>
        </w:rPr>
        <w:t>质量保证期（保修期）及服务要求：详见本章“采购需求中商务要求4.质保服务”。</w:t>
      </w:r>
    </w:p>
    <w:p w14:paraId="17484A85">
      <w:pPr>
        <w:tabs>
          <w:tab w:val="left" w:pos="900"/>
        </w:tabs>
        <w:autoSpaceDE w:val="0"/>
        <w:autoSpaceDN w:val="0"/>
        <w:spacing w:line="360" w:lineRule="auto"/>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2.3为落实政府采购政策需满足的要求；</w:t>
      </w:r>
    </w:p>
    <w:p w14:paraId="1C89CDDD">
      <w:pPr>
        <w:tabs>
          <w:tab w:val="left" w:pos="900"/>
        </w:tabs>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59C14B6E">
      <w:pPr>
        <w:tabs>
          <w:tab w:val="left" w:pos="900"/>
        </w:tabs>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（2）监狱企业扶持政策：供应商所投产品为监狱企业制造的，将视同为小型或微型企业，将对该投标产品的投标价给予10%的扣除。</w:t>
      </w:r>
      <w:r>
        <w:rPr>
          <w:rFonts w:hint="eastAsia" w:ascii="宋体" w:hAnsi="宋体" w:eastAsia="宋体" w:cs="宋体"/>
          <w:iCs/>
          <w:kern w:val="0"/>
          <w:sz w:val="24"/>
          <w:szCs w:val="24"/>
          <w:highlight w:val="none"/>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ascii="宋体" w:hAnsi="宋体" w:eastAsia="宋体" w:cs="宋体"/>
          <w:kern w:val="0"/>
          <w:sz w:val="24"/>
          <w:szCs w:val="24"/>
          <w:highlight w:val="none"/>
          <w:lang w:eastAsia="zh-CN"/>
        </w:rPr>
        <w:t>。（专门面向中小企业采购或预留份额的情况不适用）</w:t>
      </w:r>
    </w:p>
    <w:p w14:paraId="3CF64A9C">
      <w:pPr>
        <w:tabs>
          <w:tab w:val="left" w:pos="900"/>
        </w:tabs>
        <w:autoSpaceDE w:val="0"/>
        <w:autoSpaceDN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33B88902">
      <w:pPr>
        <w:autoSpaceDE/>
        <w:autoSpaceDN/>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（4）鼓励节能、环保政策：依据《财政部发展改革委生态环境部市场监管总局关于调整优化节能产品、环境标志产品政府采购执行机制的通知（财库（2019）9号）》执行。</w:t>
      </w:r>
    </w:p>
    <w:p w14:paraId="70673255">
      <w:pPr>
        <w:autoSpaceDE/>
        <w:autoSpaceDN/>
        <w:spacing w:before="20" w:line="360" w:lineRule="auto"/>
        <w:ind w:firstLine="480" w:firstLineChars="200"/>
        <w:jc w:val="left"/>
        <w:rPr>
          <w:rFonts w:hint="eastAsia" w:ascii="宋体" w:hAnsi="宋体" w:eastAsia="宋体" w:cs="宋体"/>
          <w:b/>
          <w:bCs/>
          <w:kern w:val="0"/>
          <w:sz w:val="24"/>
          <w:szCs w:val="24"/>
          <w:highlight w:val="none"/>
          <w:lang w:eastAsia="zh-CN"/>
        </w:rPr>
      </w:pPr>
      <w:r>
        <w:rPr>
          <w:rFonts w:hint="eastAsia" w:ascii="宋体" w:hAnsi="宋体" w:eastAsia="宋体" w:cs="宋体"/>
          <w:kern w:val="0"/>
          <w:sz w:val="24"/>
          <w:szCs w:val="24"/>
          <w:highlight w:val="none"/>
          <w:lang w:eastAsia="zh-CN"/>
        </w:rPr>
        <w:t>（5）实施本国产品标准及相关政策：依据《</w:t>
      </w:r>
      <w:r>
        <w:rPr>
          <w:rFonts w:hint="eastAsia" w:ascii="宋体" w:hAnsi="宋体" w:eastAsia="宋体" w:cs="宋体"/>
          <w:color w:val="000000"/>
          <w:kern w:val="0"/>
          <w:sz w:val="24"/>
          <w:szCs w:val="24"/>
          <w:highlight w:val="none"/>
          <w:shd w:val="clear" w:color="auto" w:fill="FFFFFF"/>
          <w:lang w:eastAsia="zh-CN"/>
        </w:rPr>
        <w:t>国务院办公厅关于在政府采购中实施本国产品标准及相关政策的通知</w:t>
      </w:r>
      <w:r>
        <w:rPr>
          <w:rFonts w:hint="eastAsia" w:ascii="宋体" w:hAnsi="宋体" w:eastAsia="宋体" w:cs="宋体"/>
          <w:kern w:val="0"/>
          <w:sz w:val="24"/>
          <w:szCs w:val="24"/>
          <w:highlight w:val="none"/>
          <w:lang w:eastAsia="zh-CN"/>
        </w:rPr>
        <w:t>》（国办发〔2025〕34号）规定，本项目供应商所投产品</w:t>
      </w:r>
      <w:r>
        <w:rPr>
          <w:rFonts w:hint="eastAsia" w:ascii="宋体" w:hAnsi="宋体" w:eastAsia="宋体" w:cs="宋体"/>
          <w:color w:val="000000"/>
          <w:kern w:val="0"/>
          <w:sz w:val="24"/>
          <w:szCs w:val="24"/>
          <w:highlight w:val="none"/>
          <w:shd w:val="clear" w:color="auto" w:fill="FFFFFF"/>
          <w:lang w:eastAsia="zh-CN"/>
        </w:rPr>
        <w:t>在中国境内生产，即在中华人民共和国关境内实现从原材料、组件到产品的属性改变。且在中国境内生产的组件成本占比应当达到规定比例</w:t>
      </w:r>
      <w:r>
        <w:rPr>
          <w:rFonts w:hint="eastAsia" w:ascii="宋体" w:hAnsi="宋体" w:eastAsia="宋体" w:cs="宋体"/>
          <w:kern w:val="0"/>
          <w:sz w:val="24"/>
          <w:szCs w:val="24"/>
          <w:highlight w:val="none"/>
          <w:lang w:eastAsia="zh-CN"/>
        </w:rPr>
        <w:t>，</w:t>
      </w:r>
      <w:r>
        <w:rPr>
          <w:rFonts w:hint="eastAsia" w:ascii="宋体" w:hAnsi="宋体" w:eastAsia="宋体" w:cs="宋体"/>
          <w:color w:val="000000"/>
          <w:kern w:val="0"/>
          <w:sz w:val="24"/>
          <w:szCs w:val="24"/>
          <w:highlight w:val="none"/>
          <w:shd w:val="clear" w:color="auto" w:fill="FFFFFF"/>
          <w:lang w:eastAsia="zh-CN"/>
        </w:rPr>
        <w:t>依法对本国产品给予价格评审优惠，对本国产品的报价给予20%的价格扣除，用扣除后的价格参与评审。</w:t>
      </w:r>
      <w:r>
        <w:rPr>
          <w:rFonts w:hint="eastAsia" w:ascii="宋体" w:hAnsi="宋体" w:eastAsia="宋体" w:cs="宋体"/>
          <w:b/>
          <w:bCs/>
          <w:kern w:val="0"/>
          <w:sz w:val="24"/>
          <w:szCs w:val="24"/>
          <w:highlight w:val="none"/>
          <w:lang w:eastAsia="zh-CN"/>
        </w:rPr>
        <w:t>供应商应出具招标文件要求的证明材料给予证明，否则评标时不予认可</w:t>
      </w:r>
      <w:r>
        <w:rPr>
          <w:rFonts w:hint="eastAsia" w:ascii="宋体" w:hAnsi="宋体" w:eastAsia="宋体" w:cs="宋体"/>
          <w:kern w:val="0"/>
          <w:sz w:val="24"/>
          <w:szCs w:val="24"/>
          <w:highlight w:val="none"/>
          <w:lang w:eastAsia="zh-CN"/>
        </w:rPr>
        <w:t>。</w:t>
      </w:r>
      <w:r>
        <w:rPr>
          <w:rFonts w:hint="eastAsia" w:ascii="宋体" w:hAnsi="宋体" w:eastAsia="宋体" w:cs="宋体"/>
          <w:b/>
          <w:bCs/>
          <w:kern w:val="0"/>
          <w:sz w:val="24"/>
          <w:szCs w:val="24"/>
          <w:highlight w:val="none"/>
          <w:lang w:eastAsia="zh-CN"/>
        </w:rPr>
        <w:t>供应商应对提交的证明材料真实性负责，</w:t>
      </w:r>
      <w:r>
        <w:rPr>
          <w:rFonts w:hint="eastAsia" w:ascii="宋体" w:hAnsi="宋体" w:eastAsia="宋体" w:cs="宋体"/>
          <w:kern w:val="0"/>
          <w:sz w:val="24"/>
          <w:szCs w:val="24"/>
          <w:highlight w:val="none"/>
          <w:lang w:eastAsia="zh-CN"/>
        </w:rPr>
        <w:t>提交证明材料不真实的，应承担相应的法律责任。</w:t>
      </w:r>
    </w:p>
    <w:p w14:paraId="3C1F696E">
      <w:pPr>
        <w:autoSpaceDE/>
        <w:autoSpaceDN/>
        <w:spacing w:before="20" w:line="360" w:lineRule="auto"/>
        <w:ind w:firstLine="482" w:firstLineChars="200"/>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2.4采购标的的其他技术、服务等要求；</w:t>
      </w:r>
    </w:p>
    <w:p w14:paraId="59E5E235">
      <w:pPr>
        <w:tabs>
          <w:tab w:val="left" w:pos="900"/>
        </w:tabs>
        <w:autoSpaceDE w:val="0"/>
        <w:autoSpaceDN w:val="0"/>
        <w:spacing w:line="486" w:lineRule="exact"/>
        <w:ind w:firstLine="482" w:firstLineChars="200"/>
        <w:jc w:val="left"/>
        <w:rPr>
          <w:rFonts w:hint="eastAsia" w:ascii="宋体" w:hAnsi="宋体" w:eastAsia="宋体" w:cs="宋体"/>
          <w:b/>
          <w:bCs/>
          <w:iCs/>
          <w:kern w:val="0"/>
          <w:sz w:val="24"/>
          <w:szCs w:val="24"/>
          <w:highlight w:val="none"/>
          <w:lang w:eastAsia="zh-CN"/>
        </w:rPr>
      </w:pPr>
      <w:r>
        <w:rPr>
          <w:rFonts w:hint="eastAsia" w:ascii="宋体" w:hAnsi="宋体" w:eastAsia="宋体" w:cs="宋体"/>
          <w:b/>
          <w:bCs/>
          <w:kern w:val="0"/>
          <w:sz w:val="24"/>
          <w:szCs w:val="24"/>
          <w:highlight w:val="none"/>
          <w:lang w:eastAsia="zh-CN"/>
        </w:rPr>
        <w:t>（1）对于技术规格中标注“★”号的技术参数代表实质性指标，不满足该指标项将直接导致投标被拒绝。</w:t>
      </w:r>
    </w:p>
    <w:p w14:paraId="0221C1F8">
      <w:pPr>
        <w:tabs>
          <w:tab w:val="left" w:pos="900"/>
        </w:tabs>
        <w:autoSpaceDE w:val="0"/>
        <w:autoSpaceDN w:val="0"/>
        <w:spacing w:line="486" w:lineRule="exact"/>
        <w:ind w:firstLine="482" w:firstLineChars="200"/>
        <w:jc w:val="left"/>
        <w:rPr>
          <w:rFonts w:hint="eastAsia" w:ascii="宋体" w:hAnsi="宋体" w:eastAsia="宋体" w:cs="宋体"/>
          <w:b/>
          <w:bCs/>
          <w:iCs/>
          <w:kern w:val="0"/>
          <w:sz w:val="24"/>
          <w:szCs w:val="24"/>
          <w:highlight w:val="none"/>
          <w:lang w:eastAsia="zh-CN"/>
        </w:rPr>
      </w:pPr>
      <w:r>
        <w:rPr>
          <w:rFonts w:hint="eastAsia" w:ascii="宋体" w:hAnsi="宋体" w:eastAsia="宋体" w:cs="宋体"/>
          <w:b/>
          <w:bCs/>
          <w:kern w:val="0"/>
          <w:sz w:val="24"/>
          <w:szCs w:val="24"/>
          <w:highlight w:val="none"/>
          <w:lang w:eastAsia="zh-CN"/>
        </w:rPr>
        <w:t>（2）投标人</w:t>
      </w:r>
      <w:r>
        <w:rPr>
          <w:rFonts w:hint="eastAsia" w:ascii="宋体" w:hAnsi="宋体" w:eastAsia="宋体" w:cs="宋体"/>
          <w:b/>
          <w:bCs/>
          <w:iCs/>
          <w:kern w:val="0"/>
          <w:sz w:val="24"/>
          <w:szCs w:val="24"/>
          <w:highlight w:val="none"/>
          <w:lang w:eastAsia="zh-CN"/>
        </w:rPr>
        <w:t>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w:t>
      </w:r>
      <w:r>
        <w:rPr>
          <w:rFonts w:hint="eastAsia" w:ascii="宋体" w:hAnsi="宋体" w:eastAsia="宋体" w:cs="宋体"/>
          <w:b/>
          <w:bCs/>
          <w:kern w:val="0"/>
          <w:sz w:val="24"/>
          <w:szCs w:val="24"/>
          <w:highlight w:val="none"/>
          <w:lang w:eastAsia="zh-CN"/>
        </w:rPr>
        <w:t>▲</w:t>
      </w:r>
      <w:r>
        <w:rPr>
          <w:rFonts w:hint="eastAsia" w:ascii="宋体" w:hAnsi="宋体" w:eastAsia="宋体" w:cs="宋体"/>
          <w:b/>
          <w:bCs/>
          <w:iCs/>
          <w:kern w:val="0"/>
          <w:sz w:val="24"/>
          <w:szCs w:val="24"/>
          <w:highlight w:val="none"/>
          <w:lang w:eastAsia="zh-CN"/>
        </w:rPr>
        <w:t>”号（</w:t>
      </w:r>
      <w:r>
        <w:rPr>
          <w:rFonts w:hint="eastAsia" w:ascii="宋体" w:hAnsi="宋体" w:eastAsia="宋体" w:cs="宋体"/>
          <w:b/>
          <w:bCs/>
          <w:iCs/>
          <w:kern w:val="0"/>
          <w:sz w:val="24"/>
          <w:szCs w:val="24"/>
          <w:highlight w:val="none"/>
          <w:lang w:val="en-US" w:eastAsia="zh-CN"/>
        </w:rPr>
        <w:t>如有</w:t>
      </w:r>
      <w:r>
        <w:rPr>
          <w:rFonts w:hint="eastAsia" w:ascii="宋体" w:hAnsi="宋体" w:eastAsia="宋体" w:cs="宋体"/>
          <w:b/>
          <w:bCs/>
          <w:iCs/>
          <w:kern w:val="0"/>
          <w:sz w:val="24"/>
          <w:szCs w:val="24"/>
          <w:highlight w:val="none"/>
          <w:lang w:eastAsia="zh-CN"/>
        </w:rPr>
        <w:t>）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14:paraId="6A3F23E5">
      <w:pPr>
        <w:tabs>
          <w:tab w:val="left" w:pos="900"/>
        </w:tabs>
        <w:autoSpaceDE w:val="0"/>
        <w:autoSpaceDN w:val="0"/>
        <w:spacing w:line="486" w:lineRule="exact"/>
        <w:ind w:firstLine="480" w:firstLineChars="200"/>
        <w:jc w:val="left"/>
        <w:rPr>
          <w:rFonts w:hint="eastAsia" w:ascii="宋体" w:hAnsi="宋体" w:eastAsia="宋体" w:cs="宋体"/>
          <w:iCs/>
          <w:kern w:val="0"/>
          <w:sz w:val="24"/>
          <w:szCs w:val="24"/>
          <w:highlight w:val="none"/>
          <w:lang w:eastAsia="zh-CN"/>
        </w:rPr>
      </w:pPr>
      <w:r>
        <w:rPr>
          <w:rFonts w:hint="eastAsia" w:ascii="宋体" w:hAnsi="宋体" w:eastAsia="宋体" w:cs="宋体"/>
          <w:kern w:val="0"/>
          <w:sz w:val="24"/>
          <w:szCs w:val="24"/>
          <w:highlight w:val="none"/>
          <w:lang w:eastAsia="zh-CN"/>
        </w:rPr>
        <w:t>（4）</w:t>
      </w:r>
      <w:r>
        <w:rPr>
          <w:rFonts w:hint="eastAsia" w:ascii="宋体" w:hAnsi="宋体" w:eastAsia="宋体" w:cs="宋体"/>
          <w:iCs/>
          <w:kern w:val="0"/>
          <w:sz w:val="24"/>
          <w:szCs w:val="24"/>
          <w:highlight w:val="none"/>
          <w:lang w:eastAsia="zh-CN"/>
        </w:rPr>
        <w:t>投标人所提供的部件之间及设备之间的连线或接插件均视为设备内部部件，应包含在相应的配置中。</w:t>
      </w:r>
    </w:p>
    <w:p w14:paraId="777AE278">
      <w:pPr>
        <w:tabs>
          <w:tab w:val="left" w:pos="900"/>
        </w:tabs>
        <w:autoSpaceDE w:val="0"/>
        <w:autoSpaceDN w:val="0"/>
        <w:spacing w:line="360" w:lineRule="auto"/>
        <w:ind w:firstLine="480" w:firstLineChars="200"/>
        <w:jc w:val="left"/>
        <w:rPr>
          <w:rFonts w:hint="eastAsia" w:ascii="宋体" w:hAnsi="宋体" w:eastAsia="宋体" w:cs="宋体"/>
          <w:iCs/>
          <w:kern w:val="0"/>
          <w:sz w:val="24"/>
          <w:szCs w:val="24"/>
          <w:highlight w:val="none"/>
          <w:lang w:eastAsia="zh-CN"/>
        </w:rPr>
      </w:pPr>
      <w:r>
        <w:rPr>
          <w:rFonts w:hint="eastAsia" w:ascii="宋体" w:hAnsi="宋体" w:eastAsia="宋体" w:cs="宋体"/>
          <w:kern w:val="0"/>
          <w:sz w:val="24"/>
          <w:szCs w:val="24"/>
          <w:highlight w:val="none"/>
          <w:lang w:eastAsia="zh-CN"/>
        </w:rPr>
        <w:t>（5）</w:t>
      </w:r>
      <w:r>
        <w:rPr>
          <w:rFonts w:hint="eastAsia" w:ascii="宋体" w:hAnsi="宋体" w:eastAsia="宋体" w:cs="宋体"/>
          <w:iCs/>
          <w:kern w:val="0"/>
          <w:sz w:val="24"/>
          <w:szCs w:val="24"/>
          <w:highlight w:val="none"/>
          <w:lang w:eastAsia="zh-CN"/>
        </w:rPr>
        <w:t>工作条件：除了在技术规格中另有规定外，投标人提供的一切仪器、设备和系统，应符合下列条件：</w:t>
      </w:r>
    </w:p>
    <w:p w14:paraId="3D393D66">
      <w:pPr>
        <w:tabs>
          <w:tab w:val="left" w:pos="900"/>
        </w:tabs>
        <w:autoSpaceDE w:val="0"/>
        <w:autoSpaceDN w:val="0"/>
        <w:spacing w:line="360" w:lineRule="auto"/>
        <w:ind w:firstLine="480" w:firstLineChars="200"/>
        <w:jc w:val="left"/>
        <w:rPr>
          <w:rFonts w:hint="eastAsia" w:ascii="宋体" w:hAnsi="宋体" w:eastAsia="宋体" w:cs="宋体"/>
          <w:iCs/>
          <w:kern w:val="0"/>
          <w:sz w:val="24"/>
          <w:szCs w:val="24"/>
          <w:highlight w:val="none"/>
          <w:lang w:eastAsia="zh-CN"/>
        </w:rPr>
      </w:pPr>
      <w:r>
        <w:rPr>
          <w:rFonts w:hint="eastAsia" w:ascii="宋体" w:hAnsi="宋体" w:eastAsia="宋体" w:cs="宋体"/>
          <w:iCs/>
          <w:kern w:val="0"/>
          <w:sz w:val="24"/>
          <w:szCs w:val="24"/>
          <w:highlight w:val="none"/>
          <w:lang w:eastAsia="zh-CN"/>
        </w:rPr>
        <w:t>1）仪器设备的插头要符合中国电工标准。如不符合，则应提供适合仪器插头的插座，必须要有接地。</w:t>
      </w:r>
    </w:p>
    <w:p w14:paraId="2AC44210">
      <w:pPr>
        <w:tabs>
          <w:tab w:val="left" w:pos="900"/>
        </w:tabs>
        <w:autoSpaceDE w:val="0"/>
        <w:autoSpaceDN w:val="0"/>
        <w:spacing w:line="360" w:lineRule="auto"/>
        <w:ind w:firstLine="480" w:firstLineChars="200"/>
        <w:jc w:val="left"/>
        <w:rPr>
          <w:rFonts w:hint="eastAsia" w:ascii="宋体" w:hAnsi="宋体" w:eastAsia="宋体" w:cs="宋体"/>
          <w:iCs/>
          <w:kern w:val="0"/>
          <w:sz w:val="24"/>
          <w:szCs w:val="24"/>
          <w:highlight w:val="none"/>
          <w:lang w:eastAsia="zh-CN"/>
        </w:rPr>
      </w:pPr>
      <w:r>
        <w:rPr>
          <w:rFonts w:hint="eastAsia" w:ascii="宋体" w:hAnsi="宋体" w:eastAsia="宋体" w:cs="宋体"/>
          <w:iCs/>
          <w:kern w:val="0"/>
          <w:sz w:val="24"/>
          <w:szCs w:val="24"/>
          <w:highlight w:val="none"/>
          <w:lang w:eastAsia="zh-CN"/>
        </w:rPr>
        <w:t>2）如果仪器设备需特殊的工作条件（如：水、电源、磁场强度、特殊温度、湿度、震动强度等），投标人应在有关投标文件中加以说明。</w:t>
      </w:r>
    </w:p>
    <w:p w14:paraId="10BC9773">
      <w:pPr>
        <w:autoSpaceDE/>
        <w:autoSpaceDN/>
        <w:spacing w:before="20"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iCs/>
          <w:kern w:val="0"/>
          <w:sz w:val="24"/>
          <w:szCs w:val="24"/>
          <w:highlight w:val="none"/>
          <w:lang w:eastAsia="zh-CN"/>
        </w:rPr>
        <w:t>（6）培训要求：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对培训内容、培训对象、培训时间做出计划，包括培训时间、地点、人次、方式、预计培训结果等）。培训教员的差旅费、食宿费、培训教材等费用，应计入投标报价。</w:t>
      </w:r>
    </w:p>
    <w:p w14:paraId="4B4D86D8">
      <w:pPr>
        <w:tabs>
          <w:tab w:val="left" w:pos="900"/>
        </w:tabs>
        <w:autoSpaceDE w:val="0"/>
        <w:autoSpaceDN w:val="0"/>
        <w:spacing w:before="120" w:beforeLines="50" w:line="360" w:lineRule="auto"/>
        <w:ind w:firstLine="482" w:firstLineChars="200"/>
        <w:jc w:val="left"/>
        <w:rPr>
          <w:rFonts w:hint="eastAsia" w:ascii="宋体" w:hAnsi="宋体" w:eastAsia="宋体" w:cs="宋体"/>
          <w:b/>
          <w:kern w:val="0"/>
          <w:sz w:val="24"/>
          <w:szCs w:val="24"/>
          <w:highlight w:val="none"/>
          <w:lang w:eastAsia="zh-CN"/>
        </w:rPr>
      </w:pPr>
      <w:r>
        <w:rPr>
          <w:rFonts w:hint="eastAsia" w:ascii="宋体" w:hAnsi="宋体" w:eastAsia="宋体" w:cs="宋体"/>
          <w:b/>
          <w:kern w:val="0"/>
          <w:sz w:val="24"/>
          <w:szCs w:val="24"/>
          <w:highlight w:val="none"/>
          <w:lang w:eastAsia="zh-CN"/>
        </w:rPr>
        <w:t>3.采购标的的验收标准</w:t>
      </w:r>
    </w:p>
    <w:p w14:paraId="2F78C4A7">
      <w:pPr>
        <w:widowControl w:val="0"/>
        <w:autoSpaceDE w:val="0"/>
        <w:autoSpaceDN w:val="0"/>
        <w:spacing w:before="0" w:line="360" w:lineRule="auto"/>
        <w:ind w:left="0" w:firstLine="476"/>
        <w:rPr>
          <w:rFonts w:hint="eastAsia" w:ascii="宋体" w:hAnsi="宋体" w:eastAsia="宋体" w:cs="宋体"/>
          <w:sz w:val="24"/>
          <w:szCs w:val="22"/>
          <w:highlight w:val="none"/>
          <w:lang w:val="en-US" w:eastAsia="zh-CN" w:bidi="ar-SA"/>
        </w:rPr>
      </w:pPr>
      <w:bookmarkStart w:id="1" w:name="_Toc15601"/>
      <w:bookmarkStart w:id="2" w:name="_Toc181860788"/>
      <w:r>
        <w:rPr>
          <w:rFonts w:hint="eastAsia" w:ascii="宋体" w:hAnsi="宋体" w:eastAsia="宋体" w:cs="宋体"/>
          <w:sz w:val="24"/>
          <w:szCs w:val="22"/>
          <w:highlight w:val="none"/>
          <w:lang w:val="en-US" w:eastAsia="zh-CN" w:bidi="ar-SA"/>
        </w:rPr>
        <w:t>3.</w:t>
      </w:r>
      <w:r>
        <w:rPr>
          <w:rFonts w:ascii="宋体" w:hAnsi="宋体" w:eastAsia="宋体" w:cs="宋体"/>
          <w:sz w:val="24"/>
          <w:szCs w:val="22"/>
          <w:highlight w:val="none"/>
          <w:lang w:val="en-US" w:eastAsia="zh-CN" w:bidi="ar-SA"/>
        </w:rPr>
        <w:t>1</w:t>
      </w:r>
      <w:r>
        <w:rPr>
          <w:rFonts w:hint="eastAsia" w:ascii="宋体" w:hAnsi="宋体" w:eastAsia="宋体" w:cs="宋体"/>
          <w:sz w:val="24"/>
          <w:szCs w:val="22"/>
          <w:highlight w:val="none"/>
          <w:lang w:val="en-US" w:eastAsia="zh-CN" w:bidi="ar-SA"/>
        </w:rPr>
        <w:t>符合采购人服务范围要求。</w:t>
      </w:r>
      <w:bookmarkEnd w:id="1"/>
      <w:bookmarkEnd w:id="2"/>
    </w:p>
    <w:p w14:paraId="4E0765BD">
      <w:pPr>
        <w:widowControl w:val="0"/>
        <w:autoSpaceDE w:val="0"/>
        <w:autoSpaceDN w:val="0"/>
        <w:spacing w:before="0" w:line="360" w:lineRule="auto"/>
        <w:ind w:left="0" w:firstLine="476"/>
        <w:rPr>
          <w:rFonts w:hint="eastAsia" w:ascii="宋体" w:hAnsi="宋体" w:eastAsia="宋体" w:cs="宋体"/>
          <w:sz w:val="24"/>
          <w:szCs w:val="22"/>
          <w:highlight w:val="none"/>
          <w:lang w:val="en-US" w:eastAsia="zh-CN" w:bidi="ar-SA"/>
        </w:rPr>
      </w:pPr>
      <w:bookmarkStart w:id="3" w:name="_Toc181860789"/>
      <w:bookmarkStart w:id="4" w:name="_Toc26326"/>
      <w:r>
        <w:rPr>
          <w:rFonts w:hint="eastAsia" w:ascii="宋体" w:hAnsi="宋体" w:eastAsia="宋体" w:cs="宋体"/>
          <w:sz w:val="24"/>
          <w:szCs w:val="22"/>
          <w:highlight w:val="none"/>
          <w:lang w:val="en-US" w:eastAsia="zh-CN" w:bidi="ar-SA"/>
        </w:rPr>
        <w:t>3.</w:t>
      </w:r>
      <w:r>
        <w:rPr>
          <w:rFonts w:ascii="宋体" w:hAnsi="宋体" w:eastAsia="宋体" w:cs="宋体"/>
          <w:sz w:val="24"/>
          <w:szCs w:val="22"/>
          <w:highlight w:val="none"/>
          <w:lang w:val="en-US" w:eastAsia="zh-CN" w:bidi="ar-SA"/>
        </w:rPr>
        <w:t>2</w:t>
      </w:r>
      <w:r>
        <w:rPr>
          <w:rFonts w:hint="eastAsia" w:ascii="宋体" w:hAnsi="宋体" w:eastAsia="宋体" w:cs="宋体"/>
          <w:sz w:val="24"/>
          <w:szCs w:val="22"/>
          <w:highlight w:val="none"/>
          <w:lang w:val="en-US" w:eastAsia="zh-CN" w:bidi="ar-SA"/>
        </w:rPr>
        <w:t>供应商配置的硬件设备（如涉及）符合采购人要求。</w:t>
      </w:r>
      <w:bookmarkEnd w:id="3"/>
      <w:bookmarkEnd w:id="4"/>
    </w:p>
    <w:p w14:paraId="47A347A2">
      <w:pPr>
        <w:widowControl w:val="0"/>
        <w:autoSpaceDE w:val="0"/>
        <w:autoSpaceDN w:val="0"/>
        <w:spacing w:before="0" w:line="360" w:lineRule="auto"/>
        <w:ind w:left="0" w:firstLine="476"/>
        <w:rPr>
          <w:rFonts w:hint="eastAsia" w:ascii="宋体" w:hAnsi="宋体" w:eastAsia="宋体" w:cs="宋体"/>
          <w:sz w:val="24"/>
          <w:szCs w:val="22"/>
          <w:highlight w:val="none"/>
          <w:lang w:val="en-US" w:eastAsia="zh-CN" w:bidi="ar-SA"/>
        </w:rPr>
      </w:pPr>
      <w:bookmarkStart w:id="5" w:name="_Toc11917"/>
      <w:bookmarkStart w:id="6" w:name="_Toc181860790"/>
      <w:r>
        <w:rPr>
          <w:rFonts w:hint="eastAsia" w:ascii="宋体" w:hAnsi="宋体" w:eastAsia="宋体" w:cs="宋体"/>
          <w:sz w:val="24"/>
          <w:szCs w:val="22"/>
          <w:highlight w:val="none"/>
          <w:lang w:val="en-US" w:eastAsia="zh-CN" w:bidi="ar-SA"/>
        </w:rPr>
        <w:t>3.</w:t>
      </w:r>
      <w:r>
        <w:rPr>
          <w:rFonts w:ascii="宋体" w:hAnsi="宋体" w:eastAsia="宋体" w:cs="宋体"/>
          <w:sz w:val="24"/>
          <w:szCs w:val="22"/>
          <w:highlight w:val="none"/>
          <w:lang w:val="en-US" w:eastAsia="zh-CN" w:bidi="ar-SA"/>
        </w:rPr>
        <w:t>3</w:t>
      </w:r>
      <w:r>
        <w:rPr>
          <w:rFonts w:hint="eastAsia" w:ascii="宋体" w:hAnsi="宋体" w:eastAsia="宋体" w:cs="宋体"/>
          <w:sz w:val="24"/>
          <w:szCs w:val="22"/>
          <w:highlight w:val="none"/>
          <w:lang w:val="en-US" w:eastAsia="zh-CN" w:bidi="ar-SA"/>
        </w:rPr>
        <w:t>完成采购人要求的工作内容。</w:t>
      </w:r>
      <w:bookmarkEnd w:id="5"/>
      <w:bookmarkEnd w:id="6"/>
    </w:p>
    <w:p w14:paraId="246BF73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Regular">
    <w:altName w:val="Arial"/>
    <w:panose1 w:val="00000000000000000000"/>
    <w:charset w:val="00"/>
    <w:family w:val="auto"/>
    <w:pitch w:val="default"/>
    <w:sig w:usb0="00000000" w:usb1="00000000" w:usb2="00000001" w:usb3="00000000" w:csb0="400001BF" w:csb1="DFF70000"/>
  </w:font>
  <w:font w:name="Segoe UI Emoji">
    <w:panose1 w:val="020B0502040204020203"/>
    <w:charset w:val="00"/>
    <w:family w:val="auto"/>
    <w:pitch w:val="default"/>
    <w:sig w:usb0="00000001" w:usb1="02000000" w:usb2="08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Times New Roman PS MT">
    <w:altName w:val="Times New Roman"/>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334797"/>
    <w:rsid w:val="4636479A"/>
    <w:rsid w:val="4DDC6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16637</Words>
  <Characters>17622</Characters>
  <Lines>0</Lines>
  <Paragraphs>0</Paragraphs>
  <TotalTime>0</TotalTime>
  <ScaleCrop>false</ScaleCrop>
  <LinksUpToDate>false</LinksUpToDate>
  <CharactersWithSpaces>17765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2026-06-01T05:53:00Z</dcterms:created>
  <dc:creator>KB110</dc:creator>
  <cp:lastModifiedBy>Serena</cp:lastModifiedBy>
  <dcterms:modified xsi:type="dcterms:W3CDTF">2026-08-07T07:23:50Z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eyJoZGlkIjoiMTUxNjU4Y2I1ZTg1ZmY0MTJiZWRhYWQxYzNmOTNlNDEiLCJ1c2VySWQiOiIyMTg5Mjc5NjMifQ==</vt:lpwstr>
  </property>
  <property fmtid="{D5CDD505-2E9C-101B-9397-08002B2CF9AE}" pid="4" name="ICV">
    <vt:lpwstr>CB3D8E0041EC4F129E5A1ABE01B9C120_12</vt:lpwstr>
  </property>
</Properties>
</file>