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lang w:eastAsia="zh-CN"/>
        </w:rPr>
      </w:pPr>
      <w:bookmarkStart w:id="0" w:name="_Toc35393789"/>
      <w:bookmarkStart w:id="1" w:name="_Toc28359001"/>
      <w:r>
        <w:rPr>
          <w:rFonts w:hint="eastAsia" w:ascii="仿宋" w:hAnsi="仿宋" w:eastAsia="仿宋" w:cs="仿宋"/>
          <w:sz w:val="28"/>
          <w:szCs w:val="28"/>
        </w:rPr>
        <w:t>招标公告</w:t>
      </w:r>
      <w:bookmarkEnd w:id="0"/>
      <w:bookmarkEnd w:id="1"/>
    </w:p>
    <w:p w14:paraId="6D9E0346">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仿宋"/>
          <w:sz w:val="28"/>
          <w:szCs w:val="28"/>
        </w:rPr>
      </w:pPr>
      <w:r>
        <w:rPr>
          <w:rFonts w:hint="eastAsia" w:ascii="仿宋" w:hAnsi="仿宋" w:eastAsia="仿宋" w:cs="仿宋"/>
          <w:sz w:val="28"/>
          <w:szCs w:val="28"/>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u w:val="single"/>
          <w:lang w:eastAsia="zh-CN"/>
        </w:rPr>
        <w:t>北京朝阳医院石景山院区2、4号楼电梯更新项目</w:t>
      </w:r>
      <w:r>
        <w:rPr>
          <w:rFonts w:hint="eastAsia" w:ascii="仿宋" w:hAnsi="仿宋" w:eastAsia="仿宋" w:cs="仿宋"/>
          <w:sz w:val="28"/>
          <w:szCs w:val="28"/>
        </w:rPr>
        <w:t>的潜在投标人应在</w:t>
      </w:r>
      <w:r>
        <w:rPr>
          <w:rFonts w:hint="eastAsia" w:ascii="仿宋" w:hAnsi="仿宋" w:eastAsia="仿宋" w:cs="仿宋"/>
          <w:sz w:val="28"/>
          <w:szCs w:val="28"/>
          <w:u w:val="single"/>
        </w:rPr>
        <w:t>http://zbcg-bjzc.zhongcy.com/</w:t>
      </w:r>
      <w:r>
        <w:rPr>
          <w:rFonts w:hint="eastAsia" w:ascii="仿宋" w:hAnsi="仿宋" w:eastAsia="仿宋" w:cs="仿宋"/>
          <w:sz w:val="28"/>
          <w:szCs w:val="28"/>
          <w:highlight w:val="none"/>
          <w:u w:val="single"/>
        </w:rPr>
        <w:t>bjczj-portal-site/index.html#/home</w:t>
      </w:r>
      <w:r>
        <w:rPr>
          <w:rFonts w:hint="eastAsia" w:ascii="仿宋" w:hAnsi="仿宋" w:eastAsia="仿宋" w:cs="仿宋"/>
          <w:sz w:val="28"/>
          <w:szCs w:val="28"/>
          <w:highlight w:val="none"/>
          <w:u w:val="none"/>
          <w:lang w:val="en-US" w:eastAsia="zh-CN"/>
        </w:rPr>
        <w:t>获取</w:t>
      </w:r>
      <w:r>
        <w:rPr>
          <w:rFonts w:hint="eastAsia" w:ascii="仿宋" w:hAnsi="仿宋" w:eastAsia="仿宋" w:cs="仿宋"/>
          <w:sz w:val="28"/>
          <w:szCs w:val="28"/>
          <w:highlight w:val="none"/>
        </w:rPr>
        <w:t>招标文件，并于</w:t>
      </w:r>
      <w:r>
        <w:rPr>
          <w:rFonts w:hint="eastAsia" w:ascii="仿宋" w:hAnsi="仿宋" w:eastAsia="仿宋" w:cs="仿宋"/>
          <w:sz w:val="28"/>
          <w:szCs w:val="28"/>
          <w:highlight w:val="none"/>
          <w:u w:val="single"/>
          <w:lang w:eastAsia="zh-CN"/>
        </w:rPr>
        <w:t>2026年</w:t>
      </w:r>
      <w:r>
        <w:rPr>
          <w:rFonts w:hint="eastAsia" w:ascii="仿宋" w:hAnsi="仿宋" w:eastAsia="仿宋" w:cs="仿宋"/>
          <w:sz w:val="28"/>
          <w:szCs w:val="28"/>
          <w:highlight w:val="none"/>
          <w:u w:val="single"/>
          <w:lang w:val="en-US" w:eastAsia="zh-CN"/>
        </w:rPr>
        <w:t>8</w:t>
      </w:r>
      <w:r>
        <w:rPr>
          <w:rFonts w:hint="eastAsia" w:ascii="仿宋" w:hAnsi="仿宋" w:eastAsia="仿宋" w:cs="仿宋"/>
          <w:sz w:val="28"/>
          <w:szCs w:val="28"/>
          <w:highlight w:val="none"/>
          <w:u w:val="single"/>
          <w:lang w:eastAsia="zh-CN"/>
        </w:rPr>
        <w:t>月</w:t>
      </w:r>
      <w:r>
        <w:rPr>
          <w:rFonts w:hint="eastAsia" w:ascii="仿宋" w:hAnsi="仿宋" w:eastAsia="仿宋" w:cs="仿宋"/>
          <w:sz w:val="28"/>
          <w:szCs w:val="28"/>
          <w:highlight w:val="none"/>
          <w:u w:val="single"/>
          <w:lang w:val="en-US" w:eastAsia="zh-CN"/>
        </w:rPr>
        <w:t>31</w:t>
      </w:r>
      <w:r>
        <w:rPr>
          <w:rFonts w:hint="eastAsia" w:ascii="仿宋" w:hAnsi="仿宋" w:eastAsia="仿宋" w:cs="仿宋"/>
          <w:sz w:val="28"/>
          <w:szCs w:val="28"/>
          <w:highlight w:val="none"/>
          <w:u w:val="single"/>
          <w:lang w:eastAsia="zh-CN"/>
        </w:rPr>
        <w:t>日</w:t>
      </w:r>
      <w:r>
        <w:rPr>
          <w:rFonts w:hint="eastAsia" w:ascii="仿宋" w:hAnsi="仿宋" w:eastAsia="仿宋" w:cs="仿宋"/>
          <w:sz w:val="28"/>
          <w:szCs w:val="28"/>
          <w:highlight w:val="none"/>
          <w:u w:val="single"/>
          <w:lang w:val="en-US" w:eastAsia="zh-CN"/>
        </w:rPr>
        <w:t>09</w:t>
      </w:r>
      <w:r>
        <w:rPr>
          <w:rFonts w:hint="eastAsia" w:ascii="仿宋" w:hAnsi="仿宋" w:eastAsia="仿宋" w:cs="仿宋"/>
          <w:sz w:val="28"/>
          <w:szCs w:val="28"/>
          <w:highlight w:val="none"/>
          <w:u w:val="single"/>
          <w:lang w:eastAsia="zh-CN"/>
        </w:rPr>
        <w:t>点30分</w:t>
      </w:r>
      <w:r>
        <w:rPr>
          <w:rFonts w:hint="eastAsia" w:ascii="仿宋" w:hAnsi="仿宋" w:eastAsia="仿宋" w:cs="仿宋"/>
          <w:sz w:val="28"/>
          <w:szCs w:val="28"/>
          <w:highlight w:val="none"/>
        </w:rPr>
        <w:t>（北京时间）</w:t>
      </w:r>
      <w:r>
        <w:rPr>
          <w:rFonts w:hint="eastAsia" w:ascii="仿宋" w:hAnsi="仿宋" w:eastAsia="仿宋" w:cs="仿宋"/>
          <w:bCs/>
          <w:sz w:val="28"/>
          <w:szCs w:val="28"/>
          <w:highlight w:val="none"/>
        </w:rPr>
        <w:t>前递交投标文件</w:t>
      </w:r>
      <w:r>
        <w:rPr>
          <w:rFonts w:hint="eastAsia" w:ascii="仿宋" w:hAnsi="仿宋" w:eastAsia="仿宋" w:cs="仿宋"/>
          <w:sz w:val="28"/>
          <w:szCs w:val="28"/>
          <w:highlight w:val="none"/>
        </w:rPr>
        <w:t>。</w:t>
      </w:r>
    </w:p>
    <w:p w14:paraId="092FC1F6">
      <w:pPr>
        <w:rPr>
          <w:rFonts w:ascii="仿宋" w:hAnsi="仿宋" w:eastAsia="仿宋" w:cs="仿宋"/>
          <w:sz w:val="28"/>
          <w:szCs w:val="28"/>
        </w:rPr>
      </w:pPr>
    </w:p>
    <w:p w14:paraId="65CE4E48">
      <w:pPr>
        <w:pStyle w:val="4"/>
        <w:spacing w:before="0" w:line="360" w:lineRule="auto"/>
        <w:rPr>
          <w:rFonts w:ascii="仿宋" w:hAnsi="仿宋" w:eastAsia="仿宋" w:cs="仿宋"/>
          <w:b w:val="0"/>
          <w:sz w:val="28"/>
          <w:szCs w:val="28"/>
        </w:rPr>
      </w:pPr>
      <w:bookmarkStart w:id="2" w:name="_Toc35393621"/>
      <w:bookmarkStart w:id="3" w:name="_Toc35393790"/>
      <w:bookmarkStart w:id="4" w:name="_Toc28359002"/>
      <w:bookmarkStart w:id="5" w:name="_Toc28359079"/>
      <w:bookmarkStart w:id="6" w:name="_Hlk24379207"/>
      <w:r>
        <w:rPr>
          <w:rFonts w:hint="eastAsia" w:ascii="仿宋" w:hAnsi="仿宋" w:eastAsia="仿宋" w:cs="仿宋"/>
          <w:b w:val="0"/>
          <w:sz w:val="28"/>
          <w:szCs w:val="28"/>
        </w:rPr>
        <w:t>一、项目基本情况</w:t>
      </w:r>
      <w:bookmarkEnd w:id="2"/>
      <w:bookmarkEnd w:id="3"/>
      <w:bookmarkEnd w:id="4"/>
      <w:bookmarkEnd w:id="5"/>
    </w:p>
    <w:p w14:paraId="522CB6DC">
      <w:pPr>
        <w:pStyle w:val="5"/>
        <w:tabs>
          <w:tab w:val="left" w:pos="4222"/>
        </w:tabs>
        <w:autoSpaceDE w:val="0"/>
        <w:autoSpaceDN w:val="0"/>
        <w:spacing w:after="0" w:line="560" w:lineRule="exact"/>
        <w:ind w:firstLine="560" w:firstLineChars="200"/>
        <w:jc w:val="left"/>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1.</w:t>
      </w:r>
      <w:bookmarkEnd w:id="6"/>
      <w:r>
        <w:rPr>
          <w:rFonts w:hint="eastAsia" w:ascii="仿宋" w:hAnsi="仿宋" w:eastAsia="仿宋" w:cs="仿宋"/>
          <w:b w:val="0"/>
          <w:bCs/>
          <w:kern w:val="2"/>
          <w:sz w:val="28"/>
          <w:szCs w:val="28"/>
          <w:lang w:val="en-US" w:eastAsia="zh-CN" w:bidi="ar-SA"/>
        </w:rPr>
        <w:t>项目编号：0686-26110I045570Z</w:t>
      </w:r>
    </w:p>
    <w:p w14:paraId="2F8EFAFF">
      <w:pPr>
        <w:widowControl w:val="0"/>
        <w:tabs>
          <w:tab w:val="left" w:pos="4222"/>
        </w:tabs>
        <w:autoSpaceDE w:val="0"/>
        <w:autoSpaceDN w:val="0"/>
        <w:spacing w:line="560" w:lineRule="exact"/>
        <w:ind w:firstLine="560" w:firstLineChars="200"/>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2.项目名称：北京朝阳医院石景山院区2、4号楼电梯更新项目</w:t>
      </w:r>
    </w:p>
    <w:p w14:paraId="41E5298D">
      <w:pPr>
        <w:widowControl w:val="0"/>
        <w:tabs>
          <w:tab w:val="left" w:pos="3089"/>
          <w:tab w:val="left" w:pos="6809"/>
        </w:tabs>
        <w:autoSpaceDE w:val="0"/>
        <w:autoSpaceDN w:val="0"/>
        <w:spacing w:line="560" w:lineRule="exact"/>
        <w:ind w:firstLine="560" w:firstLineChars="200"/>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3.项目预算金额：120万元</w:t>
      </w:r>
    </w:p>
    <w:p w14:paraId="6CD741E8">
      <w:pPr>
        <w:widowControl w:val="0"/>
        <w:autoSpaceDE w:val="0"/>
        <w:autoSpaceDN w:val="0"/>
        <w:spacing w:line="560" w:lineRule="exact"/>
        <w:ind w:firstLine="560" w:firstLineChars="200"/>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4.采购需求：</w:t>
      </w:r>
    </w:p>
    <w:tbl>
      <w:tblPr>
        <w:tblStyle w:val="11"/>
        <w:tblW w:w="504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3"/>
        <w:gridCol w:w="2182"/>
        <w:gridCol w:w="2681"/>
        <w:gridCol w:w="1162"/>
        <w:gridCol w:w="3646"/>
      </w:tblGrid>
      <w:tr w14:paraId="10DBD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blHeader/>
          <w:jc w:val="center"/>
        </w:trPr>
        <w:tc>
          <w:tcPr>
            <w:tcW w:w="427" w:type="pct"/>
            <w:tcBorders>
              <w:top w:val="single" w:color="000000" w:sz="4" w:space="0"/>
              <w:left w:val="single" w:color="000000" w:sz="4" w:space="0"/>
              <w:bottom w:val="single" w:color="000000" w:sz="4" w:space="0"/>
              <w:right w:val="single" w:color="000000" w:sz="4" w:space="0"/>
            </w:tcBorders>
            <w:vAlign w:val="center"/>
          </w:tcPr>
          <w:p w14:paraId="6D35687A">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包号</w:t>
            </w:r>
          </w:p>
        </w:tc>
        <w:tc>
          <w:tcPr>
            <w:tcW w:w="1031" w:type="pct"/>
            <w:tcBorders>
              <w:top w:val="single" w:color="000000" w:sz="4" w:space="0"/>
              <w:left w:val="single" w:color="000000" w:sz="4" w:space="0"/>
              <w:bottom w:val="single" w:color="000000" w:sz="4" w:space="0"/>
              <w:right w:val="single" w:color="000000" w:sz="4" w:space="0"/>
            </w:tcBorders>
            <w:vAlign w:val="center"/>
          </w:tcPr>
          <w:p w14:paraId="44B198C2">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采购包预算金额</w:t>
            </w:r>
          </w:p>
          <w:p w14:paraId="2C9AB919">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（万元）</w:t>
            </w:r>
          </w:p>
        </w:tc>
        <w:tc>
          <w:tcPr>
            <w:tcW w:w="1267" w:type="pct"/>
            <w:tcBorders>
              <w:top w:val="single" w:color="000000" w:sz="4" w:space="0"/>
              <w:left w:val="single" w:color="000000" w:sz="4" w:space="0"/>
              <w:bottom w:val="single" w:color="000000" w:sz="4" w:space="0"/>
              <w:right w:val="single" w:color="000000" w:sz="4" w:space="0"/>
            </w:tcBorders>
            <w:vAlign w:val="center"/>
          </w:tcPr>
          <w:p w14:paraId="69025A24">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标的名称</w:t>
            </w:r>
          </w:p>
        </w:tc>
        <w:tc>
          <w:tcPr>
            <w:tcW w:w="549" w:type="pct"/>
            <w:tcBorders>
              <w:top w:val="single" w:color="000000" w:sz="4" w:space="0"/>
              <w:left w:val="single" w:color="000000" w:sz="4" w:space="0"/>
              <w:bottom w:val="single" w:color="000000" w:sz="4" w:space="0"/>
              <w:right w:val="single" w:color="000000" w:sz="4" w:space="0"/>
            </w:tcBorders>
            <w:vAlign w:val="center"/>
          </w:tcPr>
          <w:p w14:paraId="684318AF">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数量</w:t>
            </w:r>
          </w:p>
        </w:tc>
        <w:tc>
          <w:tcPr>
            <w:tcW w:w="1723" w:type="pct"/>
            <w:tcBorders>
              <w:top w:val="single" w:color="000000" w:sz="4" w:space="0"/>
              <w:left w:val="single" w:color="000000" w:sz="4" w:space="0"/>
              <w:bottom w:val="single" w:color="000000" w:sz="4" w:space="0"/>
              <w:right w:val="single" w:color="000000" w:sz="4" w:space="0"/>
            </w:tcBorders>
            <w:vAlign w:val="center"/>
          </w:tcPr>
          <w:p w14:paraId="4B5858D7">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简要技术需求或服务要求</w:t>
            </w:r>
          </w:p>
        </w:tc>
      </w:tr>
      <w:tr w14:paraId="1430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blHeader/>
          <w:jc w:val="center"/>
        </w:trPr>
        <w:tc>
          <w:tcPr>
            <w:tcW w:w="427" w:type="pct"/>
            <w:tcBorders>
              <w:top w:val="single" w:color="000000" w:sz="4" w:space="0"/>
              <w:left w:val="single" w:color="000000" w:sz="4" w:space="0"/>
              <w:right w:val="single" w:color="000000" w:sz="4" w:space="0"/>
            </w:tcBorders>
            <w:vAlign w:val="center"/>
          </w:tcPr>
          <w:p w14:paraId="0EA86006">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1</w:t>
            </w:r>
          </w:p>
        </w:tc>
        <w:tc>
          <w:tcPr>
            <w:tcW w:w="1031" w:type="pct"/>
            <w:tcBorders>
              <w:top w:val="single" w:color="000000" w:sz="4" w:space="0"/>
              <w:left w:val="single" w:color="000000" w:sz="4" w:space="0"/>
              <w:bottom w:val="single" w:color="000000" w:sz="4" w:space="0"/>
              <w:right w:val="single" w:color="000000" w:sz="4" w:space="0"/>
            </w:tcBorders>
            <w:vAlign w:val="center"/>
          </w:tcPr>
          <w:p w14:paraId="0A28657E">
            <w:pPr>
              <w:widowControl/>
              <w:autoSpaceDE w:val="0"/>
              <w:autoSpaceDN w:val="0"/>
              <w:jc w:val="center"/>
              <w:textAlignment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120</w:t>
            </w:r>
          </w:p>
        </w:tc>
        <w:tc>
          <w:tcPr>
            <w:tcW w:w="1267" w:type="pct"/>
            <w:tcBorders>
              <w:top w:val="single" w:color="000000" w:sz="4" w:space="0"/>
              <w:left w:val="single" w:color="000000" w:sz="4" w:space="0"/>
              <w:bottom w:val="single" w:color="000000" w:sz="4" w:space="0"/>
              <w:right w:val="single" w:color="000000" w:sz="4" w:space="0"/>
            </w:tcBorders>
            <w:vAlign w:val="center"/>
          </w:tcPr>
          <w:p w14:paraId="7BFA61B2">
            <w:pPr>
              <w:widowControl/>
              <w:autoSpaceDE w:val="0"/>
              <w:autoSpaceDN w:val="0"/>
              <w:jc w:val="center"/>
              <w:textAlignment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石景山院区2、4号楼电梯更新</w:t>
            </w:r>
          </w:p>
        </w:tc>
        <w:tc>
          <w:tcPr>
            <w:tcW w:w="549" w:type="pct"/>
            <w:tcBorders>
              <w:top w:val="single" w:color="000000" w:sz="4" w:space="0"/>
              <w:left w:val="single" w:color="000000" w:sz="4" w:space="0"/>
              <w:bottom w:val="single" w:color="000000" w:sz="4" w:space="0"/>
              <w:right w:val="single" w:color="000000" w:sz="4" w:space="0"/>
            </w:tcBorders>
            <w:vAlign w:val="center"/>
          </w:tcPr>
          <w:p w14:paraId="42CB5FF8">
            <w:pPr>
              <w:widowControl/>
              <w:autoSpaceDE w:val="0"/>
              <w:autoSpaceDN w:val="0"/>
              <w:jc w:val="center"/>
              <w:textAlignment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4台</w:t>
            </w:r>
          </w:p>
        </w:tc>
        <w:tc>
          <w:tcPr>
            <w:tcW w:w="1723" w:type="pct"/>
            <w:tcBorders>
              <w:top w:val="single" w:color="000000" w:sz="4" w:space="0"/>
              <w:left w:val="single" w:color="000000" w:sz="4" w:space="0"/>
              <w:right w:val="single" w:color="000000" w:sz="4" w:space="0"/>
            </w:tcBorders>
            <w:vAlign w:val="center"/>
          </w:tcPr>
          <w:p w14:paraId="164939C0">
            <w:pPr>
              <w:widowControl w:val="0"/>
              <w:autoSpaceDE w:val="0"/>
              <w:autoSpaceDN w:val="0"/>
              <w:jc w:val="center"/>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详见“采购需求”</w:t>
            </w:r>
          </w:p>
        </w:tc>
      </w:tr>
    </w:tbl>
    <w:p w14:paraId="15D92E6D">
      <w:pPr>
        <w:widowControl w:val="0"/>
        <w:tabs>
          <w:tab w:val="left" w:pos="4754"/>
        </w:tabs>
        <w:autoSpaceDE w:val="0"/>
        <w:autoSpaceDN w:val="0"/>
        <w:spacing w:line="560" w:lineRule="exact"/>
        <w:ind w:firstLine="560" w:firstLineChars="200"/>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5.合同履行期限：按采购人要求。</w:t>
      </w:r>
    </w:p>
    <w:p w14:paraId="73F7730F">
      <w:pPr>
        <w:spacing w:line="360" w:lineRule="auto"/>
        <w:ind w:firstLine="560" w:firstLineChars="200"/>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6.本项目是否接受联合体投标：□是</w:t>
      </w:r>
      <w:r>
        <w:rPr>
          <w:rFonts w:hint="eastAsia" w:ascii="仿宋" w:hAnsi="仿宋" w:eastAsia="仿宋" w:cs="仿宋"/>
          <w:b w:val="0"/>
          <w:bCs/>
          <w:kern w:val="2"/>
          <w:sz w:val="28"/>
          <w:szCs w:val="28"/>
          <w:lang w:val="en-US" w:eastAsia="zh-CN" w:bidi="ar-SA"/>
        </w:rPr>
        <w:tab/>
      </w:r>
      <w:r>
        <w:rPr>
          <w:rFonts w:hint="eastAsia" w:ascii="仿宋" w:hAnsi="仿宋" w:eastAsia="仿宋" w:cs="仿宋"/>
          <w:b w:val="0"/>
          <w:bCs/>
          <w:kern w:val="2"/>
          <w:sz w:val="28"/>
          <w:szCs w:val="28"/>
          <w:lang w:val="en-US" w:eastAsia="zh-CN" w:bidi="ar-SA"/>
        </w:rPr>
        <w:t>■否。</w:t>
      </w:r>
    </w:p>
    <w:p w14:paraId="6DC1024A">
      <w:pPr>
        <w:pStyle w:val="4"/>
        <w:spacing w:line="360" w:lineRule="auto"/>
        <w:rPr>
          <w:rFonts w:ascii="仿宋" w:hAnsi="仿宋" w:eastAsia="仿宋" w:cs="仿宋"/>
          <w:b w:val="0"/>
          <w:sz w:val="28"/>
          <w:szCs w:val="28"/>
        </w:rPr>
      </w:pPr>
      <w:bookmarkStart w:id="7" w:name="_Toc28359003"/>
      <w:bookmarkStart w:id="8" w:name="_Toc28359080"/>
      <w:bookmarkStart w:id="9" w:name="_Toc35393622"/>
      <w:bookmarkStart w:id="10" w:name="_Toc35393791"/>
      <w:r>
        <w:rPr>
          <w:rFonts w:hint="eastAsia" w:ascii="仿宋" w:hAnsi="仿宋" w:eastAsia="仿宋" w:cs="仿宋"/>
          <w:b w:val="0"/>
          <w:sz w:val="28"/>
          <w:szCs w:val="28"/>
        </w:rPr>
        <w:t>二、申请人的资格要求：</w:t>
      </w:r>
      <w:bookmarkEnd w:id="7"/>
      <w:bookmarkEnd w:id="8"/>
      <w:bookmarkEnd w:id="9"/>
      <w:bookmarkEnd w:id="10"/>
    </w:p>
    <w:p w14:paraId="18DDFD2A">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rPr>
        <w:t>1.</w:t>
      </w:r>
      <w:bookmarkStart w:id="11" w:name="_Toc28359081"/>
      <w:bookmarkStart w:id="12" w:name="_Toc35393792"/>
      <w:bookmarkStart w:id="13" w:name="_Toc35393623"/>
      <w:bookmarkStart w:id="14" w:name="_Toc28359004"/>
      <w:r>
        <w:rPr>
          <w:rFonts w:hint="eastAsia" w:ascii="仿宋" w:hAnsi="仿宋" w:eastAsia="仿宋" w:cs="仿宋"/>
          <w:sz w:val="28"/>
          <w:szCs w:val="28"/>
          <w:lang w:eastAsia="zh-CN"/>
        </w:rPr>
        <w:t>满足《中华人民共和国政府采购法》第二十二条规定；</w:t>
      </w:r>
    </w:p>
    <w:p w14:paraId="32E00354">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2.落实政府采购政策需满足的资格要求：</w:t>
      </w:r>
    </w:p>
    <w:p w14:paraId="2D154E22">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2.1 中小企业政策</w:t>
      </w:r>
    </w:p>
    <w:p w14:paraId="20E330B0">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■本项目不专门面向中小企业预留采购份额。</w:t>
      </w:r>
    </w:p>
    <w:p w14:paraId="5C48B2E4">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□本项目专门面向  □中小 □小微企业  采购。即：提供的货物全部由符合政策要求的中小/小微企业制造。</w:t>
      </w:r>
    </w:p>
    <w:p w14:paraId="44A91B09">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□本项目预留部分采购项目预算专门面向中小企业采购。对于预留份额，提供的货物由符合政策要求的中小企业制造、服务由符合政策要求的中小企业承接。预留份额通过以下措施进行：__________________。</w:t>
      </w:r>
    </w:p>
    <w:p w14:paraId="2F67D5B7">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2.2 其它落实政府采购政策的资格要求：/。</w:t>
      </w:r>
    </w:p>
    <w:p w14:paraId="7A103A37">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3.本项目的特定资格要求：</w:t>
      </w:r>
    </w:p>
    <w:p w14:paraId="0460040C">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3.1 本项目是否接受分支机构参与投标：□是   ■否；</w:t>
      </w:r>
    </w:p>
    <w:p w14:paraId="09478F79">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3.2 本项目是否属于政府购买服务：</w:t>
      </w:r>
    </w:p>
    <w:p w14:paraId="72366EBF">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 否</w:t>
      </w:r>
    </w:p>
    <w:p w14:paraId="0F6E7DD6">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 是，公益一类事业单位、使用事业编制且由财政拨款保障的群团组织，不得作为承接主体；</w:t>
      </w:r>
    </w:p>
    <w:p w14:paraId="0FE0F5F2">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3.3 其他特定资格要求：</w:t>
      </w:r>
    </w:p>
    <w:p w14:paraId="0249AD13">
      <w:pPr>
        <w:ind w:firstLine="840" w:firstLineChars="300"/>
        <w:rPr>
          <w:rFonts w:hint="eastAsia" w:ascii="仿宋" w:hAnsi="仿宋" w:eastAsia="仿宋" w:cs="仿宋"/>
          <w:sz w:val="28"/>
          <w:szCs w:val="28"/>
          <w:lang w:eastAsia="zh-CN"/>
        </w:rPr>
      </w:pPr>
      <w:r>
        <w:rPr>
          <w:rFonts w:hint="eastAsia" w:ascii="仿宋" w:hAnsi="仿宋" w:eastAsia="仿宋" w:cs="仿宋"/>
          <w:sz w:val="28"/>
          <w:szCs w:val="28"/>
          <w:lang w:eastAsia="zh-CN"/>
        </w:rPr>
        <w:t>（1）投标人为制造商的，应具备有效期内的《中华人民共和国特种设备生产许可证》，许可项目包含电梯制造（含安装、修理、改造）曳引驱动乘客电梯（含消防员电梯）B级及以上资质</w:t>
      </w:r>
    </w:p>
    <w:p w14:paraId="738B6ECF">
      <w:pPr>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lang w:eastAsia="zh-CN"/>
        </w:rPr>
        <w:t>（2）投标人为代理商的，应具备有效期内的《中华人民共和国特种设备生产许可证》，许可项目包含电梯安装（含修理）曳引驱动乘客电梯（含消防员电梯）B级及以上资质</w:t>
      </w:r>
      <w:r>
        <w:rPr>
          <w:rFonts w:hint="eastAsia" w:ascii="仿宋" w:hAnsi="仿宋" w:eastAsia="仿宋" w:cs="仿宋"/>
          <w:sz w:val="28"/>
          <w:szCs w:val="28"/>
        </w:rPr>
        <w:t>。</w:t>
      </w:r>
    </w:p>
    <w:p w14:paraId="7F827E0E">
      <w:pPr>
        <w:pStyle w:val="4"/>
        <w:spacing w:line="360" w:lineRule="auto"/>
        <w:rPr>
          <w:rFonts w:ascii="仿宋" w:hAnsi="仿宋" w:eastAsia="仿宋" w:cs="仿宋"/>
          <w:b w:val="0"/>
          <w:sz w:val="28"/>
          <w:szCs w:val="28"/>
        </w:rPr>
      </w:pPr>
      <w:r>
        <w:rPr>
          <w:rFonts w:hint="eastAsia" w:ascii="仿宋" w:hAnsi="仿宋" w:eastAsia="仿宋" w:cs="仿宋"/>
          <w:b w:val="0"/>
          <w:sz w:val="28"/>
          <w:szCs w:val="28"/>
        </w:rPr>
        <w:t>三、获取招标文件</w:t>
      </w:r>
      <w:bookmarkEnd w:id="11"/>
      <w:bookmarkEnd w:id="12"/>
      <w:bookmarkEnd w:id="13"/>
      <w:bookmarkEnd w:id="14"/>
    </w:p>
    <w:p w14:paraId="75DFB0ED">
      <w:pPr>
        <w:spacing w:line="360" w:lineRule="auto"/>
        <w:ind w:firstLine="560" w:firstLineChars="200"/>
        <w:rPr>
          <w:rFonts w:hint="eastAsia" w:ascii="仿宋" w:hAnsi="仿宋" w:eastAsia="仿宋" w:cs="仿宋"/>
          <w:sz w:val="28"/>
          <w:szCs w:val="28"/>
        </w:rPr>
      </w:pPr>
      <w:bookmarkStart w:id="15" w:name="_Toc28359082"/>
      <w:bookmarkStart w:id="16" w:name="_Toc28359005"/>
      <w:bookmarkStart w:id="17" w:name="_Toc35393793"/>
      <w:bookmarkStart w:id="18" w:name="_Toc35393624"/>
      <w:r>
        <w:rPr>
          <w:rFonts w:ascii="仿宋" w:hAnsi="仿宋" w:eastAsia="仿宋" w:cs="仿宋"/>
          <w:sz w:val="28"/>
          <w:szCs w:val="28"/>
        </w:rPr>
        <w:t>1.</w:t>
      </w:r>
      <w:r>
        <w:rPr>
          <w:rFonts w:hint="eastAsia" w:ascii="仿宋" w:hAnsi="仿宋" w:eastAsia="仿宋" w:cs="仿宋"/>
          <w:sz w:val="28"/>
          <w:szCs w:val="28"/>
        </w:rPr>
        <w:t>时间：2026年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7</w:t>
      </w:r>
      <w:r>
        <w:rPr>
          <w:rFonts w:hint="eastAsia" w:ascii="仿宋" w:hAnsi="仿宋" w:eastAsia="仿宋" w:cs="仿宋"/>
          <w:sz w:val="28"/>
          <w:szCs w:val="28"/>
        </w:rPr>
        <w:t>日至2026年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日，每天上午8:30至12:00，下午12:00至16:30（北京时间，法定节假日除外）。</w:t>
      </w:r>
    </w:p>
    <w:p w14:paraId="53B3903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2.地点：北京市政府采购电子交易平台</w:t>
      </w:r>
    </w:p>
    <w:p w14:paraId="2C1832DB">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3.方式：供应商使用 CA 数字证书或电子营业执照登录北京市政府采购电子交易平台（http://zbcg-bjzc.zhongcy.com/bjczj-portal-site/index.html#/home）获取电子版招标文件。</w:t>
      </w:r>
    </w:p>
    <w:p w14:paraId="604CDE8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4.售价：0 元</w:t>
      </w:r>
      <w:r>
        <w:rPr>
          <w:rFonts w:ascii="仿宋" w:hAnsi="仿宋" w:eastAsia="仿宋" w:cs="仿宋"/>
          <w:sz w:val="28"/>
          <w:szCs w:val="28"/>
        </w:rPr>
        <w:t>。</w:t>
      </w:r>
    </w:p>
    <w:p w14:paraId="47AD5CA7">
      <w:pPr>
        <w:pStyle w:val="4"/>
        <w:spacing w:line="360" w:lineRule="auto"/>
        <w:rPr>
          <w:rFonts w:ascii="仿宋" w:hAnsi="仿宋" w:eastAsia="仿宋" w:cs="仿宋"/>
          <w:b w:val="0"/>
          <w:sz w:val="28"/>
          <w:szCs w:val="28"/>
        </w:rPr>
      </w:pPr>
      <w:r>
        <w:rPr>
          <w:rFonts w:hint="eastAsia" w:ascii="仿宋" w:hAnsi="仿宋" w:eastAsia="仿宋" w:cs="仿宋"/>
          <w:b w:val="0"/>
          <w:sz w:val="28"/>
          <w:szCs w:val="28"/>
        </w:rPr>
        <w:t>四、提交投标文件</w:t>
      </w:r>
      <w:bookmarkEnd w:id="15"/>
      <w:bookmarkEnd w:id="16"/>
      <w:r>
        <w:rPr>
          <w:rFonts w:hint="eastAsia" w:ascii="仿宋" w:hAnsi="仿宋" w:eastAsia="仿宋" w:cs="仿宋"/>
          <w:b w:val="0"/>
          <w:sz w:val="28"/>
          <w:szCs w:val="28"/>
        </w:rPr>
        <w:t>截止时间、开标时间和地点</w:t>
      </w:r>
      <w:bookmarkEnd w:id="17"/>
      <w:bookmarkEnd w:id="18"/>
    </w:p>
    <w:p w14:paraId="5B5360F3">
      <w:pPr>
        <w:spacing w:line="360" w:lineRule="auto"/>
        <w:ind w:firstLine="420" w:firstLineChars="150"/>
        <w:rPr>
          <w:rFonts w:hint="eastAsia" w:ascii="仿宋" w:hAnsi="仿宋" w:eastAsia="仿宋" w:cs="仿宋"/>
          <w:bCs/>
          <w:sz w:val="28"/>
          <w:szCs w:val="28"/>
          <w:highlight w:val="none"/>
        </w:rPr>
      </w:pPr>
      <w:bookmarkStart w:id="19" w:name="_Toc28359007"/>
      <w:bookmarkStart w:id="20" w:name="_Toc35393794"/>
      <w:bookmarkStart w:id="21" w:name="_Toc28359084"/>
      <w:bookmarkStart w:id="22" w:name="_Toc35393625"/>
      <w:r>
        <w:rPr>
          <w:rFonts w:hint="eastAsia" w:ascii="仿宋" w:hAnsi="仿宋" w:eastAsia="仿宋" w:cs="仿宋"/>
          <w:bCs/>
          <w:sz w:val="28"/>
          <w:szCs w:val="28"/>
        </w:rPr>
        <w:t>投标截止时间、开标时间：2026年</w:t>
      </w:r>
      <w:r>
        <w:rPr>
          <w:rFonts w:hint="eastAsia" w:ascii="仿宋" w:hAnsi="仿宋" w:eastAsia="仿宋" w:cs="仿宋"/>
          <w:bCs/>
          <w:sz w:val="28"/>
          <w:szCs w:val="28"/>
          <w:lang w:val="en-US" w:eastAsia="zh-CN"/>
        </w:rPr>
        <w:t>8</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31</w:t>
      </w:r>
      <w:r>
        <w:rPr>
          <w:rFonts w:hint="eastAsia" w:ascii="仿宋" w:hAnsi="仿宋" w:eastAsia="仿宋" w:cs="仿宋"/>
          <w:bCs/>
          <w:sz w:val="28"/>
          <w:szCs w:val="28"/>
        </w:rPr>
        <w:t>日</w:t>
      </w:r>
      <w:r>
        <w:rPr>
          <w:rFonts w:hint="eastAsia" w:ascii="仿宋" w:hAnsi="仿宋" w:eastAsia="仿宋" w:cs="仿宋"/>
          <w:bCs/>
          <w:sz w:val="28"/>
          <w:szCs w:val="28"/>
          <w:lang w:val="en-US" w:eastAsia="zh-CN"/>
        </w:rPr>
        <w:t>09</w:t>
      </w:r>
      <w:bookmarkStart w:id="29" w:name="_GoBack"/>
      <w:bookmarkEnd w:id="29"/>
      <w:r>
        <w:rPr>
          <w:rFonts w:hint="eastAsia" w:ascii="仿宋" w:hAnsi="仿宋" w:eastAsia="仿宋" w:cs="仿宋"/>
          <w:bCs/>
          <w:sz w:val="28"/>
          <w:szCs w:val="28"/>
        </w:rPr>
        <w:t>点30分（北京时间）</w:t>
      </w:r>
      <w:r>
        <w:rPr>
          <w:rFonts w:hint="eastAsia" w:ascii="仿宋" w:hAnsi="仿宋" w:eastAsia="仿宋" w:cs="仿宋"/>
          <w:bCs/>
          <w:sz w:val="28"/>
          <w:szCs w:val="28"/>
          <w:highlight w:val="none"/>
        </w:rPr>
        <w:t>。</w:t>
      </w:r>
    </w:p>
    <w:p w14:paraId="143BE43D">
      <w:pPr>
        <w:spacing w:line="360" w:lineRule="auto"/>
        <w:ind w:firstLine="420" w:firstLineChars="150"/>
        <w:rPr>
          <w:rFonts w:hint="eastAsia" w:ascii="仿宋" w:hAnsi="仿宋" w:eastAsia="仿宋" w:cs="仿宋"/>
          <w:bCs/>
          <w:sz w:val="28"/>
          <w:szCs w:val="28"/>
          <w:highlight w:val="none"/>
        </w:rPr>
      </w:pPr>
      <w:r>
        <w:rPr>
          <w:rFonts w:hint="eastAsia" w:ascii="仿宋" w:hAnsi="仿宋" w:eastAsia="仿宋" w:cs="仿宋"/>
          <w:bCs/>
          <w:sz w:val="28"/>
          <w:szCs w:val="28"/>
          <w:highlight w:val="none"/>
        </w:rPr>
        <w:t>地点：</w:t>
      </w:r>
      <w:r>
        <w:rPr>
          <w:rFonts w:hint="eastAsia" w:ascii="仿宋" w:hAnsi="仿宋" w:eastAsia="仿宋" w:cs="仿宋"/>
          <w:bCs/>
          <w:sz w:val="28"/>
          <w:szCs w:val="28"/>
          <w:highlight w:val="none"/>
          <w:lang w:val="en-US" w:eastAsia="zh-CN"/>
        </w:rPr>
        <w:t>北京国际贸易有限公司（</w:t>
      </w:r>
      <w:r>
        <w:rPr>
          <w:rFonts w:hint="eastAsia" w:ascii="仿宋" w:hAnsi="仿宋" w:eastAsia="仿宋" w:cs="仿宋"/>
          <w:bCs/>
          <w:sz w:val="28"/>
          <w:szCs w:val="28"/>
          <w:highlight w:val="none"/>
        </w:rPr>
        <w:t>北京市朝阳区建国门外大街甲3号</w:t>
      </w:r>
      <w:r>
        <w:rPr>
          <w:rFonts w:hint="eastAsia" w:ascii="仿宋" w:hAnsi="仿宋" w:eastAsia="仿宋" w:cs="仿宋"/>
          <w:bCs/>
          <w:sz w:val="28"/>
          <w:szCs w:val="28"/>
          <w:highlight w:val="none"/>
          <w:lang w:val="en-US" w:eastAsia="zh-CN"/>
        </w:rPr>
        <w:t>）</w:t>
      </w:r>
      <w:r>
        <w:rPr>
          <w:rFonts w:hint="eastAsia" w:ascii="仿宋" w:hAnsi="仿宋" w:eastAsia="仿宋" w:cs="仿宋"/>
          <w:bCs/>
          <w:sz w:val="28"/>
          <w:szCs w:val="28"/>
          <w:highlight w:val="none"/>
        </w:rPr>
        <w:t>。</w:t>
      </w:r>
    </w:p>
    <w:p w14:paraId="51F50E26">
      <w:pPr>
        <w:spacing w:line="360" w:lineRule="auto"/>
        <w:ind w:firstLine="420" w:firstLineChars="150"/>
        <w:rPr>
          <w:rFonts w:hint="eastAsia" w:ascii="仿宋" w:hAnsi="仿宋" w:eastAsia="仿宋" w:cs="仿宋"/>
          <w:bCs/>
          <w:sz w:val="28"/>
          <w:szCs w:val="28"/>
        </w:rPr>
      </w:pPr>
    </w:p>
    <w:p w14:paraId="56E1BB06">
      <w:pPr>
        <w:rPr>
          <w:rFonts w:ascii="仿宋" w:hAnsi="仿宋" w:eastAsia="仿宋" w:cs="仿宋"/>
          <w:sz w:val="28"/>
          <w:szCs w:val="28"/>
        </w:rPr>
      </w:pPr>
      <w:r>
        <w:rPr>
          <w:rFonts w:hint="eastAsia" w:ascii="仿宋" w:hAnsi="仿宋" w:eastAsia="仿宋" w:cs="仿宋"/>
          <w:sz w:val="28"/>
          <w:szCs w:val="28"/>
        </w:rPr>
        <w:t>五、公告期限</w:t>
      </w:r>
      <w:bookmarkEnd w:id="19"/>
      <w:bookmarkEnd w:id="20"/>
      <w:bookmarkEnd w:id="21"/>
      <w:bookmarkEnd w:id="22"/>
    </w:p>
    <w:p w14:paraId="404CEDC5">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自本公告发布之日起5个工作日。</w:t>
      </w:r>
    </w:p>
    <w:p w14:paraId="67462528">
      <w:pPr>
        <w:pStyle w:val="4"/>
        <w:numPr>
          <w:ilvl w:val="0"/>
          <w:numId w:val="1"/>
        </w:numPr>
        <w:spacing w:line="240" w:lineRule="auto"/>
        <w:rPr>
          <w:rFonts w:ascii="仿宋" w:hAnsi="仿宋" w:eastAsia="仿宋" w:cs="仿宋"/>
          <w:kern w:val="0"/>
          <w:sz w:val="28"/>
          <w:szCs w:val="28"/>
        </w:rPr>
      </w:pPr>
      <w:bookmarkStart w:id="23" w:name="_Toc35393626"/>
      <w:bookmarkStart w:id="24" w:name="_Toc35393795"/>
      <w:r>
        <w:rPr>
          <w:rFonts w:hint="eastAsia" w:ascii="仿宋" w:hAnsi="仿宋" w:eastAsia="仿宋" w:cs="仿宋"/>
          <w:b w:val="0"/>
          <w:sz w:val="28"/>
          <w:szCs w:val="28"/>
        </w:rPr>
        <w:t>其他补充事宜</w:t>
      </w:r>
      <w:bookmarkEnd w:id="23"/>
      <w:bookmarkEnd w:id="24"/>
      <w:bookmarkStart w:id="25" w:name="_Toc28359008"/>
      <w:bookmarkStart w:id="26" w:name="_Toc35393627"/>
      <w:bookmarkStart w:id="27" w:name="_Toc35393796"/>
      <w:bookmarkStart w:id="28" w:name="_Toc28359085"/>
    </w:p>
    <w:p w14:paraId="79B95E86">
      <w:pPr>
        <w:spacing w:line="360" w:lineRule="auto"/>
        <w:ind w:left="480" w:hanging="560" w:hangingChars="200"/>
        <w:rPr>
          <w:rFonts w:hint="eastAsia" w:ascii="仿宋" w:hAnsi="仿宋" w:eastAsia="仿宋" w:cs="仿宋"/>
          <w:color w:val="auto"/>
          <w:sz w:val="22"/>
          <w:szCs w:val="22"/>
          <w:highlight w:val="none"/>
          <w:lang w:eastAsia="zh-CN"/>
        </w:rPr>
      </w:pPr>
      <w:r>
        <w:rPr>
          <w:rFonts w:hint="eastAsia" w:ascii="仿宋" w:hAnsi="仿宋" w:eastAsia="仿宋" w:cs="仿宋"/>
          <w:color w:val="auto"/>
          <w:sz w:val="28"/>
          <w:szCs w:val="22"/>
          <w:highlight w:val="none"/>
          <w:lang w:eastAsia="zh-CN"/>
        </w:rPr>
        <w:t>1. 本项目需要落实的政府采购政策：促进中小企业发展政策、监狱企业扶持政策、促进残疾人就业政府采购政策、鼓励节能、环保政策、</w:t>
      </w:r>
      <w:r>
        <w:rPr>
          <w:rFonts w:hint="eastAsia" w:ascii="仿宋" w:hAnsi="仿宋" w:eastAsia="仿宋" w:cs="仿宋"/>
          <w:color w:val="auto"/>
          <w:sz w:val="28"/>
          <w:szCs w:val="28"/>
          <w:highlight w:val="none"/>
          <w:shd w:val="clear" w:color="auto" w:fill="FFFFFF"/>
          <w:lang w:eastAsia="zh-CN"/>
        </w:rPr>
        <w:t>实施本国产品标准及相关政策等</w:t>
      </w:r>
      <w:r>
        <w:rPr>
          <w:rFonts w:hint="eastAsia" w:ascii="仿宋" w:hAnsi="仿宋" w:eastAsia="仿宋" w:cs="仿宋"/>
          <w:color w:val="auto"/>
          <w:sz w:val="28"/>
          <w:szCs w:val="22"/>
          <w:highlight w:val="none"/>
          <w:lang w:eastAsia="zh-CN"/>
        </w:rPr>
        <w:t>。</w:t>
      </w:r>
      <w:r>
        <w:rPr>
          <w:rFonts w:hint="eastAsia" w:ascii="仿宋" w:hAnsi="仿宋" w:eastAsia="仿宋" w:cs="仿宋"/>
          <w:color w:val="auto"/>
          <w:sz w:val="28"/>
          <w:szCs w:val="22"/>
          <w:highlight w:val="none"/>
        </w:rPr>
        <w:t xml:space="preserve">具体落实情况详见招标文件。 </w:t>
      </w:r>
    </w:p>
    <w:p w14:paraId="12D1A2E2">
      <w:pPr>
        <w:pStyle w:val="5"/>
        <w:keepNext w:val="0"/>
        <w:keepLines w:val="0"/>
        <w:pageBreakBefore w:val="0"/>
        <w:numPr>
          <w:ilvl w:val="0"/>
          <w:numId w:val="2"/>
        </w:numPr>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申请人的资格要求补充： </w:t>
      </w:r>
    </w:p>
    <w:p w14:paraId="04B9C58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（1）被“信用中国”网站（www.creditchina.gov.cn）列入失信被执行人和重大税收违法案件当事人名单的、被“中国政府采购网”网站（www.ccgp.gov.cn）列入政</w:t>
      </w:r>
    </w:p>
    <w:p w14:paraId="630309F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府采购严重违法失信行为记录名单（处罚期限尚未届满的）的供应商，不得参与本项目的政府采购活动。 </w:t>
      </w:r>
    </w:p>
    <w:p w14:paraId="2A57429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（2）单位负责人为同一人或者存在直接控股、管理关系的不同供应商，不得参加同一包的投标或者未划分包的同一招标项目的投标。 </w:t>
      </w:r>
    </w:p>
    <w:p w14:paraId="3D51D50E">
      <w:pPr>
        <w:pStyle w:val="5"/>
        <w:keepNext w:val="0"/>
        <w:keepLines w:val="0"/>
        <w:pageBreakBefore w:val="0"/>
        <w:numPr>
          <w:ilvl w:val="0"/>
          <w:numId w:val="3"/>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本条所指单位负责人为同一人指单位法定代表人或者法律、行政法规规定代表单位行使职权的主要负责人。 </w:t>
      </w:r>
    </w:p>
    <w:p w14:paraId="3CD41F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2) 本条所指控股关系指单位或股东的控股关系。控股股东指：</w:t>
      </w:r>
    </w:p>
    <w:p w14:paraId="0C48F7C2">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a.出资额占有限责任公司资本总额百分之五十以上或者其持有的股份占股份有限公司股本总额百分之五十以上的股东； </w:t>
      </w:r>
    </w:p>
    <w:p w14:paraId="432D3E56">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b.出资额或者持有股份的比例不足百分之五十，但其出资额或者持有的股份所享有的表决权已足以对股东会、股东大会的决议产生重大影响的股东。 </w:t>
      </w:r>
    </w:p>
    <w:p w14:paraId="0A013CBE">
      <w:pPr>
        <w:pStyle w:val="5"/>
        <w:keepNext w:val="0"/>
        <w:keepLines w:val="0"/>
        <w:pageBreakBefore w:val="0"/>
        <w:numPr>
          <w:ilvl w:val="0"/>
          <w:numId w:val="4"/>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本条所指管理关系指不具有出资持股关系的其他单位之间存在的管理与被管理关系。 </w:t>
      </w:r>
    </w:p>
    <w:p w14:paraId="7F272B07">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注：本条所指的控股、管理关系仅限于直接控股、直接管理关系，不包括间接控</w:t>
      </w:r>
    </w:p>
    <w:p w14:paraId="2F35519D">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股或管理关系。 </w:t>
      </w:r>
    </w:p>
    <w:p w14:paraId="7B8BAA27">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（3）为本采购项目提供过整体设计、规范编制或者项目管理、监理、检测等服务的供</w:t>
      </w:r>
    </w:p>
    <w:p w14:paraId="0AF12E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应商及其附属机构，不得再参加本采购项目的投标活动。 </w:t>
      </w:r>
    </w:p>
    <w:p w14:paraId="7964FF99">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（4）按照招标公告要求获取了招标文件。 </w:t>
      </w:r>
    </w:p>
    <w:p w14:paraId="48AB4B9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（5）符合法律、行政法规规定的其他要求。</w:t>
      </w:r>
    </w:p>
    <w:p w14:paraId="1DE46EE0">
      <w:pPr>
        <w:keepNext w:val="0"/>
        <w:keepLines w:val="0"/>
        <w:pageBreakBefore w:val="0"/>
        <w:tabs>
          <w:tab w:val="left" w:pos="3469"/>
          <w:tab w:val="left" w:pos="5579"/>
          <w:tab w:val="left" w:pos="8166"/>
        </w:tabs>
        <w:kinsoku/>
        <w:wordWrap/>
        <w:overflowPunct/>
        <w:topLinePunct w:val="0"/>
        <w:autoSpaceDE/>
        <w:autoSpaceDN/>
        <w:bidi w:val="0"/>
        <w:spacing w:line="360" w:lineRule="auto"/>
        <w:ind w:right="169"/>
        <w:textAlignment w:val="auto"/>
        <w:rPr>
          <w:rFonts w:hint="eastAsia" w:ascii="仿宋" w:hAnsi="仿宋" w:eastAsia="仿宋" w:cs="仿宋"/>
          <w:i/>
          <w:color w:val="auto"/>
          <w:sz w:val="28"/>
          <w:szCs w:val="28"/>
          <w:highlight w:val="none"/>
          <w:lang w:eastAsia="zh-CN"/>
        </w:rPr>
      </w:pPr>
      <w:r>
        <w:rPr>
          <w:rFonts w:hint="eastAsia" w:ascii="仿宋" w:hAnsi="仿宋" w:eastAsia="仿宋" w:cs="仿宋"/>
          <w:color w:val="auto"/>
          <w:sz w:val="28"/>
          <w:szCs w:val="28"/>
          <w:highlight w:val="none"/>
          <w:lang w:eastAsia="zh-CN"/>
        </w:rPr>
        <w:t>3.本次招标供应商必须以包为单位进行投标响应，评标和合同授予也以包为单位。</w:t>
      </w:r>
    </w:p>
    <w:p w14:paraId="139D9F3B">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w:t>
      </w:r>
      <w:r>
        <w:rPr>
          <w:rFonts w:hint="eastAsia" w:ascii="仿宋" w:hAnsi="仿宋" w:eastAsia="仿宋" w:cs="仿宋"/>
          <w:b/>
          <w:bCs/>
          <w:color w:val="auto"/>
          <w:sz w:val="28"/>
          <w:szCs w:val="28"/>
          <w:highlight w:val="none"/>
          <w:lang w:eastAsia="zh-CN" w:bidi="ar"/>
        </w:rPr>
        <w:t>本项目采用全流程电子化招标方式</w:t>
      </w:r>
      <w:r>
        <w:rPr>
          <w:rFonts w:hint="eastAsia" w:ascii="仿宋" w:hAnsi="仿宋" w:eastAsia="仿宋" w:cs="仿宋"/>
          <w:b/>
          <w:bCs/>
          <w:color w:val="auto"/>
          <w:sz w:val="28"/>
          <w:szCs w:val="28"/>
          <w:highlight w:val="none"/>
          <w:lang w:eastAsia="zh-CN"/>
        </w:rPr>
        <w:t>，</w:t>
      </w:r>
      <w:r>
        <w:rPr>
          <w:rFonts w:hint="eastAsia" w:ascii="仿宋" w:hAnsi="仿宋" w:eastAsia="仿宋" w:cs="仿宋"/>
          <w:color w:val="auto"/>
          <w:sz w:val="28"/>
          <w:szCs w:val="28"/>
          <w:highlight w:val="none"/>
          <w:lang w:eastAsia="zh-CN"/>
        </w:rPr>
        <w:t>请供应商认真学习北京市政府采购电子交易平台发布的相关操作手册（供应商可在交易平台下载相关手册），办理</w:t>
      </w:r>
      <w:r>
        <w:rPr>
          <w:rFonts w:hint="eastAsia" w:ascii="仿宋" w:hAnsi="仿宋" w:eastAsia="仿宋" w:cs="仿宋"/>
          <w:color w:val="auto"/>
          <w:w w:val="85"/>
          <w:sz w:val="28"/>
          <w:szCs w:val="28"/>
          <w:highlight w:val="none"/>
          <w:lang w:eastAsia="zh-CN"/>
        </w:rPr>
        <w:t>C</w:t>
      </w:r>
      <w:r>
        <w:rPr>
          <w:rFonts w:hint="eastAsia" w:ascii="仿宋" w:hAnsi="仿宋" w:eastAsia="仿宋" w:cs="仿宋"/>
          <w:color w:val="auto"/>
          <w:w w:val="92"/>
          <w:sz w:val="28"/>
          <w:szCs w:val="28"/>
          <w:highlight w:val="none"/>
          <w:lang w:eastAsia="zh-CN"/>
        </w:rPr>
        <w:t>A</w:t>
      </w:r>
      <w:r>
        <w:rPr>
          <w:rFonts w:hint="eastAsia" w:ascii="仿宋" w:hAnsi="仿宋" w:eastAsia="仿宋" w:cs="仿宋"/>
          <w:color w:val="auto"/>
          <w:sz w:val="28"/>
          <w:szCs w:val="28"/>
          <w:highlight w:val="none"/>
          <w:lang w:eastAsia="zh-CN"/>
        </w:rPr>
        <w:t>数字证书或电子营业执照、进行北京市政府采购电子交易平台注册绑定，并认真核实CA数字证书或电子营业执照情况确认是否符合本项目电子化采购流程要求。</w:t>
      </w:r>
    </w:p>
    <w:p w14:paraId="0981CAC1">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CA 数字证书服务热线 010-58511086</w:t>
      </w:r>
    </w:p>
    <w:p w14:paraId="29B0B924">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电子营业执照服务热线  400-699-7000</w:t>
      </w:r>
    </w:p>
    <w:p w14:paraId="178AB631">
      <w:pPr>
        <w:pStyle w:val="5"/>
        <w:keepNext w:val="0"/>
        <w:keepLines w:val="0"/>
        <w:pageBreakBefore w:val="0"/>
        <w:tabs>
          <w:tab w:val="left" w:pos="3001"/>
        </w:tabs>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技术支持服务热线  010-86483801</w:t>
      </w:r>
    </w:p>
    <w:p w14:paraId="4F7DF2DB">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4.1 办理 CA 数字证书或电子营业执照</w:t>
      </w:r>
    </w:p>
    <w:p w14:paraId="4CE91BF0">
      <w:pPr>
        <w:pStyle w:val="5"/>
        <w:keepNext w:val="0"/>
        <w:keepLines w:val="0"/>
        <w:pageBreakBefore w:val="0"/>
        <w:kinsoku/>
        <w:wordWrap/>
        <w:overflowPunct/>
        <w:topLinePunct w:val="0"/>
        <w:autoSpaceDE/>
        <w:autoSpaceDN/>
        <w:bidi w:val="0"/>
        <w:spacing w:after="0" w:line="360" w:lineRule="auto"/>
        <w:ind w:right="464"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供应商登录北京市政府采购电子交易平台查阅 “用户指南”—“操作指南”—“市场主体 CA 办理操作流程指引”/“电子营业执照使用指南”，按照程序要求办理。</w:t>
      </w:r>
    </w:p>
    <w:p w14:paraId="67E6B6CE">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4.2 注册</w:t>
      </w:r>
    </w:p>
    <w:p w14:paraId="782F0BF5">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供应商登录北京市政府采购电子交易平台“用户指南”—“操作指南”—“市</w:t>
      </w:r>
    </w:p>
    <w:p w14:paraId="176AC094">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场主体注册入库操作流程指引”进行自助注册绑定。</w:t>
      </w:r>
    </w:p>
    <w:p w14:paraId="6F60631A">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4.3 驱动、客户端下载</w:t>
      </w:r>
    </w:p>
    <w:p w14:paraId="01CF06F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供应商登录北京市政府采购电子交易平台“用户指南”—“工具下载”—“招</w:t>
      </w:r>
    </w:p>
    <w:p w14:paraId="0947FB18">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标采购系统文件驱动安装包”下载相关驱动。</w:t>
      </w:r>
    </w:p>
    <w:p w14:paraId="1B02BAE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供应商登录北京市政府采购电子交易平台“用户指南”—“工具下载”—“投</w:t>
      </w:r>
    </w:p>
    <w:p w14:paraId="25CC02AD">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标文件编制工具”下载相关客户端。</w:t>
      </w:r>
    </w:p>
    <w:p w14:paraId="1C4EC74C">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4.4 获取电子招标文件</w:t>
      </w:r>
    </w:p>
    <w:p w14:paraId="71A07B9F">
      <w:pPr>
        <w:pStyle w:val="5"/>
        <w:keepNext w:val="0"/>
        <w:keepLines w:val="0"/>
        <w:pageBreakBefore w:val="0"/>
        <w:kinsoku/>
        <w:wordWrap/>
        <w:overflowPunct/>
        <w:topLinePunct w:val="0"/>
        <w:autoSpaceDE/>
        <w:autoSpaceDN/>
        <w:bidi w:val="0"/>
        <w:spacing w:after="0" w:line="360" w:lineRule="auto"/>
        <w:ind w:left="121" w:right="147"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供应商使用 CA 数字证书或电子营业执照登录北京市政府采购电子交易平台获取电子招标文件。</w:t>
      </w:r>
    </w:p>
    <w:p w14:paraId="022A65F4">
      <w:pPr>
        <w:pStyle w:val="5"/>
        <w:keepNext w:val="0"/>
        <w:keepLines w:val="0"/>
        <w:pageBreakBefore w:val="0"/>
        <w:kinsoku/>
        <w:wordWrap/>
        <w:overflowPunct/>
        <w:topLinePunct w:val="0"/>
        <w:autoSpaceDE/>
        <w:autoSpaceDN/>
        <w:bidi w:val="0"/>
        <w:spacing w:after="0" w:line="360" w:lineRule="auto"/>
        <w:ind w:left="121" w:right="303" w:firstLine="479"/>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仿宋" w:hAnsi="仿宋" w:eastAsia="仿宋" w:cs="仿宋"/>
          <w:b/>
          <w:bCs/>
          <w:color w:val="auto"/>
          <w:sz w:val="28"/>
          <w:szCs w:val="28"/>
          <w:highlight w:val="none"/>
          <w:lang w:eastAsia="zh-CN"/>
        </w:rPr>
        <w:t>投标无效</w:t>
      </w:r>
      <w:r>
        <w:rPr>
          <w:rFonts w:hint="eastAsia" w:ascii="仿宋" w:hAnsi="仿宋" w:eastAsia="仿宋" w:cs="仿宋"/>
          <w:color w:val="auto"/>
          <w:sz w:val="28"/>
          <w:szCs w:val="28"/>
          <w:highlight w:val="none"/>
          <w:lang w:eastAsia="zh-CN"/>
        </w:rPr>
        <w:t>。</w:t>
      </w:r>
    </w:p>
    <w:p w14:paraId="637A8A1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4.5 编制电子投标文件</w:t>
      </w:r>
    </w:p>
    <w:p w14:paraId="3BD52363">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供应商应使用电子投标客户端编制电子投标文件并进行线上投标，供应商电子投标文件需要加密并加盖电子签章</w:t>
      </w:r>
      <w:r>
        <w:rPr>
          <w:rFonts w:hint="eastAsia" w:ascii="仿宋" w:hAnsi="仿宋" w:eastAsia="仿宋" w:cs="仿宋"/>
          <w:bCs/>
          <w:color w:val="auto"/>
          <w:sz w:val="28"/>
          <w:szCs w:val="28"/>
          <w:highlight w:val="none"/>
          <w:lang w:eastAsia="zh-CN" w:bidi="ar"/>
        </w:rPr>
        <w:t>，如无法按照要求在电子投标文件中加盖电子签章和加密，请及时通过技术支持服务热线联系技术人员</w:t>
      </w:r>
      <w:r>
        <w:rPr>
          <w:rFonts w:hint="eastAsia" w:ascii="仿宋" w:hAnsi="仿宋" w:eastAsia="仿宋" w:cs="仿宋"/>
          <w:color w:val="auto"/>
          <w:sz w:val="28"/>
          <w:szCs w:val="28"/>
          <w:highlight w:val="none"/>
          <w:lang w:eastAsia="zh-CN" w:bidi="ar"/>
        </w:rPr>
        <w:t>。</w:t>
      </w:r>
    </w:p>
    <w:p w14:paraId="53259AD9">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val="zh-TW" w:eastAsia="zh-CN"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TW" w:bidi="ar"/>
        </w:rPr>
        <w:t>.6</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提交电子投标文件</w:t>
      </w:r>
    </w:p>
    <w:p w14:paraId="449F3D0C">
      <w:pPr>
        <w:keepNext w:val="0"/>
        <w:keepLines w:val="0"/>
        <w:pageBreakBefore w:val="0"/>
        <w:widowControl/>
        <w:kinsoku/>
        <w:wordWrap/>
        <w:overflowPunct/>
        <w:topLinePunct w:val="0"/>
        <w:autoSpaceDE/>
        <w:autoSpaceDN/>
        <w:bidi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供应商应于投标截止时间前在北京市政府采购电子交易平台提交电子投标文件，上传电子投标文件过程中请保持与互联网的连接畅通。</w:t>
      </w:r>
    </w:p>
    <w:p w14:paraId="01416AD7">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eastAsia="zh-TW"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CN" w:bidi="ar"/>
        </w:rPr>
        <w:t>.</w:t>
      </w:r>
      <w:r>
        <w:rPr>
          <w:rFonts w:hint="eastAsia" w:ascii="仿宋" w:hAnsi="仿宋" w:eastAsia="仿宋" w:cs="仿宋"/>
          <w:color w:val="auto"/>
          <w:sz w:val="28"/>
          <w:szCs w:val="28"/>
          <w:highlight w:val="none"/>
          <w:lang w:val="zh-TW" w:eastAsia="zh-TW" w:bidi="ar"/>
        </w:rPr>
        <w:t>7</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电子开标</w:t>
      </w:r>
    </w:p>
    <w:p w14:paraId="2F13E979">
      <w:pPr>
        <w:pStyle w:val="5"/>
        <w:keepNext w:val="0"/>
        <w:keepLines w:val="0"/>
        <w:pageBreakBefore w:val="0"/>
        <w:kinsoku/>
        <w:wordWrap/>
        <w:overflowPunct/>
        <w:topLinePunct w:val="0"/>
        <w:autoSpaceDE/>
        <w:autoSpaceDN/>
        <w:bidi w:val="0"/>
        <w:spacing w:after="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zh-TW" w:eastAsia="zh-CN" w:bidi="ar"/>
        </w:rPr>
        <w:t>供应商在开标地点使用</w:t>
      </w:r>
      <w:r>
        <w:rPr>
          <w:rFonts w:hint="eastAsia" w:ascii="仿宋" w:hAnsi="仿宋" w:eastAsia="仿宋" w:cs="仿宋"/>
          <w:color w:val="auto"/>
          <w:sz w:val="28"/>
          <w:szCs w:val="28"/>
          <w:highlight w:val="none"/>
          <w:lang w:eastAsia="zh-CN" w:bidi="ar"/>
        </w:rPr>
        <w:t>CA认证证书</w:t>
      </w:r>
      <w:r>
        <w:rPr>
          <w:rFonts w:hint="eastAsia" w:ascii="仿宋" w:hAnsi="仿宋" w:eastAsia="仿宋" w:cs="仿宋"/>
          <w:color w:val="auto"/>
          <w:sz w:val="28"/>
          <w:szCs w:val="28"/>
          <w:highlight w:val="none"/>
          <w:lang w:val="zh-TW" w:eastAsia="zh-CN" w:bidi="ar"/>
        </w:rPr>
        <w:t>登录</w:t>
      </w:r>
      <w:r>
        <w:rPr>
          <w:rFonts w:hint="eastAsia" w:ascii="仿宋" w:hAnsi="仿宋" w:eastAsia="仿宋" w:cs="仿宋"/>
          <w:color w:val="auto"/>
          <w:sz w:val="28"/>
          <w:szCs w:val="28"/>
          <w:highlight w:val="none"/>
          <w:lang w:eastAsia="zh-CN" w:bidi="ar"/>
        </w:rPr>
        <w:t>北京市政府采购电子交易平台进行电子开标</w:t>
      </w:r>
      <w:r>
        <w:rPr>
          <w:rFonts w:hint="eastAsia" w:ascii="仿宋" w:hAnsi="仿宋" w:eastAsia="仿宋" w:cs="仿宋"/>
          <w:color w:val="auto"/>
          <w:sz w:val="28"/>
          <w:szCs w:val="28"/>
          <w:highlight w:val="none"/>
          <w:lang w:val="zh-TW" w:eastAsia="zh-CN" w:bidi="ar"/>
        </w:rPr>
        <w:t>。</w:t>
      </w:r>
    </w:p>
    <w:p w14:paraId="0E201EF2">
      <w:pPr>
        <w:tabs>
          <w:tab w:val="left" w:pos="360"/>
          <w:tab w:val="left" w:pos="794"/>
        </w:tabs>
        <w:spacing w:before="156" w:beforeLines="50" w:line="360" w:lineRule="auto"/>
        <w:jc w:val="left"/>
        <w:rPr>
          <w:rFonts w:ascii="仿宋" w:hAnsi="仿宋" w:eastAsia="仿宋" w:cs="仿宋"/>
          <w:sz w:val="28"/>
          <w:szCs w:val="28"/>
        </w:rPr>
      </w:pPr>
      <w:r>
        <w:rPr>
          <w:rFonts w:hint="eastAsia" w:ascii="仿宋" w:hAnsi="仿宋" w:eastAsia="仿宋" w:cs="仿宋"/>
          <w:sz w:val="28"/>
          <w:szCs w:val="28"/>
        </w:rPr>
        <w:t>七、对本次招标提出询问，请按以下方式联系。</w:t>
      </w:r>
      <w:bookmarkEnd w:id="25"/>
      <w:bookmarkEnd w:id="26"/>
      <w:bookmarkEnd w:id="27"/>
      <w:bookmarkEnd w:id="28"/>
    </w:p>
    <w:p w14:paraId="2C78D328">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1.采购人信息</w:t>
      </w:r>
    </w:p>
    <w:p w14:paraId="28FCA8A7">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称：首都医科大学附属北京朝阳医院</w:t>
      </w:r>
    </w:p>
    <w:p w14:paraId="4BC84F7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址：北京市朝阳区工体南路8号</w:t>
      </w:r>
    </w:p>
    <w:p w14:paraId="06EAE1F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联系方式：010-85231430</w:t>
      </w:r>
    </w:p>
    <w:p w14:paraId="7AD6606F">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2.采购代理机构信息</w:t>
      </w:r>
    </w:p>
    <w:p w14:paraId="2480731D">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 xml:space="preserve">名  称：北京国际贸易有限公司 </w:t>
      </w:r>
    </w:p>
    <w:p w14:paraId="603A69D8">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址：北京市朝阳区建国门外大街甲3号</w:t>
      </w:r>
    </w:p>
    <w:p w14:paraId="02F0ED3E">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联系方式：010-85343456</w:t>
      </w:r>
    </w:p>
    <w:p w14:paraId="65C4560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3.项目联系方式</w:t>
      </w:r>
    </w:p>
    <w:p w14:paraId="093E83B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项目联系人：张娇、张珊、梁潇</w:t>
      </w:r>
    </w:p>
    <w:p w14:paraId="6C61FB2F">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电话：010-85343456、010-85343360</w:t>
      </w:r>
    </w:p>
    <w:p w14:paraId="16C7C80E">
      <w:pPr>
        <w:rPr>
          <w:rFonts w:hint="default" w:ascii="仿宋" w:hAnsi="仿宋" w:eastAsia="仿宋" w:cs="仿宋"/>
          <w:bCs/>
          <w:sz w:val="28"/>
          <w:szCs w:val="28"/>
          <w:u w:val="singl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3EE0393"/>
    <w:rsid w:val="03F36EDF"/>
    <w:rsid w:val="041C6F4E"/>
    <w:rsid w:val="044D466E"/>
    <w:rsid w:val="04923431"/>
    <w:rsid w:val="04B24EC3"/>
    <w:rsid w:val="06475B39"/>
    <w:rsid w:val="07A54001"/>
    <w:rsid w:val="07FC3326"/>
    <w:rsid w:val="0854278F"/>
    <w:rsid w:val="090D2269"/>
    <w:rsid w:val="0AF376E5"/>
    <w:rsid w:val="0B3B3792"/>
    <w:rsid w:val="0B616D1D"/>
    <w:rsid w:val="0BA430E7"/>
    <w:rsid w:val="0E0B286D"/>
    <w:rsid w:val="0E4C6701"/>
    <w:rsid w:val="0FE614C3"/>
    <w:rsid w:val="103E71C0"/>
    <w:rsid w:val="12A51AA6"/>
    <w:rsid w:val="130E27A5"/>
    <w:rsid w:val="13400495"/>
    <w:rsid w:val="134C1D1E"/>
    <w:rsid w:val="13EA45AA"/>
    <w:rsid w:val="13F86009"/>
    <w:rsid w:val="141D78B9"/>
    <w:rsid w:val="15065107"/>
    <w:rsid w:val="158C674C"/>
    <w:rsid w:val="17CF0DE0"/>
    <w:rsid w:val="18335BC8"/>
    <w:rsid w:val="19536C7D"/>
    <w:rsid w:val="19F03C9C"/>
    <w:rsid w:val="1A3C3D20"/>
    <w:rsid w:val="1B0442B0"/>
    <w:rsid w:val="1B4048D1"/>
    <w:rsid w:val="1B866B59"/>
    <w:rsid w:val="1C4972F3"/>
    <w:rsid w:val="1CCA710D"/>
    <w:rsid w:val="1E1411A7"/>
    <w:rsid w:val="1ED35AA3"/>
    <w:rsid w:val="1EE17DC8"/>
    <w:rsid w:val="1FE00058"/>
    <w:rsid w:val="205C14B5"/>
    <w:rsid w:val="2113111A"/>
    <w:rsid w:val="21457417"/>
    <w:rsid w:val="2224601B"/>
    <w:rsid w:val="230456A7"/>
    <w:rsid w:val="239B2179"/>
    <w:rsid w:val="250F7ADC"/>
    <w:rsid w:val="256C4FCA"/>
    <w:rsid w:val="25B76FF0"/>
    <w:rsid w:val="25F33BB6"/>
    <w:rsid w:val="25FF1B34"/>
    <w:rsid w:val="26AD7506"/>
    <w:rsid w:val="27401BB2"/>
    <w:rsid w:val="285212FE"/>
    <w:rsid w:val="291C4B35"/>
    <w:rsid w:val="2A874528"/>
    <w:rsid w:val="2BCA04EF"/>
    <w:rsid w:val="2EC63CEE"/>
    <w:rsid w:val="303E35CF"/>
    <w:rsid w:val="31886C6D"/>
    <w:rsid w:val="31F50738"/>
    <w:rsid w:val="3262685B"/>
    <w:rsid w:val="32627B42"/>
    <w:rsid w:val="329434F6"/>
    <w:rsid w:val="33526100"/>
    <w:rsid w:val="337E053C"/>
    <w:rsid w:val="33A1236A"/>
    <w:rsid w:val="34D07ED2"/>
    <w:rsid w:val="34DD22D5"/>
    <w:rsid w:val="3569702C"/>
    <w:rsid w:val="36151C5B"/>
    <w:rsid w:val="36A06E2F"/>
    <w:rsid w:val="36D81DC5"/>
    <w:rsid w:val="387B69BA"/>
    <w:rsid w:val="390377C3"/>
    <w:rsid w:val="3BB12B7C"/>
    <w:rsid w:val="3D0657A9"/>
    <w:rsid w:val="3D7344A5"/>
    <w:rsid w:val="3DA90D42"/>
    <w:rsid w:val="3F302C3B"/>
    <w:rsid w:val="40331F2C"/>
    <w:rsid w:val="40E6314D"/>
    <w:rsid w:val="40FD2E2B"/>
    <w:rsid w:val="425D1A0B"/>
    <w:rsid w:val="43CA6B8D"/>
    <w:rsid w:val="440700DA"/>
    <w:rsid w:val="459660BA"/>
    <w:rsid w:val="46050649"/>
    <w:rsid w:val="46AF7F09"/>
    <w:rsid w:val="46CA2B46"/>
    <w:rsid w:val="46D52298"/>
    <w:rsid w:val="48A87680"/>
    <w:rsid w:val="494E49AA"/>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86480E"/>
    <w:rsid w:val="52C23F57"/>
    <w:rsid w:val="52E47BFC"/>
    <w:rsid w:val="52EF249C"/>
    <w:rsid w:val="531E6325"/>
    <w:rsid w:val="53457C95"/>
    <w:rsid w:val="53A86942"/>
    <w:rsid w:val="53D23BDF"/>
    <w:rsid w:val="548D63DA"/>
    <w:rsid w:val="567B02F2"/>
    <w:rsid w:val="56C00491"/>
    <w:rsid w:val="5814071D"/>
    <w:rsid w:val="59413C36"/>
    <w:rsid w:val="594828CF"/>
    <w:rsid w:val="5A59165A"/>
    <w:rsid w:val="5B4857A8"/>
    <w:rsid w:val="5BC0634E"/>
    <w:rsid w:val="5C69757C"/>
    <w:rsid w:val="5D5B3753"/>
    <w:rsid w:val="5DBE13B2"/>
    <w:rsid w:val="5E127261"/>
    <w:rsid w:val="5F100B70"/>
    <w:rsid w:val="62AC0550"/>
    <w:rsid w:val="62CA27A3"/>
    <w:rsid w:val="63DB4629"/>
    <w:rsid w:val="643D1F77"/>
    <w:rsid w:val="64793376"/>
    <w:rsid w:val="65EE2A50"/>
    <w:rsid w:val="66940DD7"/>
    <w:rsid w:val="66A20D13"/>
    <w:rsid w:val="66DD3ED2"/>
    <w:rsid w:val="677A75D3"/>
    <w:rsid w:val="68DF504F"/>
    <w:rsid w:val="68E02922"/>
    <w:rsid w:val="69725190"/>
    <w:rsid w:val="69A54848"/>
    <w:rsid w:val="6A1157BB"/>
    <w:rsid w:val="6A373141"/>
    <w:rsid w:val="6B2262B4"/>
    <w:rsid w:val="6C3D7821"/>
    <w:rsid w:val="70E632A0"/>
    <w:rsid w:val="71EE7763"/>
    <w:rsid w:val="72B31FA9"/>
    <w:rsid w:val="72F23D89"/>
    <w:rsid w:val="73364194"/>
    <w:rsid w:val="73723423"/>
    <w:rsid w:val="74057A00"/>
    <w:rsid w:val="74294E24"/>
    <w:rsid w:val="74AE2CAA"/>
    <w:rsid w:val="750652A7"/>
    <w:rsid w:val="7506570B"/>
    <w:rsid w:val="7522503C"/>
    <w:rsid w:val="75B2173C"/>
    <w:rsid w:val="76A9682B"/>
    <w:rsid w:val="7747264E"/>
    <w:rsid w:val="77C65F49"/>
    <w:rsid w:val="78B910A6"/>
    <w:rsid w:val="793730E3"/>
    <w:rsid w:val="798538CB"/>
    <w:rsid w:val="798A03F3"/>
    <w:rsid w:val="7A4A0D23"/>
    <w:rsid w:val="7AE57ADF"/>
    <w:rsid w:val="7BD323FA"/>
    <w:rsid w:val="7C436FF0"/>
    <w:rsid w:val="7DAE0B2D"/>
    <w:rsid w:val="7DE9671E"/>
    <w:rsid w:val="7E6A7F71"/>
    <w:rsid w:val="7EA03372"/>
    <w:rsid w:val="7F3E66C8"/>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character" w:styleId="14">
    <w:name w:val="FollowedHyperlink"/>
    <w:basedOn w:val="12"/>
    <w:qFormat/>
    <w:uiPriority w:val="0"/>
    <w:rPr>
      <w:color w:val="2490F8"/>
      <w:u w:val="single"/>
    </w:rPr>
  </w:style>
  <w:style w:type="character" w:styleId="15">
    <w:name w:val="Hyperlink"/>
    <w:basedOn w:val="12"/>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2"/>
    <w:qFormat/>
    <w:uiPriority w:val="0"/>
    <w:rPr>
      <w:rFonts w:ascii="Tahoma" w:hAnsi="Tahoma" w:eastAsia="Tahoma" w:cs="Tahoma"/>
      <w:color w:val="000000"/>
      <w:sz w:val="22"/>
      <w:szCs w:val="22"/>
      <w:u w:val="none"/>
    </w:rPr>
  </w:style>
  <w:style w:type="character" w:customStyle="1" w:styleId="22">
    <w:name w:val="drapbtn"/>
    <w:basedOn w:val="12"/>
    <w:qFormat/>
    <w:uiPriority w:val="0"/>
  </w:style>
  <w:style w:type="character" w:customStyle="1" w:styleId="23">
    <w:name w:val="button"/>
    <w:basedOn w:val="12"/>
    <w:qFormat/>
    <w:uiPriority w:val="0"/>
  </w:style>
  <w:style w:type="character" w:customStyle="1" w:styleId="24">
    <w:name w:val="iconline2"/>
    <w:basedOn w:val="12"/>
    <w:qFormat/>
    <w:uiPriority w:val="0"/>
  </w:style>
  <w:style w:type="character" w:customStyle="1" w:styleId="25">
    <w:name w:val="icontext3"/>
    <w:basedOn w:val="12"/>
    <w:qFormat/>
    <w:uiPriority w:val="0"/>
  </w:style>
  <w:style w:type="character" w:customStyle="1" w:styleId="26">
    <w:name w:val="after"/>
    <w:basedOn w:val="12"/>
    <w:qFormat/>
    <w:uiPriority w:val="0"/>
    <w:rPr>
      <w:sz w:val="0"/>
      <w:szCs w:val="0"/>
    </w:rPr>
  </w:style>
  <w:style w:type="character" w:customStyle="1" w:styleId="27">
    <w:name w:val="pagechatarealistclose_box"/>
    <w:basedOn w:val="12"/>
    <w:qFormat/>
    <w:uiPriority w:val="0"/>
  </w:style>
  <w:style w:type="character" w:customStyle="1" w:styleId="28">
    <w:name w:val="pagechatarealistclose_box1"/>
    <w:basedOn w:val="12"/>
    <w:qFormat/>
    <w:uiPriority w:val="0"/>
  </w:style>
  <w:style w:type="character" w:customStyle="1" w:styleId="29">
    <w:name w:val="cy"/>
    <w:basedOn w:val="12"/>
    <w:qFormat/>
    <w:uiPriority w:val="0"/>
  </w:style>
  <w:style w:type="character" w:customStyle="1" w:styleId="30">
    <w:name w:val="hilite5"/>
    <w:basedOn w:val="12"/>
    <w:qFormat/>
    <w:uiPriority w:val="0"/>
    <w:rPr>
      <w:color w:val="FFFFFF"/>
      <w:shd w:val="clear" w:fill="666666"/>
    </w:rPr>
  </w:style>
  <w:style w:type="character" w:customStyle="1" w:styleId="31">
    <w:name w:val="layui-layer-tabnow"/>
    <w:basedOn w:val="12"/>
    <w:qFormat/>
    <w:uiPriority w:val="0"/>
    <w:rPr>
      <w:bdr w:val="single" w:color="CCCCCC" w:sz="6" w:space="0"/>
      <w:shd w:val="clear" w:fill="FFFFFF"/>
    </w:rPr>
  </w:style>
  <w:style w:type="character" w:customStyle="1" w:styleId="32">
    <w:name w:val="cdropright"/>
    <w:basedOn w:val="12"/>
    <w:qFormat/>
    <w:uiPriority w:val="0"/>
  </w:style>
  <w:style w:type="character" w:customStyle="1" w:styleId="33">
    <w:name w:val="ico1651"/>
    <w:basedOn w:val="12"/>
    <w:qFormat/>
    <w:uiPriority w:val="0"/>
  </w:style>
  <w:style w:type="character" w:customStyle="1" w:styleId="34">
    <w:name w:val="ico1652"/>
    <w:basedOn w:val="12"/>
    <w:qFormat/>
    <w:uiPriority w:val="0"/>
  </w:style>
  <w:style w:type="character" w:customStyle="1" w:styleId="35">
    <w:name w:val="associateddata"/>
    <w:basedOn w:val="12"/>
    <w:qFormat/>
    <w:uiPriority w:val="0"/>
    <w:rPr>
      <w:shd w:val="clear" w:fill="50A6F9"/>
    </w:rPr>
  </w:style>
  <w:style w:type="character" w:customStyle="1" w:styleId="36">
    <w:name w:val="cdropleft"/>
    <w:basedOn w:val="12"/>
    <w:qFormat/>
    <w:uiPriority w:val="0"/>
  </w:style>
  <w:style w:type="character" w:customStyle="1" w:styleId="37">
    <w:name w:val="active7"/>
    <w:basedOn w:val="12"/>
    <w:qFormat/>
    <w:uiPriority w:val="0"/>
    <w:rPr>
      <w:shd w:val="clear" w:fill="EC3535"/>
    </w:rPr>
  </w:style>
  <w:style w:type="character" w:customStyle="1" w:styleId="38">
    <w:name w:val="active8"/>
    <w:basedOn w:val="12"/>
    <w:qFormat/>
    <w:uiPriority w:val="0"/>
    <w:rPr>
      <w:color w:val="00FF00"/>
      <w:shd w:val="clear" w:fill="111111"/>
    </w:rPr>
  </w:style>
  <w:style w:type="character" w:customStyle="1" w:styleId="39">
    <w:name w:val="icontext2"/>
    <w:basedOn w:val="12"/>
    <w:qFormat/>
    <w:uiPriority w:val="0"/>
  </w:style>
  <w:style w:type="character" w:customStyle="1" w:styleId="40">
    <w:name w:val="tmpztreemove_arrow"/>
    <w:basedOn w:val="12"/>
    <w:qFormat/>
    <w:uiPriority w:val="0"/>
  </w:style>
  <w:style w:type="character" w:customStyle="1" w:styleId="41">
    <w:name w:val="icontext1"/>
    <w:basedOn w:val="12"/>
    <w:qFormat/>
    <w:uiPriority w:val="0"/>
  </w:style>
  <w:style w:type="character" w:customStyle="1" w:styleId="42">
    <w:name w:val="icontext11"/>
    <w:basedOn w:val="12"/>
    <w:qFormat/>
    <w:uiPriority w:val="0"/>
  </w:style>
  <w:style w:type="character" w:customStyle="1" w:styleId="43">
    <w:name w:val="icontext12"/>
    <w:basedOn w:val="12"/>
    <w:qFormat/>
    <w:uiPriority w:val="0"/>
  </w:style>
  <w:style w:type="character" w:customStyle="1" w:styleId="44">
    <w:name w:val="w32"/>
    <w:basedOn w:val="12"/>
    <w:qFormat/>
    <w:uiPriority w:val="0"/>
  </w:style>
  <w:style w:type="character" w:customStyle="1" w:styleId="45">
    <w:name w:val="first-child"/>
    <w:basedOn w:val="12"/>
    <w:qFormat/>
    <w:uiPriority w:val="0"/>
  </w:style>
  <w:style w:type="character" w:customStyle="1" w:styleId="46">
    <w:name w:val="ico1654"/>
    <w:basedOn w:val="12"/>
    <w:qFormat/>
    <w:uiPriority w:val="0"/>
  </w:style>
  <w:style w:type="character" w:customStyle="1" w:styleId="47">
    <w:name w:val="active"/>
    <w:basedOn w:val="12"/>
    <w:qFormat/>
    <w:uiPriority w:val="0"/>
    <w:rPr>
      <w:color w:val="00FF00"/>
      <w:shd w:val="clear" w:fill="111111"/>
    </w:rPr>
  </w:style>
  <w:style w:type="character" w:customStyle="1" w:styleId="48">
    <w:name w:val="active1"/>
    <w:basedOn w:val="12"/>
    <w:qFormat/>
    <w:uiPriority w:val="0"/>
    <w:rPr>
      <w:shd w:val="clear" w:fill="EC3535"/>
    </w:rPr>
  </w:style>
  <w:style w:type="character" w:customStyle="1" w:styleId="49">
    <w:name w:val="hilite6"/>
    <w:basedOn w:val="12"/>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2"/>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2541</Words>
  <Characters>2968</Characters>
  <Lines>18</Lines>
  <Paragraphs>5</Paragraphs>
  <TotalTime>1</TotalTime>
  <ScaleCrop>false</ScaleCrop>
  <LinksUpToDate>false</LinksUpToDate>
  <CharactersWithSpaces>3055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2026-08-07T07:27:38Z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9B683EE1A185463EA7099C7A421ABEF5_13</vt:lpwstr>
  </property>
  <property fmtid="{D5CDD505-2E9C-101B-9397-08002B2CF9AE}" pid="4" name="KSOTemplateDocerSaveRecord">
    <vt:lpwstr>eyJoZGlkIjoiMTUxNjU4Y2I1ZTg1ZmY0MTJiZWRhYWQxYzNmOTNlNDEiLCJ1c2VySWQiOiIyMTg5Mjc5NjMifQ==</vt:lpwstr>
  </property>
</Properties>
</file>