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B871D">
      <w:pPr>
        <w:spacing w:after="160" w:line="360" w:lineRule="auto"/>
        <w:jc w:val="center"/>
        <w:outlineLvl w:val="0"/>
        <w:rPr>
          <w:rFonts w:ascii="Times New Roman" w:hAnsi="Times New Roman" w:eastAsia="宋体" w:cs="Times New Roman"/>
          <w:b/>
          <w:sz w:val="36"/>
          <w:szCs w:val="36"/>
        </w:rPr>
      </w:pPr>
      <w:r>
        <w:rPr>
          <w:rFonts w:ascii="Times New Roman" w:hAnsi="Times New Roman" w:eastAsia="宋体" w:cs="Times New Roman"/>
          <w:b/>
          <w:sz w:val="36"/>
          <w:szCs w:val="36"/>
        </w:rPr>
        <w:t xml:space="preserve"> 采购需求</w:t>
      </w:r>
    </w:p>
    <w:p w14:paraId="39A8DE1F">
      <w:pPr>
        <w:spacing w:after="160" w:line="360" w:lineRule="auto"/>
        <w:contextualSpacing/>
        <w:jc w:val="center"/>
        <w:rPr>
          <w:rFonts w:hint="eastAsia" w:ascii="方正小标宋简体" w:hAnsi="方正小标宋简体" w:eastAsia="方正小标宋简体" w:cs="宋体"/>
          <w:kern w:val="0"/>
          <w:sz w:val="36"/>
          <w:szCs w:val="36"/>
        </w:rPr>
      </w:pPr>
      <w:r>
        <w:rPr>
          <w:rFonts w:hint="eastAsia" w:ascii="Times New Roman" w:hAnsi="Times New Roman" w:eastAsia="宋体" w:cs="Times New Roman"/>
          <w:b/>
          <w:bCs/>
          <w:sz w:val="24"/>
        </w:rPr>
        <w:t>第一包</w:t>
      </w:r>
    </w:p>
    <w:p w14:paraId="1E5E20C2">
      <w:pPr>
        <w:spacing w:after="160" w:line="360" w:lineRule="auto"/>
        <w:ind w:left="500" w:hanging="500"/>
        <w:contextualSpacing/>
        <w:rPr>
          <w:rFonts w:ascii="Times New Roman" w:hAnsi="Times New Roman" w:eastAsia="宋体" w:cs="Times New Roman"/>
          <w:b/>
          <w:sz w:val="24"/>
        </w:rPr>
      </w:pPr>
      <w:r>
        <w:rPr>
          <w:rFonts w:ascii="Times New Roman" w:hAnsi="Times New Roman" w:eastAsia="宋体" w:cs="Times New Roman"/>
          <w:b/>
          <w:sz w:val="24"/>
        </w:rPr>
        <w:t>一、采购标的</w:t>
      </w:r>
    </w:p>
    <w:p w14:paraId="1C1B6F9F">
      <w:pPr>
        <w:spacing w:after="160" w:line="360" w:lineRule="auto"/>
        <w:contextualSpacing/>
        <w:rPr>
          <w:rFonts w:ascii="Times New Roman" w:hAnsi="Times New Roman" w:eastAsia="宋体" w:cs="Times New Roman"/>
          <w:bCs/>
          <w:sz w:val="24"/>
        </w:rPr>
      </w:pPr>
      <w:r>
        <w:rPr>
          <w:rFonts w:ascii="Times New Roman" w:hAnsi="Times New Roman" w:eastAsia="宋体" w:cs="Times New Roman"/>
          <w:bCs/>
          <w:sz w:val="24"/>
        </w:rPr>
        <w:t>1.采购标的（货物需求一览表或简要服务内容及数量）</w:t>
      </w:r>
    </w:p>
    <w:tbl>
      <w:tblPr>
        <w:tblStyle w:val="3"/>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621"/>
        <w:gridCol w:w="1770"/>
        <w:gridCol w:w="816"/>
        <w:gridCol w:w="4521"/>
      </w:tblGrid>
      <w:tr w14:paraId="7D8B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525" w:type="dxa"/>
            <w:vAlign w:val="center"/>
          </w:tcPr>
          <w:p w14:paraId="6395E2A1">
            <w:pPr>
              <w:spacing w:after="160" w:line="240" w:lineRule="auto"/>
              <w:jc w:val="center"/>
              <w:rPr>
                <w:rFonts w:hint="eastAsia" w:ascii="宋体" w:hAnsi="宋体" w:eastAsia="宋体" w:cs="宋体"/>
                <w:sz w:val="22"/>
                <w:szCs w:val="22"/>
              </w:rPr>
            </w:pPr>
            <w:r>
              <w:rPr>
                <w:rFonts w:hint="eastAsia" w:ascii="宋体" w:hAnsi="宋体" w:eastAsia="宋体" w:cs="宋体"/>
                <w:sz w:val="22"/>
                <w:szCs w:val="22"/>
              </w:rPr>
              <w:t>包号</w:t>
            </w:r>
          </w:p>
        </w:tc>
        <w:tc>
          <w:tcPr>
            <w:tcW w:w="1621" w:type="dxa"/>
            <w:vAlign w:val="center"/>
          </w:tcPr>
          <w:p w14:paraId="0824195A">
            <w:pPr>
              <w:spacing w:after="160" w:line="240" w:lineRule="auto"/>
              <w:jc w:val="center"/>
              <w:rPr>
                <w:rFonts w:hint="eastAsia" w:ascii="宋体" w:hAnsi="宋体" w:eastAsia="宋体" w:cs="宋体"/>
                <w:sz w:val="22"/>
                <w:szCs w:val="22"/>
              </w:rPr>
            </w:pPr>
            <w:r>
              <w:rPr>
                <w:rFonts w:hint="eastAsia" w:ascii="宋体" w:hAnsi="宋体" w:eastAsia="宋体" w:cs="宋体"/>
                <w:sz w:val="22"/>
                <w:szCs w:val="22"/>
              </w:rPr>
              <w:t>标的名称</w:t>
            </w:r>
          </w:p>
        </w:tc>
        <w:tc>
          <w:tcPr>
            <w:tcW w:w="1770" w:type="dxa"/>
            <w:vAlign w:val="center"/>
          </w:tcPr>
          <w:p w14:paraId="6BED4385">
            <w:pPr>
              <w:spacing w:after="160" w:line="240" w:lineRule="auto"/>
              <w:jc w:val="center"/>
              <w:rPr>
                <w:rFonts w:hint="eastAsia" w:ascii="宋体" w:hAnsi="宋体" w:eastAsia="宋体" w:cs="宋体"/>
                <w:sz w:val="22"/>
                <w:szCs w:val="22"/>
              </w:rPr>
            </w:pPr>
            <w:r>
              <w:rPr>
                <w:rFonts w:hint="eastAsia" w:ascii="宋体" w:hAnsi="宋体" w:eastAsia="宋体" w:cs="宋体"/>
                <w:sz w:val="22"/>
                <w:szCs w:val="22"/>
              </w:rPr>
              <w:t>采购包预算金额</w:t>
            </w:r>
          </w:p>
          <w:p w14:paraId="08443D81">
            <w:pPr>
              <w:spacing w:after="160" w:line="240" w:lineRule="auto"/>
              <w:jc w:val="center"/>
              <w:rPr>
                <w:rFonts w:hint="eastAsia" w:ascii="宋体" w:hAnsi="宋体" w:eastAsia="宋体" w:cs="宋体"/>
                <w:sz w:val="22"/>
                <w:szCs w:val="22"/>
              </w:rPr>
            </w:pPr>
            <w:r>
              <w:rPr>
                <w:rFonts w:hint="eastAsia" w:ascii="宋体" w:hAnsi="宋体" w:eastAsia="宋体" w:cs="宋体"/>
                <w:sz w:val="22"/>
                <w:szCs w:val="22"/>
              </w:rPr>
              <w:t>（万元）</w:t>
            </w:r>
          </w:p>
        </w:tc>
        <w:tc>
          <w:tcPr>
            <w:tcW w:w="816" w:type="dxa"/>
            <w:vAlign w:val="center"/>
          </w:tcPr>
          <w:p w14:paraId="3CF83ED4">
            <w:pPr>
              <w:spacing w:after="160" w:line="240" w:lineRule="auto"/>
              <w:jc w:val="center"/>
              <w:rPr>
                <w:rFonts w:hint="eastAsia" w:ascii="宋体" w:hAnsi="宋体" w:eastAsia="宋体" w:cs="宋体"/>
                <w:sz w:val="22"/>
                <w:szCs w:val="22"/>
              </w:rPr>
            </w:pPr>
            <w:r>
              <w:rPr>
                <w:rFonts w:hint="eastAsia" w:ascii="宋体" w:hAnsi="宋体" w:eastAsia="宋体" w:cs="宋体"/>
                <w:sz w:val="22"/>
                <w:szCs w:val="22"/>
              </w:rPr>
              <w:t>数量</w:t>
            </w:r>
          </w:p>
        </w:tc>
        <w:tc>
          <w:tcPr>
            <w:tcW w:w="4521" w:type="dxa"/>
            <w:vAlign w:val="center"/>
          </w:tcPr>
          <w:p w14:paraId="1A8F1100">
            <w:pPr>
              <w:spacing w:after="160" w:line="240" w:lineRule="auto"/>
              <w:jc w:val="center"/>
              <w:rPr>
                <w:rFonts w:hint="eastAsia" w:ascii="宋体" w:hAnsi="宋体" w:eastAsia="宋体" w:cs="宋体"/>
                <w:sz w:val="22"/>
                <w:szCs w:val="22"/>
              </w:rPr>
            </w:pPr>
            <w:r>
              <w:rPr>
                <w:rFonts w:hint="eastAsia" w:ascii="宋体" w:hAnsi="宋体" w:eastAsia="宋体" w:cs="宋体"/>
                <w:sz w:val="22"/>
                <w:szCs w:val="22"/>
              </w:rPr>
              <w:t>简要技术需求或服务要求</w:t>
            </w:r>
          </w:p>
        </w:tc>
      </w:tr>
      <w:tr w14:paraId="0F93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6" w:hRule="exact"/>
          <w:jc w:val="center"/>
        </w:trPr>
        <w:tc>
          <w:tcPr>
            <w:tcW w:w="525" w:type="dxa"/>
            <w:vAlign w:val="center"/>
          </w:tcPr>
          <w:p w14:paraId="7DEF8ECB">
            <w:pPr>
              <w:spacing w:after="160" w:line="240" w:lineRule="auto"/>
              <w:rPr>
                <w:rFonts w:hint="eastAsia" w:ascii="宋体" w:hAnsi="宋体" w:eastAsia="宋体" w:cs="宋体"/>
                <w:sz w:val="22"/>
                <w:szCs w:val="22"/>
              </w:rPr>
            </w:pPr>
            <w:r>
              <w:rPr>
                <w:rFonts w:hint="eastAsia" w:ascii="宋体" w:hAnsi="宋体" w:eastAsia="宋体" w:cs="宋体"/>
                <w:sz w:val="22"/>
                <w:szCs w:val="22"/>
              </w:rPr>
              <w:t>1</w:t>
            </w:r>
          </w:p>
        </w:tc>
        <w:tc>
          <w:tcPr>
            <w:tcW w:w="1621" w:type="dxa"/>
            <w:vAlign w:val="center"/>
          </w:tcPr>
          <w:p w14:paraId="1C555370">
            <w:pPr>
              <w:spacing w:after="160" w:line="278" w:lineRule="auto"/>
              <w:jc w:val="center"/>
              <w:rPr>
                <w:rFonts w:ascii="Times New Roman" w:hAnsi="Times New Roman" w:eastAsia="宋体" w:cs="Times New Roman"/>
                <w:bCs/>
                <w:sz w:val="20"/>
                <w:szCs w:val="20"/>
              </w:rPr>
            </w:pPr>
            <w:r>
              <w:rPr>
                <w:rFonts w:hint="eastAsia" w:ascii="Times New Roman" w:hAnsi="Times New Roman" w:eastAsia="宋体" w:cs="Times New Roman"/>
                <w:bCs/>
                <w:sz w:val="20"/>
                <w:szCs w:val="20"/>
              </w:rPr>
              <w:t>55寸触控一体机</w:t>
            </w:r>
          </w:p>
          <w:p w14:paraId="6B9ADF6A">
            <w:pPr>
              <w:spacing w:after="160" w:line="278" w:lineRule="auto"/>
              <w:jc w:val="center"/>
              <w:rPr>
                <w:rFonts w:ascii="Times New Roman" w:hAnsi="Times New Roman" w:eastAsia="宋体" w:cs="Times New Roman"/>
                <w:sz w:val="20"/>
                <w:szCs w:val="22"/>
              </w:rPr>
            </w:pPr>
            <w:r>
              <w:rPr>
                <w:rFonts w:hint="eastAsia" w:ascii="Times New Roman" w:hAnsi="Times New Roman" w:eastAsia="宋体" w:cs="Times New Roman"/>
                <w:bCs/>
                <w:sz w:val="20"/>
                <w:szCs w:val="20"/>
              </w:rPr>
              <w:t>工程投影机</w:t>
            </w:r>
          </w:p>
          <w:p w14:paraId="4EFF2FF2">
            <w:pPr>
              <w:spacing w:after="160" w:line="278" w:lineRule="auto"/>
              <w:rPr>
                <w:rFonts w:ascii="Times New Roman" w:hAnsi="Times New Roman" w:eastAsia="宋体" w:cs="Times New Roman"/>
                <w:sz w:val="20"/>
                <w:szCs w:val="22"/>
              </w:rPr>
            </w:pPr>
            <w:r>
              <w:rPr>
                <w:rFonts w:hint="eastAsia" w:ascii="Times New Roman" w:hAnsi="Times New Roman" w:eastAsia="宋体" w:cs="Times New Roman"/>
                <w:bCs/>
                <w:sz w:val="20"/>
                <w:szCs w:val="20"/>
              </w:rPr>
              <w:t>32寸触控一体机</w:t>
            </w:r>
          </w:p>
          <w:p w14:paraId="013F78D9">
            <w:pPr>
              <w:spacing w:after="160" w:line="278" w:lineRule="auto"/>
              <w:rPr>
                <w:rFonts w:ascii="Times New Roman" w:hAnsi="Times New Roman" w:eastAsia="宋体" w:cs="Times New Roman"/>
                <w:sz w:val="20"/>
                <w:szCs w:val="22"/>
              </w:rPr>
            </w:pPr>
          </w:p>
          <w:p w14:paraId="3EB3192E">
            <w:pPr>
              <w:spacing w:after="160" w:line="278" w:lineRule="auto"/>
              <w:jc w:val="center"/>
              <w:rPr>
                <w:rFonts w:ascii="Times New Roman" w:hAnsi="Times New Roman" w:eastAsia="宋体" w:cs="Times New Roman"/>
                <w:bCs/>
                <w:sz w:val="20"/>
                <w:szCs w:val="20"/>
              </w:rPr>
            </w:pPr>
          </w:p>
        </w:tc>
        <w:tc>
          <w:tcPr>
            <w:tcW w:w="1770" w:type="dxa"/>
            <w:vAlign w:val="center"/>
          </w:tcPr>
          <w:p w14:paraId="48F3856A">
            <w:pPr>
              <w:spacing w:after="160" w:line="240" w:lineRule="auto"/>
              <w:rPr>
                <w:rFonts w:hint="eastAsia" w:ascii="宋体" w:hAnsi="宋体" w:eastAsia="宋体" w:cs="宋体"/>
                <w:sz w:val="22"/>
                <w:szCs w:val="22"/>
              </w:rPr>
            </w:pPr>
            <w:r>
              <w:rPr>
                <w:rFonts w:hint="eastAsia" w:ascii="宋体" w:hAnsi="宋体" w:eastAsia="宋体" w:cs="宋体"/>
                <w:sz w:val="22"/>
                <w:szCs w:val="22"/>
              </w:rPr>
              <w:t>66.8832</w:t>
            </w:r>
          </w:p>
        </w:tc>
        <w:tc>
          <w:tcPr>
            <w:tcW w:w="816" w:type="dxa"/>
            <w:vAlign w:val="center"/>
          </w:tcPr>
          <w:p w14:paraId="41521298">
            <w:pPr>
              <w:spacing w:after="160" w:line="240" w:lineRule="auto"/>
              <w:rPr>
                <w:rFonts w:hint="eastAsia" w:ascii="宋体" w:hAnsi="宋体" w:eastAsia="宋体" w:cs="宋体"/>
                <w:sz w:val="22"/>
                <w:szCs w:val="22"/>
              </w:rPr>
            </w:pPr>
            <w:r>
              <w:rPr>
                <w:rFonts w:hint="eastAsia" w:ascii="宋体" w:hAnsi="宋体" w:eastAsia="宋体" w:cs="宋体"/>
                <w:sz w:val="22"/>
                <w:szCs w:val="22"/>
              </w:rPr>
              <w:t>一项</w:t>
            </w:r>
          </w:p>
        </w:tc>
        <w:tc>
          <w:tcPr>
            <w:tcW w:w="4521" w:type="dxa"/>
          </w:tcPr>
          <w:p w14:paraId="04A017F4">
            <w:pPr>
              <w:spacing w:after="160"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北京市香山公园管理处2026年香山（静宜园）文化展示中心——一期展陈项目专用设备采购项目，实施地点位于北京市海淀区香山公园管理处院内。本项目依托香山公园香山配套管理用房（原香山别墅）区域内A、B、C三栋房屋实施建设，总建筑面积约2250平方米。项目核心为打造香山历史文化主题展览空间及配套文创休闲功能区域，通过现代化数字科技与实体空间软装结合的方式，升级场馆展示、体验、服务功能，构建沉浸式、多维度、多层次的文旅参观场景，全方位展示香山历史文化底蕴，优化游客参观体验，完善园区文旅配套服务体系。</w:t>
            </w:r>
          </w:p>
          <w:p w14:paraId="0CC3B11A">
            <w:pPr>
              <w:spacing w:after="160"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本采购项目为货物采购+安装调试一体化服务，主要包含触控一体机、投影机（工程投影机）设备购置、运输、现场安装、系统调试、联调试运行、验收交付及售后保障等全部内容，整体按照市场主流高性价比标准配置，确保设备性能稳定、适配场馆使用场景、贴合文化展览展示需求。</w:t>
            </w:r>
          </w:p>
          <w:p w14:paraId="4A6DF488">
            <w:pPr>
              <w:spacing w:after="160" w:line="278"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总工期不超过40日历天；质保期两年，此费用包含在投标报价中；本项目的设备必须符合现行国家、行业及所在地地方标准和技术规范的要求。</w:t>
            </w:r>
          </w:p>
          <w:p w14:paraId="4D2E0B95">
            <w:pPr>
              <w:spacing w:after="160" w:line="278" w:lineRule="auto"/>
              <w:ind w:firstLine="440" w:firstLineChars="200"/>
              <w:rPr>
                <w:rFonts w:hint="default" w:ascii="宋体" w:hAnsi="宋体" w:eastAsia="宋体" w:cs="宋体"/>
                <w:bCs/>
                <w:sz w:val="22"/>
                <w:szCs w:val="22"/>
                <w:lang w:val="en-US" w:eastAsia="zh-CN"/>
              </w:rPr>
            </w:pPr>
            <w:r>
              <w:rPr>
                <w:rFonts w:hint="eastAsia" w:ascii="宋体" w:hAnsi="宋体" w:eastAsia="宋体" w:cs="宋体"/>
                <w:bCs/>
                <w:sz w:val="22"/>
                <w:szCs w:val="22"/>
                <w:lang w:val="en-US" w:eastAsia="zh-CN"/>
              </w:rPr>
              <w:t>详见附件1。</w:t>
            </w:r>
          </w:p>
        </w:tc>
      </w:tr>
    </w:tbl>
    <w:p w14:paraId="3A9830C0">
      <w:pPr>
        <w:spacing w:after="160" w:line="360" w:lineRule="auto"/>
        <w:contextualSpacing/>
        <w:rPr>
          <w:rFonts w:ascii="Times New Roman" w:hAnsi="Times New Roman" w:eastAsia="宋体" w:cs="Times New Roman"/>
          <w:bCs/>
          <w:sz w:val="24"/>
        </w:rPr>
      </w:pPr>
      <w:r>
        <w:rPr>
          <w:rFonts w:hint="eastAsia" w:ascii="Times New Roman" w:hAnsi="Times New Roman" w:eastAsia="宋体" w:cs="Times New Roman"/>
          <w:bCs/>
          <w:sz w:val="24"/>
        </w:rPr>
        <w:t>备注：本项目不接受进口产品。</w:t>
      </w:r>
    </w:p>
    <w:p w14:paraId="7B930552">
      <w:pPr>
        <w:spacing w:after="160" w:line="360" w:lineRule="auto"/>
        <w:contextualSpacing/>
        <w:rPr>
          <w:rFonts w:ascii="Times New Roman" w:hAnsi="Times New Roman" w:eastAsia="宋体" w:cs="Times New Roman"/>
          <w:bCs/>
          <w:sz w:val="24"/>
        </w:rPr>
      </w:pPr>
      <w:r>
        <w:rPr>
          <w:rFonts w:ascii="Times New Roman" w:hAnsi="Times New Roman" w:eastAsia="宋体" w:cs="Times New Roman"/>
          <w:bCs/>
          <w:sz w:val="24"/>
        </w:rPr>
        <w:t>2. 项目背景/项目概述</w:t>
      </w:r>
    </w:p>
    <w:p w14:paraId="5240173F">
      <w:pPr>
        <w:spacing w:after="160" w:line="360" w:lineRule="auto"/>
        <w:ind w:firstLine="480" w:firstLineChars="200"/>
        <w:contextualSpacing/>
        <w:rPr>
          <w:rFonts w:ascii="Times New Roman" w:hAnsi="Times New Roman" w:eastAsia="宋体" w:cs="Times New Roman"/>
          <w:bCs/>
          <w:sz w:val="24"/>
        </w:rPr>
      </w:pPr>
      <w:r>
        <w:rPr>
          <w:rFonts w:hint="eastAsia" w:ascii="Times New Roman" w:hAnsi="Times New Roman" w:eastAsia="宋体" w:cs="Times New Roman"/>
          <w:bCs/>
          <w:sz w:val="24"/>
        </w:rPr>
        <w:t>本项目依托香山公园香山配套管理用房（原香山别墅）区域内A、B、C三栋房屋实施建设，总建筑面积约2250平方米。项目核心为打造香山历史文化主题展览空间及配套文创休闲功能区域，通过现代化数字科技与实体空间软装结合的方式，升级场馆展示、体验、服务功能，构建沉浸式、多维度、多层次的文旅参观场景，全方位展示香山历史文化底蕴，优化游客参观体验，完善园区文旅配套服务体系。</w:t>
      </w:r>
    </w:p>
    <w:p w14:paraId="7FC89A7C">
      <w:pPr>
        <w:spacing w:after="160" w:line="360" w:lineRule="auto"/>
        <w:ind w:left="500" w:hanging="500"/>
        <w:contextualSpacing/>
        <w:rPr>
          <w:rFonts w:ascii="Times New Roman" w:hAnsi="Times New Roman" w:eastAsia="宋体" w:cs="Times New Roman"/>
          <w:b/>
          <w:sz w:val="24"/>
        </w:rPr>
      </w:pPr>
      <w:r>
        <w:rPr>
          <w:rFonts w:ascii="Times New Roman" w:hAnsi="Times New Roman" w:eastAsia="宋体" w:cs="Times New Roman"/>
          <w:b/>
          <w:sz w:val="24"/>
        </w:rPr>
        <w:t>二、商务要求</w:t>
      </w:r>
    </w:p>
    <w:p w14:paraId="4DDB75A4">
      <w:pPr>
        <w:spacing w:after="160" w:line="360" w:lineRule="auto"/>
        <w:contextualSpacing/>
        <w:rPr>
          <w:rFonts w:ascii="Times New Roman" w:hAnsi="Times New Roman" w:eastAsia="宋体" w:cs="Times New Roman"/>
          <w:i/>
          <w:sz w:val="24"/>
        </w:rPr>
      </w:pPr>
      <w:r>
        <w:rPr>
          <w:rFonts w:ascii="Times New Roman" w:hAnsi="Times New Roman" w:eastAsia="宋体" w:cs="Times New Roman"/>
          <w:sz w:val="24"/>
        </w:rPr>
        <w:t>1. 交付（实施）的时间（期限）和地点（范围）</w:t>
      </w:r>
    </w:p>
    <w:p w14:paraId="773CF24F">
      <w:pPr>
        <w:widowControl/>
        <w:spacing w:after="160" w:line="440" w:lineRule="exact"/>
        <w:ind w:firstLine="480" w:firstLineChars="200"/>
        <w:rPr>
          <w:rFonts w:ascii="Times New Roman" w:hAnsi="Times New Roman" w:eastAsia="宋体" w:cs="Times New Roman"/>
          <w:bCs/>
          <w:sz w:val="24"/>
        </w:rPr>
      </w:pPr>
      <w:r>
        <w:rPr>
          <w:rFonts w:ascii="Times New Roman" w:hAnsi="Times New Roman" w:eastAsia="宋体" w:cs="Times New Roman"/>
          <w:sz w:val="24"/>
        </w:rPr>
        <w:t>交付（实施）的时间（期限）</w:t>
      </w:r>
      <w:r>
        <w:rPr>
          <w:rFonts w:hint="eastAsia" w:ascii="Times New Roman" w:hAnsi="Times New Roman" w:eastAsia="宋体" w:cs="Times New Roman"/>
          <w:sz w:val="24"/>
        </w:rPr>
        <w:t>：整体项目工期为40日历天，双方合同签订后，</w:t>
      </w:r>
      <w:r>
        <w:rPr>
          <w:rFonts w:hint="eastAsia" w:ascii="Times New Roman" w:hAnsi="Times New Roman" w:eastAsia="宋体" w:cs="Times New Roman"/>
          <w:bCs/>
          <w:sz w:val="24"/>
        </w:rPr>
        <w:t>中标人</w:t>
      </w:r>
      <w:r>
        <w:rPr>
          <w:rFonts w:hint="eastAsia" w:ascii="Times New Roman" w:hAnsi="Times New Roman" w:eastAsia="宋体" w:cs="Times New Roman"/>
          <w:sz w:val="24"/>
        </w:rPr>
        <w:t>收到首笔预付款之日起计算，包含设备采购、运输、进场、安装、调试、整改、验收全部工作内容，</w:t>
      </w:r>
      <w:r>
        <w:rPr>
          <w:rFonts w:hint="eastAsia" w:ascii="Times New Roman" w:hAnsi="Times New Roman" w:eastAsia="宋体" w:cs="Times New Roman"/>
          <w:bCs/>
          <w:sz w:val="24"/>
        </w:rPr>
        <w:t>中标人</w:t>
      </w:r>
      <w:r>
        <w:rPr>
          <w:rFonts w:hint="eastAsia" w:ascii="Times New Roman" w:hAnsi="Times New Roman" w:eastAsia="宋体" w:cs="Times New Roman"/>
          <w:sz w:val="24"/>
        </w:rPr>
        <w:t>需严格按期完成全部项目建设内容并交付使用，无特殊情况不得逾期。</w:t>
      </w:r>
    </w:p>
    <w:p w14:paraId="7828C9D1">
      <w:pPr>
        <w:spacing w:after="160" w:line="360" w:lineRule="auto"/>
        <w:ind w:firstLine="480" w:firstLineChars="200"/>
        <w:contextualSpacing/>
        <w:rPr>
          <w:rFonts w:ascii="Times New Roman" w:hAnsi="Times New Roman" w:eastAsia="宋体" w:cs="Times New Roman"/>
          <w:i/>
          <w:sz w:val="24"/>
        </w:rPr>
      </w:pPr>
      <w:r>
        <w:rPr>
          <w:rFonts w:hint="eastAsia" w:ascii="Times New Roman" w:hAnsi="Times New Roman" w:eastAsia="宋体" w:cs="Times New Roman"/>
          <w:sz w:val="24"/>
        </w:rPr>
        <w:t>交付</w:t>
      </w:r>
      <w:r>
        <w:rPr>
          <w:rFonts w:ascii="Times New Roman" w:hAnsi="Times New Roman" w:eastAsia="宋体" w:cs="Times New Roman"/>
          <w:sz w:val="24"/>
        </w:rPr>
        <w:t>地点（范围）</w:t>
      </w:r>
      <w:r>
        <w:rPr>
          <w:rFonts w:hint="eastAsia" w:ascii="Times New Roman" w:hAnsi="Times New Roman" w:eastAsia="宋体" w:cs="Times New Roman"/>
          <w:sz w:val="24"/>
        </w:rPr>
        <w:t>：</w:t>
      </w:r>
      <w:r>
        <w:rPr>
          <w:rFonts w:hint="eastAsia" w:ascii="Times New Roman" w:hAnsi="Times New Roman" w:eastAsia="宋体" w:cs="Times New Roman"/>
          <w:bCs/>
          <w:sz w:val="24"/>
        </w:rPr>
        <w:t>北京市香山公园香山配套管理用房（原香山别墅）A、B、C栋项目现场。全部采购多媒体设备安装调试完毕，施工完成，场地清洁达标，提供完整的产品资料、合格证、检测报告、使用说明书、售后维保清单等全套资料。</w:t>
      </w:r>
    </w:p>
    <w:p w14:paraId="4FD34059">
      <w:pPr>
        <w:spacing w:after="160" w:line="360" w:lineRule="auto"/>
        <w:contextualSpacing/>
        <w:rPr>
          <w:rFonts w:ascii="Times New Roman" w:hAnsi="Times New Roman" w:eastAsia="宋体" w:cs="Times New Roman"/>
          <w:sz w:val="24"/>
        </w:rPr>
      </w:pPr>
      <w:r>
        <w:rPr>
          <w:rFonts w:ascii="Times New Roman" w:hAnsi="Times New Roman" w:eastAsia="宋体" w:cs="Times New Roman"/>
          <w:sz w:val="24"/>
        </w:rPr>
        <w:t>2.付款条件（进度和方式）</w:t>
      </w:r>
    </w:p>
    <w:p w14:paraId="7658860C">
      <w:pPr>
        <w:spacing w:after="160" w:line="360" w:lineRule="auto"/>
        <w:ind w:firstLine="480" w:firstLineChars="200"/>
        <w:contextualSpacing/>
        <w:rPr>
          <w:rFonts w:ascii="Times New Roman" w:hAnsi="Times New Roman" w:eastAsia="宋体" w:cs="Times New Roman"/>
          <w:sz w:val="24"/>
        </w:rPr>
      </w:pPr>
      <w:r>
        <w:rPr>
          <w:rFonts w:hint="eastAsia" w:ascii="Times New Roman" w:hAnsi="Times New Roman" w:eastAsia="宋体" w:cs="Times New Roman"/>
          <w:sz w:val="24"/>
        </w:rPr>
        <w:t>（1）货物清单内容将按照实际供货数量进行结算。</w:t>
      </w:r>
    </w:p>
    <w:p w14:paraId="3D1B73E5">
      <w:pPr>
        <w:spacing w:after="160" w:line="360" w:lineRule="auto"/>
        <w:ind w:firstLine="480" w:firstLineChars="200"/>
        <w:contextualSpacing/>
        <w:rPr>
          <w:rFonts w:ascii="Times New Roman" w:hAnsi="Times New Roman" w:eastAsia="宋体" w:cs="Times New Roman"/>
          <w:sz w:val="24"/>
        </w:rPr>
      </w:pPr>
      <w:r>
        <w:rPr>
          <w:rFonts w:hint="eastAsia" w:ascii="Times New Roman" w:hAnsi="Times New Roman" w:eastAsia="宋体" w:cs="Times New Roman"/>
          <w:sz w:val="24"/>
        </w:rPr>
        <w:t>（2）采购人与中标人签订合同后，中标人提交等额有效增值税普通发票后10日内，采购人支付合同总金额的50%为预付款，用于多媒体设备备货。</w:t>
      </w:r>
    </w:p>
    <w:p w14:paraId="6139E3A4">
      <w:pPr>
        <w:spacing w:after="160" w:line="360" w:lineRule="auto"/>
        <w:ind w:firstLine="480" w:firstLineChars="200"/>
        <w:contextualSpacing/>
        <w:rPr>
          <w:rFonts w:ascii="Times New Roman" w:hAnsi="Times New Roman" w:eastAsia="宋体" w:cs="Times New Roman"/>
          <w:sz w:val="24"/>
        </w:rPr>
      </w:pPr>
      <w:r>
        <w:rPr>
          <w:rFonts w:hint="eastAsia" w:ascii="Times New Roman" w:hAnsi="Times New Roman" w:eastAsia="宋体" w:cs="Times New Roman"/>
          <w:sz w:val="24"/>
        </w:rPr>
        <w:t>（3）项目验收合格后，经由监理单位审核后，中标人提交等额有效增值税普通发票后10日内，采购人一次性向中标人支付合同剩余项目款。</w:t>
      </w:r>
    </w:p>
    <w:p w14:paraId="7B2C1225">
      <w:pPr>
        <w:spacing w:after="160" w:line="360" w:lineRule="auto"/>
        <w:contextualSpacing/>
        <w:rPr>
          <w:rFonts w:ascii="Times New Roman" w:hAnsi="Times New Roman" w:eastAsia="宋体" w:cs="Times New Roman"/>
          <w:sz w:val="24"/>
        </w:rPr>
      </w:pPr>
      <w:r>
        <w:rPr>
          <w:rFonts w:ascii="Times New Roman" w:hAnsi="Times New Roman" w:eastAsia="宋体" w:cs="Times New Roman"/>
          <w:sz w:val="24"/>
        </w:rPr>
        <w:t>3. 包装和运输（如适用，须满足《关于印发〈商品包装政府采购需求标准（试行）〉、〈快递包装政府采购需求标准（试行）〉的通知》（财办库﹝2020﹞123号））</w:t>
      </w:r>
    </w:p>
    <w:p w14:paraId="64C10ED3">
      <w:pPr>
        <w:numPr>
          <w:ilvl w:val="0"/>
          <w:numId w:val="1"/>
        </w:numPr>
        <w:spacing w:after="160" w:line="360" w:lineRule="auto"/>
        <w:ind w:left="635" w:hanging="425"/>
        <w:contextualSpacing/>
        <w:rPr>
          <w:rFonts w:ascii="Times New Roman" w:hAnsi="Times New Roman" w:eastAsia="宋体" w:cs="Times New Roman"/>
          <w:bCs/>
          <w:sz w:val="24"/>
        </w:rPr>
      </w:pPr>
      <w:r>
        <w:rPr>
          <w:rFonts w:hint="eastAsia" w:ascii="Times New Roman" w:hAnsi="Times New Roman" w:eastAsia="宋体" w:cs="Times New Roman"/>
          <w:bCs/>
          <w:sz w:val="24"/>
        </w:rPr>
        <w:t>投标人所提供的项目设备、材料、物品均为出厂时的原包装。</w:t>
      </w:r>
    </w:p>
    <w:p w14:paraId="5D629861">
      <w:pPr>
        <w:numPr>
          <w:ilvl w:val="0"/>
          <w:numId w:val="1"/>
        </w:numPr>
        <w:spacing w:after="160" w:line="360" w:lineRule="auto"/>
        <w:ind w:left="635" w:hanging="425"/>
        <w:contextualSpacing/>
        <w:rPr>
          <w:rFonts w:ascii="Times New Roman" w:hAnsi="Times New Roman" w:eastAsia="宋体" w:cs="Times New Roman"/>
          <w:bCs/>
          <w:sz w:val="24"/>
        </w:rPr>
      </w:pPr>
      <w:r>
        <w:rPr>
          <w:rFonts w:hint="eastAsia" w:ascii="Times New Roman" w:hAnsi="Times New Roman" w:eastAsia="宋体" w:cs="Times New Roman"/>
          <w:bCs/>
          <w:sz w:val="24"/>
        </w:rPr>
        <w:t>投标人所提供的项目设备、材料、物品在装卸、运输和仓储过程中有足够的包装保护，防止货物受潮、生锈、被腐蚀、受到冲击以及其它原因包装不当引起的破坏。</w:t>
      </w:r>
    </w:p>
    <w:p w14:paraId="2A7CB860">
      <w:pPr>
        <w:numPr>
          <w:ilvl w:val="0"/>
          <w:numId w:val="1"/>
        </w:numPr>
        <w:spacing w:after="160" w:line="360" w:lineRule="auto"/>
        <w:ind w:left="635" w:hanging="425"/>
        <w:contextualSpacing/>
        <w:rPr>
          <w:rFonts w:ascii="Times New Roman" w:hAnsi="Times New Roman" w:eastAsia="宋体" w:cs="Times New Roman"/>
          <w:sz w:val="24"/>
        </w:rPr>
      </w:pPr>
      <w:r>
        <w:rPr>
          <w:rFonts w:hint="eastAsia" w:ascii="Times New Roman" w:hAnsi="Times New Roman" w:eastAsia="宋体" w:cs="Times New Roman"/>
          <w:bCs/>
          <w:sz w:val="24"/>
        </w:rPr>
        <w:t>项目设备、物品运输中的运输和装卸费用及保险费由投标人承担。运输过程中的一切风险和损失由投标人负担。</w:t>
      </w:r>
    </w:p>
    <w:p w14:paraId="0DBA0D60">
      <w:pPr>
        <w:spacing w:after="160" w:line="360" w:lineRule="auto"/>
        <w:contextualSpacing/>
        <w:rPr>
          <w:rFonts w:ascii="Times New Roman" w:hAnsi="Times New Roman" w:eastAsia="宋体" w:cs="Times New Roman"/>
          <w:sz w:val="24"/>
        </w:rPr>
      </w:pPr>
      <w:r>
        <w:rPr>
          <w:rFonts w:ascii="Times New Roman" w:hAnsi="Times New Roman" w:eastAsia="宋体" w:cs="Times New Roman"/>
          <w:sz w:val="24"/>
        </w:rPr>
        <w:t>4. 售后服务（质保期）</w:t>
      </w:r>
    </w:p>
    <w:p w14:paraId="359FCED4">
      <w:pPr>
        <w:numPr>
          <w:ilvl w:val="0"/>
          <w:numId w:val="2"/>
        </w:numPr>
        <w:spacing w:after="160" w:line="360" w:lineRule="auto"/>
        <w:ind w:left="635" w:hanging="425"/>
        <w:contextualSpacing/>
        <w:rPr>
          <w:rFonts w:ascii="Times New Roman" w:hAnsi="Times New Roman" w:eastAsia="宋体" w:cs="Times New Roman"/>
          <w:bCs/>
          <w:sz w:val="24"/>
        </w:rPr>
      </w:pPr>
      <w:r>
        <w:rPr>
          <w:rFonts w:hint="eastAsia" w:ascii="Times New Roman" w:hAnsi="Times New Roman" w:eastAsia="宋体" w:cs="Times New Roman"/>
          <w:bCs/>
          <w:sz w:val="24"/>
        </w:rPr>
        <w:t>项目整体提供不少于2年质保期</w:t>
      </w:r>
    </w:p>
    <w:p w14:paraId="4ECE6246">
      <w:pPr>
        <w:numPr>
          <w:ilvl w:val="0"/>
          <w:numId w:val="2"/>
        </w:numPr>
        <w:spacing w:after="160" w:line="360" w:lineRule="auto"/>
        <w:ind w:left="635" w:hanging="425"/>
        <w:contextualSpacing/>
        <w:rPr>
          <w:rFonts w:ascii="Times New Roman" w:hAnsi="Times New Roman" w:eastAsia="宋体" w:cs="Times New Roman"/>
          <w:bCs/>
          <w:sz w:val="24"/>
        </w:rPr>
      </w:pPr>
      <w:r>
        <w:rPr>
          <w:rFonts w:hint="eastAsia" w:ascii="Times New Roman" w:hAnsi="Times New Roman" w:eastAsia="宋体" w:cs="Times New Roman"/>
          <w:bCs/>
          <w:sz w:val="24"/>
        </w:rPr>
        <w:t>项目交付时间：本项目全部多媒体设备按合同约定工期完成现场验收并正式交付，交付以双方签署验收文件为准</w:t>
      </w:r>
    </w:p>
    <w:p w14:paraId="5E9CE74D">
      <w:pPr>
        <w:numPr>
          <w:ilvl w:val="0"/>
          <w:numId w:val="2"/>
        </w:numPr>
        <w:spacing w:after="160" w:line="360" w:lineRule="auto"/>
        <w:ind w:left="635" w:hanging="425"/>
        <w:contextualSpacing/>
        <w:rPr>
          <w:rFonts w:ascii="Times New Roman" w:hAnsi="Times New Roman" w:eastAsia="宋体" w:cs="Times New Roman"/>
          <w:bCs/>
          <w:sz w:val="24"/>
        </w:rPr>
      </w:pPr>
      <w:r>
        <w:rPr>
          <w:rFonts w:hint="eastAsia" w:ascii="Times New Roman" w:hAnsi="Times New Roman" w:eastAsia="宋体" w:cs="Times New Roman"/>
          <w:bCs/>
          <w:sz w:val="24"/>
        </w:rPr>
        <w:t>质保缺陷及服务说明：缺陷期自项目整体验收合格、正式交付当日起计算。</w:t>
      </w:r>
    </w:p>
    <w:p w14:paraId="446266F0">
      <w:pPr>
        <w:numPr>
          <w:ilvl w:val="0"/>
          <w:numId w:val="3"/>
        </w:numPr>
        <w:spacing w:after="160" w:line="360" w:lineRule="auto"/>
        <w:ind w:left="845" w:hanging="425"/>
        <w:contextualSpacing/>
        <w:rPr>
          <w:rFonts w:ascii="Times New Roman" w:hAnsi="Times New Roman" w:eastAsia="宋体" w:cs="Times New Roman"/>
          <w:bCs/>
          <w:sz w:val="24"/>
        </w:rPr>
      </w:pPr>
      <w:r>
        <w:rPr>
          <w:rFonts w:hint="eastAsia" w:ascii="Times New Roman" w:hAnsi="Times New Roman" w:eastAsia="宋体" w:cs="Times New Roman"/>
          <w:bCs/>
          <w:sz w:val="24"/>
        </w:rPr>
        <w:t>质保范围界定：质保期内，设备及系统出现材质缺陷、工艺瑕疵、零部件自然老化、安装调试问题、自身运行故障等非人为损坏情形，供货商提供维修、更换零部件服务。</w:t>
      </w:r>
    </w:p>
    <w:p w14:paraId="0E13E998">
      <w:pPr>
        <w:numPr>
          <w:ilvl w:val="0"/>
          <w:numId w:val="3"/>
        </w:numPr>
        <w:spacing w:after="160" w:line="360" w:lineRule="auto"/>
        <w:ind w:left="845" w:hanging="425"/>
        <w:contextualSpacing/>
        <w:rPr>
          <w:rFonts w:ascii="Times New Roman" w:hAnsi="Times New Roman" w:eastAsia="宋体" w:cs="Times New Roman"/>
          <w:bCs/>
          <w:sz w:val="24"/>
        </w:rPr>
      </w:pPr>
      <w:r>
        <w:rPr>
          <w:rFonts w:hint="eastAsia" w:ascii="Times New Roman" w:hAnsi="Times New Roman" w:eastAsia="宋体" w:cs="Times New Roman"/>
          <w:bCs/>
          <w:sz w:val="24"/>
        </w:rPr>
        <w:t>免责情形：因人为操作失误、私自改装拆解、外力撞击、进水、雷击、自然灾害、供电异常、使用环境不符合要求、第三方擅自维修等人为及外部因素造成的损坏，不在质保范围内。</w:t>
      </w:r>
    </w:p>
    <w:p w14:paraId="2CF52EFB">
      <w:pPr>
        <w:numPr>
          <w:ilvl w:val="0"/>
          <w:numId w:val="3"/>
        </w:numPr>
        <w:spacing w:after="160" w:line="360" w:lineRule="auto"/>
        <w:ind w:left="845" w:hanging="425"/>
        <w:contextualSpacing/>
        <w:rPr>
          <w:rFonts w:ascii="Times New Roman" w:hAnsi="Times New Roman" w:eastAsia="宋体" w:cs="Times New Roman"/>
          <w:sz w:val="24"/>
        </w:rPr>
      </w:pPr>
      <w:r>
        <w:rPr>
          <w:rFonts w:hint="eastAsia" w:ascii="Times New Roman" w:hAnsi="Times New Roman" w:eastAsia="宋体" w:cs="Times New Roman"/>
          <w:bCs/>
          <w:sz w:val="24"/>
        </w:rPr>
        <w:t>技术服务保障：提供7×24小时全天候技术咨询服务，故障响应时间不超过2小时，现场故障处置完成时间不超过24小时。</w:t>
      </w:r>
    </w:p>
    <w:p w14:paraId="551826F4">
      <w:pPr>
        <w:spacing w:after="160" w:line="360" w:lineRule="auto"/>
        <w:ind w:left="500" w:hanging="500"/>
        <w:contextualSpacing/>
        <w:rPr>
          <w:rFonts w:ascii="Times New Roman" w:hAnsi="Times New Roman" w:eastAsia="宋体" w:cs="Times New Roman"/>
          <w:b/>
          <w:sz w:val="24"/>
        </w:rPr>
      </w:pPr>
      <w:r>
        <w:rPr>
          <w:rFonts w:ascii="Times New Roman" w:hAnsi="Times New Roman" w:eastAsia="宋体" w:cs="Times New Roman"/>
          <w:b/>
          <w:sz w:val="24"/>
        </w:rPr>
        <w:t>三、技术要求</w:t>
      </w:r>
    </w:p>
    <w:p w14:paraId="1A9B3B54">
      <w:pPr>
        <w:spacing w:after="160" w:line="360" w:lineRule="auto"/>
        <w:contextualSpacing/>
        <w:rPr>
          <w:rFonts w:ascii="Times New Roman" w:hAnsi="Times New Roman" w:eastAsia="宋体" w:cs="Times New Roman"/>
          <w:sz w:val="24"/>
        </w:rPr>
      </w:pPr>
      <w:r>
        <w:rPr>
          <w:rFonts w:ascii="Times New Roman" w:hAnsi="Times New Roman" w:eastAsia="宋体" w:cs="Times New Roman"/>
          <w:sz w:val="24"/>
        </w:rPr>
        <w:t>1. 基本要求</w:t>
      </w:r>
    </w:p>
    <w:p w14:paraId="503FD371">
      <w:pPr>
        <w:spacing w:after="160" w:line="360" w:lineRule="auto"/>
        <w:ind w:firstLine="480" w:firstLineChars="200"/>
        <w:contextualSpacing/>
        <w:rPr>
          <w:rFonts w:ascii="Times New Roman" w:hAnsi="Times New Roman" w:eastAsia="宋体" w:cs="Times New Roman"/>
          <w:sz w:val="24"/>
        </w:rPr>
      </w:pPr>
      <w:r>
        <w:rPr>
          <w:rFonts w:ascii="Times New Roman" w:hAnsi="Times New Roman" w:eastAsia="宋体" w:cs="Times New Roman"/>
          <w:sz w:val="24"/>
        </w:rPr>
        <w:t>1.1 采购标的需实现的功能或者目标</w:t>
      </w:r>
    </w:p>
    <w:p w14:paraId="3B9F6C4B">
      <w:pPr>
        <w:numPr>
          <w:ilvl w:val="0"/>
          <w:numId w:val="4"/>
        </w:numPr>
        <w:spacing w:after="160" w:line="360" w:lineRule="auto"/>
        <w:ind w:left="1055" w:hanging="425"/>
        <w:contextualSpacing/>
        <w:rPr>
          <w:rFonts w:ascii="Times New Roman" w:hAnsi="Times New Roman" w:eastAsia="宋体" w:cs="Times New Roman"/>
          <w:sz w:val="24"/>
        </w:rPr>
      </w:pPr>
      <w:r>
        <w:rPr>
          <w:rFonts w:hint="eastAsia" w:ascii="Times New Roman" w:hAnsi="Times New Roman" w:eastAsia="宋体" w:cs="Times New Roman"/>
          <w:sz w:val="24"/>
        </w:rPr>
        <w:t>文化展示升级：依托多媒体数字设备、定制化场馆配套设施，创新香山历史文化传播形式，突破传统静态展陈局限，通过科技手段拓展历史解读、场景复原、文化科普、互动体验等展示形式，深度挖掘、生动呈现香山历史文化内涵。</w:t>
      </w:r>
    </w:p>
    <w:p w14:paraId="6E0A55B5">
      <w:pPr>
        <w:numPr>
          <w:ilvl w:val="0"/>
          <w:numId w:val="4"/>
        </w:numPr>
        <w:spacing w:after="160" w:line="360" w:lineRule="auto"/>
        <w:ind w:left="1055" w:hanging="425"/>
        <w:contextualSpacing/>
        <w:rPr>
          <w:rFonts w:ascii="Times New Roman" w:hAnsi="Times New Roman" w:eastAsia="宋体" w:cs="Times New Roman"/>
          <w:sz w:val="24"/>
        </w:rPr>
      </w:pPr>
      <w:r>
        <w:rPr>
          <w:rFonts w:hint="eastAsia" w:ascii="Times New Roman" w:hAnsi="Times New Roman" w:eastAsia="宋体" w:cs="Times New Roman"/>
          <w:sz w:val="24"/>
        </w:rPr>
        <w:t>体验场景优化：结合沉浸式、数字化展陈技术，搭配适配文化场馆风格的配套家具，打造兼具文化性、观赏性、互动性、舒适性的展览及文创休闲空间，为观众提供沉浸式、多维度、多层次的参观体验，提升游客游览满意度。</w:t>
      </w:r>
    </w:p>
    <w:p w14:paraId="1D86E024">
      <w:pPr>
        <w:numPr>
          <w:ilvl w:val="0"/>
          <w:numId w:val="4"/>
        </w:numPr>
        <w:spacing w:after="160" w:line="360" w:lineRule="auto"/>
        <w:ind w:left="1055" w:hanging="425"/>
        <w:contextualSpacing/>
        <w:rPr>
          <w:rFonts w:ascii="Times New Roman" w:hAnsi="Times New Roman" w:eastAsia="宋体" w:cs="Times New Roman"/>
          <w:sz w:val="24"/>
        </w:rPr>
      </w:pPr>
      <w:r>
        <w:rPr>
          <w:rFonts w:hint="eastAsia" w:ascii="Times New Roman" w:hAnsi="Times New Roman" w:eastAsia="宋体" w:cs="Times New Roman"/>
          <w:sz w:val="24"/>
        </w:rPr>
        <w:t>功能配套完善：完善场馆展示、休闲、服务配套功能，实现历史文化展示、游客休闲休憩、文创体验等多功能融合，提升香山公园文旅服务品质与品牌形象。</w:t>
      </w:r>
    </w:p>
    <w:p w14:paraId="5A518165">
      <w:pPr>
        <w:numPr>
          <w:ilvl w:val="0"/>
          <w:numId w:val="4"/>
        </w:numPr>
        <w:spacing w:after="160" w:line="360" w:lineRule="auto"/>
        <w:ind w:left="1055" w:hanging="425"/>
        <w:contextualSpacing/>
        <w:rPr>
          <w:rFonts w:ascii="Times New Roman" w:hAnsi="Times New Roman" w:eastAsia="宋体" w:cs="Times New Roman"/>
          <w:sz w:val="24"/>
        </w:rPr>
      </w:pPr>
      <w:r>
        <w:rPr>
          <w:rFonts w:hint="eastAsia" w:ascii="Times New Roman" w:hAnsi="Times New Roman" w:eastAsia="宋体" w:cs="Times New Roman"/>
          <w:sz w:val="24"/>
        </w:rPr>
        <w:t>性价比最优落地：结合项目各区域面积、功能布局、使用需求，参照市场主流高性价比设备标准选型配置，在保障质量、性能、使用效果的前提下，实现项目性价比最大化。</w:t>
      </w:r>
    </w:p>
    <w:p w14:paraId="03DDE200">
      <w:pPr>
        <w:numPr>
          <w:ilvl w:val="0"/>
          <w:numId w:val="4"/>
        </w:numPr>
        <w:spacing w:after="160" w:line="360" w:lineRule="auto"/>
        <w:ind w:left="1055" w:hanging="425"/>
        <w:contextualSpacing/>
        <w:rPr>
          <w:rFonts w:ascii="Times New Roman" w:hAnsi="Times New Roman" w:eastAsia="宋体" w:cs="Times New Roman"/>
          <w:sz w:val="24"/>
        </w:rPr>
      </w:pPr>
      <w:r>
        <w:rPr>
          <w:rFonts w:hint="eastAsia" w:ascii="Times New Roman" w:hAnsi="Times New Roman" w:eastAsia="宋体" w:cs="Times New Roman"/>
          <w:sz w:val="24"/>
        </w:rPr>
        <w:t>通过该项目，传承了优秀的香山公园历史文脉，提升了香山公园的影响力，预期目标如下：</w:t>
      </w:r>
    </w:p>
    <w:p w14:paraId="7233D976">
      <w:pPr>
        <w:numPr>
          <w:ilvl w:val="0"/>
          <w:numId w:val="5"/>
        </w:numPr>
        <w:spacing w:after="160" w:line="360" w:lineRule="auto"/>
        <w:ind w:left="1265" w:hanging="425"/>
        <w:contextualSpacing/>
        <w:rPr>
          <w:rFonts w:ascii="Times New Roman" w:hAnsi="Times New Roman" w:eastAsia="宋体" w:cs="Times New Roman"/>
          <w:sz w:val="24"/>
        </w:rPr>
      </w:pPr>
      <w:r>
        <w:rPr>
          <w:rFonts w:hint="eastAsia" w:ascii="Times New Roman" w:hAnsi="Times New Roman" w:eastAsia="宋体" w:cs="Times New Roman"/>
          <w:sz w:val="24"/>
        </w:rPr>
        <w:t>文化传承目标：保护和传承香山的历史文化遗产，使之成为连接过去与未来的文化纽带。</w:t>
      </w:r>
    </w:p>
    <w:p w14:paraId="4A2A7E4D">
      <w:pPr>
        <w:numPr>
          <w:ilvl w:val="0"/>
          <w:numId w:val="5"/>
        </w:numPr>
        <w:spacing w:after="160" w:line="360" w:lineRule="auto"/>
        <w:ind w:left="1265" w:hanging="425"/>
        <w:contextualSpacing/>
        <w:rPr>
          <w:rFonts w:ascii="Times New Roman" w:hAnsi="Times New Roman" w:eastAsia="宋体" w:cs="Times New Roman"/>
          <w:sz w:val="24"/>
        </w:rPr>
      </w:pPr>
      <w:r>
        <w:rPr>
          <w:rFonts w:hint="eastAsia" w:ascii="Times New Roman" w:hAnsi="Times New Roman" w:eastAsia="宋体" w:cs="Times New Roman"/>
          <w:sz w:val="24"/>
        </w:rPr>
        <w:t>品牌建设目标：提升香山的文化品牌形象，增强其在国内外文化旅游市场的竞争力。</w:t>
      </w:r>
    </w:p>
    <w:p w14:paraId="5B3C2251">
      <w:pPr>
        <w:numPr>
          <w:ilvl w:val="0"/>
          <w:numId w:val="5"/>
        </w:numPr>
        <w:spacing w:after="160" w:line="360" w:lineRule="auto"/>
        <w:ind w:left="1265" w:hanging="425"/>
        <w:contextualSpacing/>
        <w:rPr>
          <w:rFonts w:ascii="Times New Roman" w:hAnsi="Times New Roman" w:eastAsia="宋体" w:cs="Times New Roman"/>
          <w:sz w:val="24"/>
        </w:rPr>
      </w:pPr>
      <w:r>
        <w:rPr>
          <w:rFonts w:hint="eastAsia" w:ascii="Times New Roman" w:hAnsi="Times New Roman" w:eastAsia="宋体" w:cs="Times New Roman"/>
          <w:sz w:val="24"/>
        </w:rPr>
        <w:t>经济效益目标：通过文化中心的建设带动香山及周边地区的文化旅游经济，促进区域经济发展。</w:t>
      </w:r>
    </w:p>
    <w:p w14:paraId="2CFD6F2B">
      <w:pPr>
        <w:numPr>
          <w:ilvl w:val="0"/>
          <w:numId w:val="5"/>
        </w:numPr>
        <w:spacing w:after="160" w:line="360" w:lineRule="auto"/>
        <w:ind w:left="1265" w:hanging="425"/>
        <w:contextualSpacing/>
        <w:rPr>
          <w:rFonts w:ascii="Times New Roman" w:hAnsi="Times New Roman" w:eastAsia="宋体" w:cs="Times New Roman"/>
          <w:sz w:val="24"/>
        </w:rPr>
      </w:pPr>
      <w:r>
        <w:rPr>
          <w:rFonts w:hint="eastAsia" w:ascii="Times New Roman" w:hAnsi="Times New Roman" w:eastAsia="宋体" w:cs="Times New Roman"/>
          <w:sz w:val="24"/>
        </w:rPr>
        <w:t>社会效益目标：增强社会对香山文化的认同感和历史文化的自豪感，促进社会和谐与进步。</w:t>
      </w:r>
    </w:p>
    <w:p w14:paraId="119E9420">
      <w:pPr>
        <w:numPr>
          <w:ilvl w:val="0"/>
          <w:numId w:val="5"/>
        </w:numPr>
        <w:spacing w:after="160" w:line="360" w:lineRule="auto"/>
        <w:ind w:left="1265" w:hanging="425"/>
        <w:contextualSpacing/>
        <w:rPr>
          <w:rFonts w:ascii="Times New Roman" w:hAnsi="Times New Roman" w:eastAsia="宋体" w:cs="Times New Roman"/>
          <w:sz w:val="24"/>
        </w:rPr>
      </w:pPr>
      <w:r>
        <w:rPr>
          <w:rFonts w:hint="eastAsia" w:ascii="Times New Roman" w:hAnsi="Times New Roman" w:eastAsia="宋体" w:cs="Times New Roman"/>
          <w:sz w:val="24"/>
        </w:rPr>
        <w:t>展览效果目标：确保展览内容丰富、形式多样，能够满足不同年龄层、不同文化背景的游客参观需要。</w:t>
      </w:r>
    </w:p>
    <w:p w14:paraId="0BA53864">
      <w:pPr>
        <w:numPr>
          <w:ilvl w:val="0"/>
          <w:numId w:val="5"/>
        </w:numPr>
        <w:spacing w:after="160" w:line="360" w:lineRule="auto"/>
        <w:ind w:left="1265" w:hanging="425"/>
        <w:contextualSpacing/>
        <w:rPr>
          <w:rFonts w:ascii="Times New Roman" w:hAnsi="Times New Roman" w:eastAsia="宋体" w:cs="Times New Roman"/>
          <w:sz w:val="24"/>
        </w:rPr>
      </w:pPr>
      <w:r>
        <w:rPr>
          <w:rFonts w:hint="eastAsia" w:ascii="Times New Roman" w:hAnsi="Times New Roman" w:eastAsia="宋体" w:cs="Times New Roman"/>
          <w:sz w:val="24"/>
        </w:rPr>
        <w:t>观众体验目标：提供高质量的参观体验，包括专业的讲解服务、互动体验等，以满足不同游客的需求。</w:t>
      </w:r>
    </w:p>
    <w:p w14:paraId="5C71009C">
      <w:pPr>
        <w:numPr>
          <w:ilvl w:val="0"/>
          <w:numId w:val="5"/>
        </w:numPr>
        <w:spacing w:after="160" w:line="360" w:lineRule="auto"/>
        <w:ind w:left="1265" w:hanging="425"/>
        <w:contextualSpacing/>
        <w:rPr>
          <w:rFonts w:ascii="Times New Roman" w:hAnsi="Times New Roman" w:eastAsia="宋体" w:cs="Times New Roman"/>
          <w:sz w:val="24"/>
        </w:rPr>
      </w:pPr>
      <w:r>
        <w:rPr>
          <w:rFonts w:hint="eastAsia" w:ascii="Times New Roman" w:hAnsi="Times New Roman" w:eastAsia="宋体" w:cs="Times New Roman"/>
          <w:sz w:val="24"/>
        </w:rPr>
        <w:t>国际交流目标：通过展览促进国际文化交流，提升香山乃至中国文化的国际影响力。</w:t>
      </w:r>
    </w:p>
    <w:p w14:paraId="763147EC">
      <w:pPr>
        <w:spacing w:after="160" w:line="360" w:lineRule="auto"/>
        <w:ind w:firstLine="480" w:firstLineChars="200"/>
        <w:contextualSpacing/>
        <w:rPr>
          <w:rFonts w:ascii="Times New Roman" w:hAnsi="Times New Roman" w:eastAsia="宋体" w:cs="Times New Roman"/>
          <w:sz w:val="24"/>
        </w:rPr>
      </w:pPr>
      <w:r>
        <w:rPr>
          <w:rFonts w:ascii="Times New Roman" w:hAnsi="Times New Roman" w:eastAsia="宋体" w:cs="Times New Roman"/>
          <w:sz w:val="24"/>
        </w:rPr>
        <w:t>1.2 需执行的国家相关标准、行业标准、地方标准或者其他标准、规范</w:t>
      </w:r>
    </w:p>
    <w:p w14:paraId="5BA10E1C">
      <w:pPr>
        <w:widowControl/>
        <w:spacing w:after="160" w:line="360" w:lineRule="auto"/>
        <w:ind w:left="479" w:leftChars="228" w:firstLine="480" w:firstLineChars="200"/>
        <w:contextualSpacing/>
        <w:rPr>
          <w:rFonts w:ascii="Times New Roman" w:hAnsi="Times New Roman" w:eastAsia="宋体" w:cs="Times New Roman"/>
          <w:sz w:val="24"/>
        </w:rPr>
      </w:pPr>
      <w:r>
        <w:rPr>
          <w:rFonts w:hint="eastAsia" w:ascii="Times New Roman" w:hAnsi="Times New Roman" w:eastAsia="宋体" w:cs="Times New Roman"/>
          <w:sz w:val="24"/>
        </w:rPr>
        <w:t>本项目所有货物供货、系统调试、现场安装整体验收交付全过程，须严格遵守国家、行业、地方现行有效标准、规范及规程，所有产品、工艺、安装施工质量不得低于以下标准要求，若新标准发布实施，按最新最高标准执行。</w:t>
      </w:r>
    </w:p>
    <w:p w14:paraId="4CA73F3C">
      <w:pPr>
        <w:widowControl/>
        <w:numPr>
          <w:ilvl w:val="0"/>
          <w:numId w:val="6"/>
        </w:numPr>
        <w:spacing w:after="160" w:line="360" w:lineRule="auto"/>
        <w:ind w:left="1055" w:hanging="425"/>
        <w:rPr>
          <w:rFonts w:ascii="Times New Roman" w:hAnsi="Times New Roman" w:eastAsia="宋体" w:cs="Times New Roman"/>
          <w:sz w:val="24"/>
        </w:rPr>
      </w:pPr>
      <w:r>
        <w:rPr>
          <w:rFonts w:hint="eastAsia" w:ascii="Times New Roman" w:hAnsi="Times New Roman" w:eastAsia="宋体" w:cs="Times New Roman"/>
          <w:sz w:val="24"/>
        </w:rPr>
        <w:t>3C认证：国家强制性产品认证证书符合GB 17625.1-2022;GB 4943.1-2022;GB/T 9254.1-2021产品标准和技术要求。</w:t>
      </w:r>
    </w:p>
    <w:p w14:paraId="4731AC53">
      <w:pPr>
        <w:widowControl/>
        <w:numPr>
          <w:ilvl w:val="0"/>
          <w:numId w:val="6"/>
        </w:numPr>
        <w:spacing w:after="160" w:line="360" w:lineRule="auto"/>
        <w:ind w:left="1055" w:hanging="425"/>
        <w:rPr>
          <w:rFonts w:ascii="Times New Roman" w:hAnsi="Times New Roman" w:eastAsia="宋体" w:cs="Times New Roman"/>
          <w:sz w:val="24"/>
        </w:rPr>
      </w:pPr>
      <w:r>
        <w:rPr>
          <w:rFonts w:hint="eastAsia" w:ascii="Times New Roman" w:hAnsi="Times New Roman" w:eastAsia="宋体" w:cs="Times New Roman"/>
          <w:sz w:val="24"/>
        </w:rPr>
        <w:t>CECP认证：中国节能认证/环保认证符合GB 32028-2015 CQC6102-2016 产品标准和技术要求。</w:t>
      </w:r>
    </w:p>
    <w:p w14:paraId="57ACC996">
      <w:pPr>
        <w:widowControl/>
        <w:numPr>
          <w:ilvl w:val="0"/>
          <w:numId w:val="6"/>
        </w:numPr>
        <w:spacing w:after="160" w:line="360" w:lineRule="auto"/>
        <w:ind w:left="1055" w:hanging="425"/>
        <w:rPr>
          <w:rFonts w:ascii="Times New Roman" w:hAnsi="Times New Roman" w:eastAsia="宋体" w:cs="Times New Roman"/>
          <w:sz w:val="24"/>
        </w:rPr>
      </w:pPr>
      <w:r>
        <w:rPr>
          <w:rFonts w:hint="eastAsia" w:ascii="Times New Roman" w:hAnsi="Times New Roman" w:eastAsia="宋体" w:cs="Times New Roman"/>
          <w:sz w:val="24"/>
        </w:rPr>
        <w:t>检测报告：国家认可的第三方检测机构出具的检测报告。</w:t>
      </w:r>
    </w:p>
    <w:p w14:paraId="165E620F">
      <w:pPr>
        <w:widowControl/>
        <w:numPr>
          <w:ilvl w:val="0"/>
          <w:numId w:val="6"/>
        </w:numPr>
        <w:spacing w:after="160" w:line="360" w:lineRule="auto"/>
        <w:ind w:left="1055" w:hanging="425"/>
        <w:rPr>
          <w:rFonts w:ascii="Times New Roman" w:hAnsi="Times New Roman" w:eastAsia="宋体" w:cs="Times New Roman"/>
          <w:sz w:val="24"/>
        </w:rPr>
      </w:pPr>
      <w:r>
        <w:rPr>
          <w:rFonts w:hint="eastAsia" w:ascii="Times New Roman" w:hAnsi="Times New Roman" w:eastAsia="宋体" w:cs="Times New Roman"/>
          <w:sz w:val="24"/>
        </w:rPr>
        <w:t>多媒体设备标准：智慧场馆多媒体运管相关行业规范，所有触控一体机、投影机等多媒体设备选型、安装、调试需符合弱电工程、视听设备、智能展示设备相关国家规范，保障设备运行稳定、操作安全、展示效果清晰流畅。</w:t>
      </w:r>
    </w:p>
    <w:p w14:paraId="3DE4934B">
      <w:pPr>
        <w:spacing w:after="160" w:line="360" w:lineRule="auto"/>
        <w:contextualSpacing/>
        <w:rPr>
          <w:rFonts w:ascii="Times New Roman" w:hAnsi="Times New Roman" w:eastAsia="宋体" w:cs="Times New Roman"/>
          <w:sz w:val="24"/>
        </w:rPr>
      </w:pPr>
      <w:r>
        <w:rPr>
          <w:rFonts w:ascii="Times New Roman" w:hAnsi="Times New Roman" w:eastAsia="宋体" w:cs="Times New Roman"/>
          <w:sz w:val="24"/>
        </w:rPr>
        <w:t>2. 服务内容及要求/货物技术要求</w:t>
      </w:r>
    </w:p>
    <w:p w14:paraId="04F386C8">
      <w:pPr>
        <w:widowControl/>
        <w:spacing w:after="160" w:line="360" w:lineRule="auto"/>
        <w:ind w:firstLine="480" w:firstLineChars="200"/>
        <w:contextualSpacing/>
        <w:rPr>
          <w:rFonts w:ascii="Times New Roman" w:hAnsi="Times New Roman" w:eastAsia="宋体" w:cs="Times New Roman"/>
          <w:sz w:val="24"/>
        </w:rPr>
      </w:pPr>
      <w:r>
        <w:rPr>
          <w:rFonts w:ascii="Times New Roman" w:hAnsi="Times New Roman" w:eastAsia="宋体" w:cs="Times New Roman"/>
          <w:sz w:val="24"/>
        </w:rPr>
        <w:t>2.1采购标的需满足的性能、材料、结构、外观、质量、安全、技术规格、物理特性等要求</w:t>
      </w:r>
    </w:p>
    <w:p w14:paraId="0D8654AA">
      <w:pPr>
        <w:widowControl w:val="0"/>
        <w:numPr>
          <w:ilvl w:val="0"/>
          <w:numId w:val="7"/>
        </w:numPr>
        <w:autoSpaceDE/>
        <w:autoSpaceDN/>
        <w:adjustRightInd w:val="0"/>
        <w:spacing w:after="160" w:line="360" w:lineRule="auto"/>
        <w:ind w:left="1055" w:hanging="425"/>
        <w:jc w:val="both"/>
        <w:rPr>
          <w:rFonts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触控一体机专项要求</w:t>
      </w:r>
    </w:p>
    <w:p w14:paraId="756AC576">
      <w:pPr>
        <w:widowControl/>
        <w:spacing w:after="160"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采用高清工业级显示屏幕，色彩还原度高、画质清晰，可真实还原历史图文、影像资料色彩；触控灵敏精准，支持多点触控、手写操作，响应速度快，无延迟、无漂移、无失灵情况；机身工艺精致，边框简约窄边设计，贴合展馆雅致文化氛围；具备防眩光、防反光、防尘、防静电功能，适配室内不同光线环境观看；内置智能温控、过载保护、漏电保护装置，具备开机自检、故障提示功能，安全性、稳定性满足公共场所高频次使用需求；支持后台内容远程更新、权限管理、运行状态监测，操作简单便捷，适配场馆工作人员日常运维。</w:t>
      </w:r>
    </w:p>
    <w:p w14:paraId="1C26398E">
      <w:pPr>
        <w:widowControl w:val="0"/>
        <w:numPr>
          <w:ilvl w:val="0"/>
          <w:numId w:val="7"/>
        </w:numPr>
        <w:autoSpaceDE/>
        <w:autoSpaceDN/>
        <w:adjustRightInd w:val="0"/>
        <w:spacing w:after="160" w:line="360" w:lineRule="auto"/>
        <w:ind w:left="1055" w:hanging="425"/>
        <w:jc w:val="both"/>
        <w:rPr>
          <w:rFonts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投影机专项要求</w:t>
      </w:r>
    </w:p>
    <w:p w14:paraId="017AAF77">
      <w:pPr>
        <w:spacing w:after="120"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采用高清高亮成像配置，亮度均匀、对比度高，成像清晰细腻，色彩饱和度高，可完美适配历史场景复原、影像展播、大屏沉浸式播放需求；具备长效防尘、耐高温、抗老化性能，光源使用寿命长，适配展馆长期固定点位使用；支持多角度精准对焦、梯形校正，画面方正无变形、无模糊；运行噪音低、散热效率高，无强光刺眼问题，符合观展舒适标准；接口丰富，兼容多种播放设备，支持7×24小时待机运行，故障率低、运维便捷，适配沉浸式文化展陈场景。</w:t>
      </w:r>
    </w:p>
    <w:p w14:paraId="5AAA2885">
      <w:pPr>
        <w:widowControl/>
        <w:spacing w:after="160" w:line="360" w:lineRule="auto"/>
        <w:ind w:firstLine="480" w:firstLineChars="200"/>
        <w:contextualSpacing/>
        <w:rPr>
          <w:rFonts w:ascii="Times New Roman" w:hAnsi="Times New Roman" w:eastAsia="宋体" w:cs="Times New Roman"/>
          <w:sz w:val="24"/>
        </w:rPr>
      </w:pPr>
      <w:r>
        <w:rPr>
          <w:rFonts w:ascii="Times New Roman" w:hAnsi="Times New Roman" w:eastAsia="宋体" w:cs="Times New Roman"/>
          <w:sz w:val="24"/>
        </w:rPr>
        <w:t>2.2采购标的需满足的服务标准、期限、效率等要求</w:t>
      </w:r>
    </w:p>
    <w:p w14:paraId="4CE14A50">
      <w:pPr>
        <w:widowControl/>
        <w:spacing w:after="160"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本采购项目为货物采购+安装调试一体化服务，主要包含触控一体机、投影机（工程投影机）设备购置、运输、现场安装、系统调试、联调试运行、验收交付及售后保障等全部内容，整体按照市场主流高性价比标准配置，确保设备性能稳定、适配场馆使用场景、贴合文化展览展示需求。</w:t>
      </w:r>
    </w:p>
    <w:p w14:paraId="79ECB5C0">
      <w:pPr>
        <w:widowControl/>
        <w:spacing w:after="160"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总工期不超过40日历天；质保期两年；本项目的设备必须符合现行国家、行业及所在地地方标准和技术规范的要求。</w:t>
      </w:r>
    </w:p>
    <w:p w14:paraId="09058D06">
      <w:pPr>
        <w:widowControl/>
        <w:spacing w:after="160" w:line="360" w:lineRule="auto"/>
        <w:ind w:firstLine="480" w:firstLineChars="200"/>
        <w:contextualSpacing/>
        <w:rPr>
          <w:rFonts w:ascii="Times New Roman" w:hAnsi="Times New Roman" w:eastAsia="宋体" w:cs="Times New Roman"/>
          <w:sz w:val="24"/>
        </w:rPr>
      </w:pPr>
      <w:r>
        <w:rPr>
          <w:rFonts w:ascii="Times New Roman" w:hAnsi="Times New Roman" w:eastAsia="宋体" w:cs="Times New Roman"/>
          <w:sz w:val="24"/>
        </w:rPr>
        <w:t>2.3为落实政府采购政策需满足的要求</w:t>
      </w:r>
    </w:p>
    <w:p w14:paraId="34FFE5D7">
      <w:pPr>
        <w:widowControl/>
        <w:spacing w:after="160" w:line="360" w:lineRule="auto"/>
        <w:ind w:firstLine="480" w:firstLineChars="200"/>
        <w:rPr>
          <w:rFonts w:ascii="Times New Roman" w:hAnsi="Times New Roman" w:eastAsia="宋体" w:cs="Times New Roman"/>
        </w:rPr>
      </w:pPr>
      <w:r>
        <w:rPr>
          <w:rFonts w:hint="eastAsia" w:ascii="Times New Roman" w:hAnsi="Times New Roman" w:eastAsia="宋体" w:cs="Times New Roman"/>
          <w:sz w:val="24"/>
        </w:rPr>
        <w:t>所有设备须符合国家3C强制认证、环保检测标准，具备合格证书、出厂检测报告、质保凭证等全套资料；设备运行稳定、散热良好，支持长时间不间断开机运行，适配展馆全年常态化开放使用；系统运行流畅，无卡顿、无闪退、无花屏故障，支持图片、视频、图文解说、互动程序等多格式内容播放；设备接口齐全，兼容后期内容更新、系统升级、功能拓展，具备良好的通用性与扩展性。</w:t>
      </w:r>
    </w:p>
    <w:p w14:paraId="58212798">
      <w:pPr>
        <w:widowControl/>
        <w:spacing w:after="160" w:line="360" w:lineRule="auto"/>
        <w:ind w:firstLine="480" w:firstLineChars="200"/>
        <w:contextualSpacing/>
        <w:rPr>
          <w:rFonts w:ascii="Times New Roman" w:hAnsi="Times New Roman" w:eastAsia="宋体" w:cs="Times New Roman"/>
          <w:sz w:val="24"/>
        </w:rPr>
      </w:pPr>
      <w:r>
        <w:rPr>
          <w:rFonts w:ascii="Times New Roman" w:hAnsi="Times New Roman" w:eastAsia="宋体" w:cs="Times New Roman"/>
          <w:sz w:val="24"/>
        </w:rPr>
        <w:t>2.4采购标的的其他技术、服务等要求</w:t>
      </w:r>
    </w:p>
    <w:p w14:paraId="0AF8DECB">
      <w:pPr>
        <w:widowControl/>
        <w:spacing w:after="160"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本项目所有多媒体展示设备（触控一体机、工程投影机等）须适配香山历史文化主题展馆室内长期运行场景，满足高清展陈、人机互动、稳定耐用、统一适配的使用要求，所有设备为全新原厂正品，无翻新、无拆机、无瑕疵。</w:t>
      </w:r>
    </w:p>
    <w:p w14:paraId="0887CCCB">
      <w:pPr>
        <w:widowControl/>
        <w:spacing w:after="160" w:line="360" w:lineRule="auto"/>
        <w:ind w:firstLine="480" w:firstLineChars="200"/>
        <w:contextualSpacing/>
        <w:rPr>
          <w:rFonts w:ascii="Times New Roman" w:hAnsi="Times New Roman" w:eastAsia="宋体" w:cs="Times New Roman"/>
          <w:sz w:val="24"/>
        </w:rPr>
      </w:pPr>
      <w:r>
        <w:rPr>
          <w:rFonts w:ascii="Times New Roman" w:hAnsi="Times New Roman" w:eastAsia="宋体" w:cs="Times New Roman"/>
          <w:sz w:val="24"/>
        </w:rPr>
        <w:t>2.5需由供应商提供设计方案、解决方案或者组织方案的采购项目，应当说明采购标的的功能、应用场景、目标等基本要求</w:t>
      </w:r>
    </w:p>
    <w:p w14:paraId="5CC84051">
      <w:pPr>
        <w:numPr>
          <w:ilvl w:val="0"/>
          <w:numId w:val="8"/>
        </w:numPr>
        <w:spacing w:after="160" w:line="360" w:lineRule="auto"/>
        <w:ind w:left="845" w:hanging="425"/>
        <w:jc w:val="left"/>
        <w:rPr>
          <w:rFonts w:ascii="Times New Roman" w:hAnsi="Times New Roman" w:eastAsia="宋体" w:cs="Times New Roman"/>
          <w:sz w:val="24"/>
        </w:rPr>
      </w:pPr>
      <w:r>
        <w:rPr>
          <w:rFonts w:hint="eastAsia" w:ascii="Times New Roman" w:hAnsi="Times New Roman" w:eastAsia="宋体" w:cs="Times New Roman"/>
          <w:sz w:val="24"/>
        </w:rPr>
        <w:t>前期勘测：中标人进场后3个日历天内完成A/B/C三栋展馆现场点位复核、安装环境勘测，出具施工安装排布方案，报请采购人及监理审核通过后开工。</w:t>
      </w:r>
    </w:p>
    <w:p w14:paraId="09584297">
      <w:pPr>
        <w:numPr>
          <w:ilvl w:val="0"/>
          <w:numId w:val="8"/>
        </w:numPr>
        <w:spacing w:after="160" w:line="360" w:lineRule="auto"/>
        <w:ind w:left="845" w:hanging="425"/>
        <w:jc w:val="left"/>
        <w:rPr>
          <w:rFonts w:ascii="Times New Roman" w:hAnsi="Times New Roman" w:eastAsia="宋体" w:cs="Times New Roman"/>
          <w:bCs/>
          <w:sz w:val="24"/>
        </w:rPr>
      </w:pPr>
      <w:r>
        <w:rPr>
          <w:rFonts w:hint="eastAsia" w:ascii="Times New Roman" w:hAnsi="Times New Roman" w:eastAsia="宋体" w:cs="Times New Roman"/>
          <w:bCs/>
          <w:sz w:val="24"/>
        </w:rPr>
        <w:t>中标人需安排专职现场项目负责人驻场统筹安装、施工、调试全流程，配合招标人、监理单位现场管控，服从园区场馆施工管理、消防安全管理。</w:t>
      </w:r>
    </w:p>
    <w:p w14:paraId="19FF4232">
      <w:pPr>
        <w:numPr>
          <w:ilvl w:val="0"/>
          <w:numId w:val="8"/>
        </w:numPr>
        <w:spacing w:after="0" w:line="360" w:lineRule="auto"/>
        <w:ind w:left="845" w:hanging="425"/>
        <w:rPr>
          <w:rFonts w:hint="eastAsia" w:ascii="宋体" w:hAnsi="宋体" w:eastAsia="宋体" w:cs="宋体"/>
          <w:bCs/>
          <w:sz w:val="24"/>
        </w:rPr>
      </w:pPr>
      <w:r>
        <w:rPr>
          <w:rFonts w:hint="eastAsia" w:ascii="宋体" w:hAnsi="宋体" w:eastAsia="宋体" w:cs="宋体"/>
          <w:bCs/>
          <w:sz w:val="24"/>
        </w:rPr>
        <w:t>供货及安装范围：中标供应商负责所有设备送货至指定地点、设备摆放就位、需安装到已固定到位的机架上、线缆连接。本项目安装服务不含投影机吊架、落地支架、固定机架等支撑结构件，上述构件由招标人负责采购、安装与固定。</w:t>
      </w:r>
    </w:p>
    <w:p w14:paraId="709B3980">
      <w:pPr>
        <w:numPr>
          <w:ilvl w:val="0"/>
          <w:numId w:val="8"/>
        </w:numPr>
        <w:spacing w:after="160" w:line="360" w:lineRule="auto"/>
        <w:ind w:left="845" w:hanging="425"/>
        <w:jc w:val="left"/>
        <w:rPr>
          <w:rFonts w:ascii="Times New Roman" w:hAnsi="Times New Roman" w:eastAsia="宋体" w:cs="Times New Roman"/>
          <w:sz w:val="24"/>
        </w:rPr>
      </w:pPr>
      <w:r>
        <w:rPr>
          <w:rFonts w:hint="eastAsia" w:ascii="Times New Roman" w:hAnsi="Times New Roman" w:eastAsia="宋体" w:cs="Times New Roman"/>
          <w:sz w:val="24"/>
        </w:rPr>
        <w:t>单机单点调试：单台设备安装完成后，完成硬件自检、屏幕色彩校准、触控参数调试、投影焦距校正、梯形畸变调试、降噪调试、散热参数调试，确保单台设备性能达标、参数匹配场馆使用环境。</w:t>
      </w:r>
    </w:p>
    <w:p w14:paraId="0DF9CC54">
      <w:pPr>
        <w:numPr>
          <w:ilvl w:val="0"/>
          <w:numId w:val="8"/>
        </w:numPr>
        <w:spacing w:after="160" w:line="360" w:lineRule="auto"/>
        <w:ind w:left="845" w:hanging="425"/>
        <w:jc w:val="left"/>
        <w:rPr>
          <w:rFonts w:ascii="Times New Roman" w:hAnsi="Times New Roman" w:eastAsia="宋体" w:cs="Times New Roman"/>
          <w:sz w:val="24"/>
        </w:rPr>
      </w:pPr>
      <w:r>
        <w:rPr>
          <w:rFonts w:hint="eastAsia" w:ascii="Times New Roman" w:hAnsi="Times New Roman" w:eastAsia="宋体" w:cs="Times New Roman"/>
          <w:sz w:val="24"/>
        </w:rPr>
        <w:t>试运行调试：全部设备安装调试完毕后，开展不少于72小时不间断空载+带载试运行，排查设备死机、花屏、触控失灵、投影偏色、线路故障等问题，完成优化整改调试，出具试运行调试报告。</w:t>
      </w:r>
    </w:p>
    <w:p w14:paraId="43206A7D">
      <w:pPr>
        <w:numPr>
          <w:ilvl w:val="0"/>
          <w:numId w:val="8"/>
        </w:numPr>
        <w:spacing w:after="160" w:line="360" w:lineRule="auto"/>
        <w:ind w:left="845" w:hanging="425"/>
        <w:jc w:val="left"/>
        <w:rPr>
          <w:rFonts w:ascii="Times New Roman" w:hAnsi="Times New Roman" w:eastAsia="宋体" w:cs="Times New Roman"/>
          <w:sz w:val="24"/>
        </w:rPr>
      </w:pPr>
      <w:r>
        <w:rPr>
          <w:rFonts w:hint="eastAsia" w:ascii="Times New Roman" w:hAnsi="Times New Roman" w:eastAsia="宋体" w:cs="Times New Roman"/>
          <w:sz w:val="24"/>
        </w:rPr>
        <w:t>交付培训：安装调试验收同步完成场馆运维人员实操培训，包含设备开关机、参数基础设置、内容简易更新、故障自查、基础调试操作，提供纸质+电子版调试手册、运维说明书。</w:t>
      </w:r>
    </w:p>
    <w:p w14:paraId="4DA20B2F">
      <w:pPr>
        <w:spacing w:after="160" w:line="360" w:lineRule="auto"/>
        <w:contextualSpacing/>
        <w:rPr>
          <w:rFonts w:ascii="Times New Roman" w:hAnsi="Times New Roman" w:eastAsia="宋体" w:cs="Times New Roman"/>
          <w:i/>
          <w:iCs/>
          <w:sz w:val="24"/>
        </w:rPr>
      </w:pPr>
      <w:r>
        <w:rPr>
          <w:rFonts w:ascii="Times New Roman" w:hAnsi="Times New Roman" w:eastAsia="宋体" w:cs="Times New Roman"/>
          <w:sz w:val="24"/>
        </w:rPr>
        <w:t>3. 验收标准</w:t>
      </w:r>
    </w:p>
    <w:p w14:paraId="5C93F8BE">
      <w:pPr>
        <w:widowControl/>
        <w:spacing w:after="160" w:line="360" w:lineRule="auto"/>
        <w:ind w:firstLine="482"/>
        <w:contextualSpacing/>
        <w:rPr>
          <w:rFonts w:ascii="Times New Roman" w:hAnsi="Times New Roman" w:eastAsia="宋体" w:cs="Times New Roman"/>
          <w:sz w:val="24"/>
        </w:rPr>
      </w:pPr>
      <w:r>
        <w:rPr>
          <w:rFonts w:hint="eastAsia" w:ascii="Times New Roman" w:hAnsi="Times New Roman" w:eastAsia="宋体" w:cs="Times New Roman"/>
          <w:sz w:val="24"/>
        </w:rPr>
        <w:t xml:space="preserve"> 所有设备安装调试完成后，保证各项使用功能全部达标视为验收合格。</w:t>
      </w:r>
    </w:p>
    <w:p w14:paraId="33BA75BA">
      <w:pPr>
        <w:widowControl/>
        <w:spacing w:after="160" w:line="360" w:lineRule="auto"/>
        <w:ind w:firstLine="482"/>
        <w:contextualSpacing/>
        <w:rPr>
          <w:rFonts w:ascii="Times New Roman" w:hAnsi="Times New Roman" w:eastAsia="宋体" w:cs="Times New Roman"/>
          <w:sz w:val="24"/>
        </w:rPr>
      </w:pPr>
      <w:r>
        <w:rPr>
          <w:rFonts w:ascii="Times New Roman" w:hAnsi="Times New Roman" w:eastAsia="宋体" w:cs="Times New Roman"/>
          <w:sz w:val="24"/>
        </w:rPr>
        <w:t>·</w:t>
      </w:r>
      <w:r>
        <w:rPr>
          <w:rFonts w:hint="eastAsia" w:ascii="Times New Roman" w:hAnsi="Times New Roman" w:eastAsia="宋体" w:cs="Times New Roman"/>
          <w:sz w:val="24"/>
        </w:rPr>
        <w:t>验收不合格，中标人须在招标人规定时限内完成更换、整改、重新调试，直至验收通过。</w:t>
      </w:r>
    </w:p>
    <w:p w14:paraId="61D0E93C">
      <w:pPr>
        <w:spacing w:after="160" w:line="278" w:lineRule="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sz w:val="24"/>
        </w:rPr>
        <w:br w:type="page"/>
      </w:r>
    </w:p>
    <w:tbl>
      <w:tblPr>
        <w:tblStyle w:val="2"/>
        <w:tblW w:w="8730" w:type="dxa"/>
        <w:jc w:val="center"/>
        <w:tblLayout w:type="fixed"/>
        <w:tblCellMar>
          <w:top w:w="0" w:type="dxa"/>
          <w:left w:w="108" w:type="dxa"/>
          <w:bottom w:w="0" w:type="dxa"/>
          <w:right w:w="108" w:type="dxa"/>
        </w:tblCellMar>
      </w:tblPr>
      <w:tblGrid>
        <w:gridCol w:w="678"/>
        <w:gridCol w:w="951"/>
        <w:gridCol w:w="4600"/>
        <w:gridCol w:w="700"/>
        <w:gridCol w:w="512"/>
        <w:gridCol w:w="513"/>
        <w:gridCol w:w="776"/>
      </w:tblGrid>
      <w:tr w14:paraId="266CEE4F">
        <w:tblPrEx>
          <w:tblCellMar>
            <w:top w:w="0" w:type="dxa"/>
            <w:left w:w="108" w:type="dxa"/>
            <w:bottom w:w="0" w:type="dxa"/>
            <w:right w:w="108" w:type="dxa"/>
          </w:tblCellMar>
        </w:tblPrEx>
        <w:trPr>
          <w:trHeight w:val="450" w:hRule="atLeast"/>
          <w:jc w:val="center"/>
        </w:trPr>
        <w:tc>
          <w:tcPr>
            <w:tcW w:w="8730" w:type="dxa"/>
            <w:gridSpan w:val="7"/>
            <w:tcBorders>
              <w:top w:val="single" w:color="000000" w:sz="4" w:space="0"/>
              <w:left w:val="single" w:color="000000" w:sz="4" w:space="0"/>
              <w:bottom w:val="single" w:color="000000" w:sz="4" w:space="0"/>
              <w:right w:val="single" w:color="000000" w:sz="4" w:space="0"/>
            </w:tcBorders>
            <w:noWrap/>
            <w:vAlign w:val="center"/>
          </w:tcPr>
          <w:p w14:paraId="144E99BF">
            <w:pPr>
              <w:widowControl/>
              <w:spacing w:after="160" w:line="278" w:lineRule="auto"/>
              <w:jc w:val="left"/>
              <w:textAlignment w:val="center"/>
              <w:rPr>
                <w:rFonts w:hint="eastAsia" w:ascii="宋体" w:hAnsi="宋体" w:eastAsia="宋体" w:cs="宋体"/>
                <w:b/>
                <w:bCs/>
                <w:sz w:val="36"/>
                <w:szCs w:val="36"/>
              </w:rPr>
            </w:pPr>
            <w:bookmarkStart w:id="0" w:name="_GoBack"/>
            <w:bookmarkEnd w:id="0"/>
            <w:r>
              <w:rPr>
                <w:rFonts w:hint="eastAsia" w:ascii="宋体" w:hAnsi="宋体" w:eastAsia="宋体" w:cs="宋体"/>
                <w:b/>
                <w:bCs/>
                <w:kern w:val="0"/>
                <w:sz w:val="36"/>
                <w:szCs w:val="36"/>
                <w:lang w:bidi="ar"/>
              </w:rPr>
              <w:t xml:space="preserve">附件1  </w:t>
            </w:r>
            <w:r>
              <w:rPr>
                <w:rFonts w:hint="eastAsia" w:ascii="宋体" w:hAnsi="宋体" w:eastAsia="宋体" w:cs="宋体"/>
                <w:b/>
                <w:bCs/>
                <w:kern w:val="0"/>
                <w:sz w:val="32"/>
                <w:szCs w:val="32"/>
                <w:lang w:bidi="ar"/>
              </w:rPr>
              <w:t>北京市香山公园管理处2026年香山（静宜园）文化展示中心——一期展陈项目专用设备采购项目（多媒体设备）</w:t>
            </w:r>
          </w:p>
        </w:tc>
      </w:tr>
      <w:tr w14:paraId="0A3820E6">
        <w:tblPrEx>
          <w:tblCellMar>
            <w:top w:w="0" w:type="dxa"/>
            <w:left w:w="108" w:type="dxa"/>
            <w:bottom w:w="0" w:type="dxa"/>
            <w:right w:w="108" w:type="dxa"/>
          </w:tblCellMar>
        </w:tblPrEx>
        <w:trPr>
          <w:trHeight w:val="570"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F0FD6">
            <w:pPr>
              <w:widowControl/>
              <w:spacing w:after="160" w:line="278"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序号</w:t>
            </w:r>
          </w:p>
        </w:tc>
        <w:tc>
          <w:tcPr>
            <w:tcW w:w="9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F54FE">
            <w:pPr>
              <w:widowControl/>
              <w:spacing w:after="160" w:line="278"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设备名称</w:t>
            </w:r>
          </w:p>
        </w:tc>
        <w:tc>
          <w:tcPr>
            <w:tcW w:w="4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C5C5B">
            <w:pPr>
              <w:widowControl/>
              <w:spacing w:after="160" w:line="278"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规格参数</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FDEDC">
            <w:pPr>
              <w:widowControl/>
              <w:spacing w:after="160" w:line="278"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展项位置</w:t>
            </w:r>
          </w:p>
        </w:tc>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5628E">
            <w:pPr>
              <w:widowControl/>
              <w:spacing w:after="160" w:line="278"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单位</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2CA1C">
            <w:pPr>
              <w:widowControl/>
              <w:spacing w:after="160" w:line="278"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数量</w:t>
            </w:r>
          </w:p>
        </w:tc>
        <w:tc>
          <w:tcPr>
            <w:tcW w:w="7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07D00">
            <w:pPr>
              <w:widowControl/>
              <w:spacing w:after="160" w:line="278"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备注</w:t>
            </w:r>
          </w:p>
        </w:tc>
      </w:tr>
      <w:tr w14:paraId="7D2E9338">
        <w:tblPrEx>
          <w:tblCellMar>
            <w:top w:w="0" w:type="dxa"/>
            <w:left w:w="108" w:type="dxa"/>
            <w:bottom w:w="0" w:type="dxa"/>
            <w:right w:w="108" w:type="dxa"/>
          </w:tblCellMar>
        </w:tblPrEx>
        <w:trPr>
          <w:trHeight w:val="2995" w:hRule="atLeast"/>
          <w:jc w:val="center"/>
        </w:trPr>
        <w:tc>
          <w:tcPr>
            <w:tcW w:w="678" w:type="dxa"/>
            <w:tcBorders>
              <w:top w:val="single" w:color="000000" w:sz="4" w:space="0"/>
              <w:left w:val="single" w:color="000000" w:sz="4" w:space="0"/>
              <w:bottom w:val="single" w:color="000000" w:sz="4" w:space="0"/>
              <w:right w:val="single" w:color="000000" w:sz="4" w:space="0"/>
            </w:tcBorders>
            <w:noWrap/>
            <w:vAlign w:val="center"/>
          </w:tcPr>
          <w:p w14:paraId="2652DE5D">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951" w:type="dxa"/>
            <w:tcBorders>
              <w:top w:val="single" w:color="000000" w:sz="4" w:space="0"/>
              <w:left w:val="single" w:color="000000" w:sz="4" w:space="0"/>
              <w:bottom w:val="single" w:color="000000" w:sz="4" w:space="0"/>
              <w:right w:val="single" w:color="000000" w:sz="4" w:space="0"/>
            </w:tcBorders>
            <w:vAlign w:val="center"/>
          </w:tcPr>
          <w:p w14:paraId="54296236">
            <w:pPr>
              <w:widowControl/>
              <w:spacing w:after="160" w:line="278"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55寸触控一体机</w:t>
            </w:r>
          </w:p>
        </w:tc>
        <w:tc>
          <w:tcPr>
            <w:tcW w:w="4600" w:type="dxa"/>
            <w:tcBorders>
              <w:top w:val="single" w:color="000000" w:sz="4" w:space="0"/>
              <w:left w:val="single" w:color="000000" w:sz="4" w:space="0"/>
              <w:bottom w:val="single" w:color="000000" w:sz="4" w:space="0"/>
              <w:right w:val="single" w:color="000000" w:sz="4" w:space="0"/>
            </w:tcBorders>
            <w:vAlign w:val="center"/>
          </w:tcPr>
          <w:p w14:paraId="52A995F2">
            <w:pPr>
              <w:widowControl/>
              <w:spacing w:after="160" w:line="278" w:lineRule="auto"/>
              <w:jc w:val="left"/>
              <w:textAlignment w:val="center"/>
              <w:rPr>
                <w:rFonts w:ascii="Calibri" w:hAnsi="Calibri" w:eastAsia="宋体" w:cs="Times New Roman"/>
              </w:rPr>
            </w:pPr>
            <w:r>
              <w:rPr>
                <w:rFonts w:hint="eastAsia" w:ascii="宋体" w:hAnsi="宋体" w:eastAsia="宋体" w:cs="宋体"/>
                <w:kern w:val="0"/>
                <w:szCs w:val="21"/>
                <w:lang w:bidi="ar"/>
              </w:rPr>
              <w:t>1.产品类型：触控一体机</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2.#显示屏尺寸：≥55英寸（16：9）</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3.#物理分辨率：≥3840*2160</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4.#亮度：≤350cd/</w:t>
            </w:r>
            <w:r>
              <w:rPr>
                <w:rFonts w:ascii="宋体" w:hAnsi="宋体" w:eastAsia="宋体" w:cs="宋体"/>
                <w:kern w:val="0"/>
                <w:szCs w:val="21"/>
                <w:lang w:bidi="ar"/>
              </w:rPr>
              <w:t>m</w:t>
            </w:r>
            <w:r>
              <w:rPr>
                <w:rFonts w:ascii="宋体" w:hAnsi="宋体" w:eastAsia="宋体" w:cs="宋体"/>
                <w:kern w:val="0"/>
                <w:szCs w:val="21"/>
                <w:vertAlign w:val="superscript"/>
                <w:lang w:bidi="ar"/>
              </w:rPr>
              <w:t xml:space="preserve">2   </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5.#机身尺寸：≤1</w:t>
            </w:r>
            <w:r>
              <w:rPr>
                <w:rFonts w:ascii="宋体" w:hAnsi="宋体" w:eastAsia="宋体" w:cs="宋体"/>
                <w:kern w:val="0"/>
                <w:szCs w:val="21"/>
                <w:lang w:bidi="ar"/>
              </w:rPr>
              <w:t xml:space="preserve">265 </w:t>
            </w:r>
            <w:r>
              <w:rPr>
                <w:rFonts w:hint="eastAsia" w:ascii="宋体" w:hAnsi="宋体" w:eastAsia="宋体" w:cs="宋体"/>
                <w:kern w:val="0"/>
                <w:szCs w:val="21"/>
                <w:lang w:bidi="ar"/>
              </w:rPr>
              <w:t>*</w:t>
            </w:r>
            <w:r>
              <w:rPr>
                <w:rFonts w:ascii="宋体" w:hAnsi="宋体" w:eastAsia="宋体" w:cs="宋体"/>
                <w:kern w:val="0"/>
                <w:szCs w:val="21"/>
                <w:lang w:bidi="ar"/>
              </w:rPr>
              <w:t xml:space="preserve">743 </w:t>
            </w:r>
            <w:r>
              <w:rPr>
                <w:rFonts w:hint="eastAsia" w:ascii="宋体" w:hAnsi="宋体" w:eastAsia="宋体" w:cs="宋体"/>
                <w:kern w:val="0"/>
                <w:szCs w:val="21"/>
                <w:lang w:bidi="ar"/>
              </w:rPr>
              <w:t>*</w:t>
            </w:r>
            <w:r>
              <w:rPr>
                <w:rFonts w:ascii="宋体" w:hAnsi="宋体" w:eastAsia="宋体" w:cs="宋体"/>
                <w:kern w:val="0"/>
                <w:szCs w:val="21"/>
                <w:lang w:bidi="ar"/>
              </w:rPr>
              <w:t xml:space="preserve">106 </w:t>
            </w:r>
            <w:r>
              <w:rPr>
                <w:rFonts w:hint="eastAsia" w:ascii="宋体" w:hAnsi="宋体" w:eastAsia="宋体" w:cs="宋体"/>
                <w:kern w:val="0"/>
                <w:szCs w:val="21"/>
                <w:lang w:bidi="ar"/>
              </w:rPr>
              <w:t>(mm)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6.#触摸感应技术：红外感应触摸</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7.#定位精度：90%以上触摸区域为±2mm；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8.</w:t>
            </w:r>
            <w:r>
              <w:rPr>
                <w:rFonts w:hint="eastAsia" w:ascii="Calibri" w:hAnsi="Calibri" w:eastAsia="宋体" w:cs="Times New Roman"/>
                <w:szCs w:val="21"/>
                <w:highlight w:val="yellow"/>
              </w:rPr>
              <w:t>#</w:t>
            </w:r>
            <w:r>
              <w:rPr>
                <w:rFonts w:hint="eastAsia" w:ascii="Calibri" w:hAnsi="Calibri" w:eastAsia="宋体" w:cs="Times New Roman"/>
                <w:szCs w:val="21"/>
              </w:rPr>
              <w:t>系统配置</w:t>
            </w:r>
            <w:r>
              <w:rPr>
                <w:rFonts w:hint="eastAsia" w:ascii="宋体" w:hAnsi="宋体" w:eastAsia="宋体" w:cs="宋体"/>
                <w:kern w:val="0"/>
                <w:szCs w:val="21"/>
                <w:lang w:bidi="ar"/>
              </w:rPr>
              <w:t>：CPU:频率≥2.4GHz;内存:≥8G;SSD硬盘:≥256G;显卡:集成显卡</w:t>
            </w:r>
          </w:p>
        </w:tc>
        <w:tc>
          <w:tcPr>
            <w:tcW w:w="700" w:type="dxa"/>
            <w:tcBorders>
              <w:top w:val="single" w:color="000000" w:sz="4" w:space="0"/>
              <w:left w:val="single" w:color="000000" w:sz="4" w:space="0"/>
              <w:bottom w:val="single" w:color="000000" w:sz="4" w:space="0"/>
              <w:right w:val="single" w:color="000000" w:sz="4" w:space="0"/>
            </w:tcBorders>
            <w:vAlign w:val="center"/>
          </w:tcPr>
          <w:p w14:paraId="4EEA4712">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入门导览</w:t>
            </w:r>
          </w:p>
        </w:tc>
        <w:tc>
          <w:tcPr>
            <w:tcW w:w="512" w:type="dxa"/>
            <w:tcBorders>
              <w:top w:val="single" w:color="000000" w:sz="4" w:space="0"/>
              <w:left w:val="single" w:color="000000" w:sz="4" w:space="0"/>
              <w:bottom w:val="single" w:color="000000" w:sz="4" w:space="0"/>
              <w:right w:val="single" w:color="000000" w:sz="4" w:space="0"/>
            </w:tcBorders>
            <w:vAlign w:val="center"/>
          </w:tcPr>
          <w:p w14:paraId="0CB5556F">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台</w:t>
            </w:r>
          </w:p>
        </w:tc>
        <w:tc>
          <w:tcPr>
            <w:tcW w:w="513" w:type="dxa"/>
            <w:tcBorders>
              <w:top w:val="single" w:color="000000" w:sz="4" w:space="0"/>
              <w:left w:val="single" w:color="000000" w:sz="4" w:space="0"/>
              <w:bottom w:val="single" w:color="000000" w:sz="4" w:space="0"/>
              <w:right w:val="single" w:color="000000" w:sz="4" w:space="0"/>
            </w:tcBorders>
            <w:noWrap/>
            <w:vAlign w:val="center"/>
          </w:tcPr>
          <w:p w14:paraId="239B3946">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776" w:type="dxa"/>
            <w:tcBorders>
              <w:top w:val="single" w:color="000000" w:sz="4" w:space="0"/>
              <w:left w:val="single" w:color="000000" w:sz="4" w:space="0"/>
              <w:bottom w:val="single" w:color="000000" w:sz="4" w:space="0"/>
              <w:right w:val="single" w:color="000000" w:sz="4" w:space="0"/>
            </w:tcBorders>
            <w:noWrap/>
            <w:vAlign w:val="center"/>
          </w:tcPr>
          <w:p w14:paraId="14F103E1">
            <w:pPr>
              <w:spacing w:after="160" w:line="278" w:lineRule="auto"/>
              <w:rPr>
                <w:rFonts w:hint="eastAsia" w:ascii="宋体" w:hAnsi="宋体" w:eastAsia="宋体" w:cs="宋体"/>
                <w:sz w:val="24"/>
              </w:rPr>
            </w:pPr>
          </w:p>
        </w:tc>
      </w:tr>
      <w:tr w14:paraId="4CD368CD">
        <w:tblPrEx>
          <w:tblCellMar>
            <w:top w:w="0" w:type="dxa"/>
            <w:left w:w="108" w:type="dxa"/>
            <w:bottom w:w="0" w:type="dxa"/>
            <w:right w:w="108" w:type="dxa"/>
          </w:tblCellMar>
        </w:tblPrEx>
        <w:trPr>
          <w:trHeight w:val="6371" w:hRule="atLeast"/>
          <w:jc w:val="center"/>
        </w:trPr>
        <w:tc>
          <w:tcPr>
            <w:tcW w:w="678" w:type="dxa"/>
            <w:tcBorders>
              <w:top w:val="single" w:color="000000" w:sz="4" w:space="0"/>
              <w:left w:val="single" w:color="000000" w:sz="4" w:space="0"/>
              <w:bottom w:val="single" w:color="000000" w:sz="4" w:space="0"/>
              <w:right w:val="single" w:color="000000" w:sz="4" w:space="0"/>
            </w:tcBorders>
            <w:noWrap/>
            <w:vAlign w:val="center"/>
          </w:tcPr>
          <w:p w14:paraId="7ED2CC4B">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w:t>
            </w:r>
          </w:p>
        </w:tc>
        <w:tc>
          <w:tcPr>
            <w:tcW w:w="951" w:type="dxa"/>
            <w:tcBorders>
              <w:top w:val="single" w:color="000000" w:sz="4" w:space="0"/>
              <w:left w:val="single" w:color="000000" w:sz="4" w:space="0"/>
              <w:bottom w:val="single" w:color="000000" w:sz="4" w:space="0"/>
              <w:right w:val="single" w:color="000000" w:sz="4" w:space="0"/>
            </w:tcBorders>
            <w:vAlign w:val="center"/>
          </w:tcPr>
          <w:p w14:paraId="77F44A4F">
            <w:pPr>
              <w:widowControl/>
              <w:spacing w:after="160" w:line="278"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工程投影机</w:t>
            </w:r>
          </w:p>
        </w:tc>
        <w:tc>
          <w:tcPr>
            <w:tcW w:w="4600" w:type="dxa"/>
            <w:tcBorders>
              <w:top w:val="single" w:color="000000" w:sz="4" w:space="0"/>
              <w:left w:val="single" w:color="000000" w:sz="4" w:space="0"/>
              <w:bottom w:val="single" w:color="000000" w:sz="4" w:space="0"/>
              <w:right w:val="single" w:color="000000" w:sz="4" w:space="0"/>
            </w:tcBorders>
            <w:vAlign w:val="center"/>
          </w:tcPr>
          <w:p w14:paraId="71D3BCA5">
            <w:pPr>
              <w:widowControl/>
              <w:spacing w:after="160" w:line="278" w:lineRule="auto"/>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 xml:space="preserve">1.#芯片：DLP显示技术，芯片尺寸≥0.67英寸 </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2.#分辨率：≥1920×1200</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3.#光源：激光光源，光源寿命≥20000小时</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4.#亮度：≥8500流明.</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5.#亮度均匀性：≥90%</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6.#镜头：镜头可选，根据现场投影距离选配镜头、中置镜头设计，支持快速更换、支持垂直水平方向电动镜头位移；</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7.#信号接口：输入：HDMI×2</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8.#控制接口：输入：RS232×1；RJ45*1（网络控制）</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9.#功耗：功耗≤550W，待机功耗≤0.5W</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10.#3D：支持DLPlink 3D、红外3D</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11.#颜色调整：支持RGBYCMW七种色彩调整</w:t>
            </w:r>
          </w:p>
          <w:p w14:paraId="62F90132">
            <w:pPr>
              <w:widowControl/>
              <w:tabs>
                <w:tab w:val="left" w:pos="312"/>
              </w:tabs>
              <w:spacing w:after="160" w:line="278" w:lineRule="auto"/>
              <w:jc w:val="left"/>
              <w:textAlignment w:val="center"/>
              <w:rPr>
                <w:rFonts w:ascii="Calibri" w:hAnsi="Calibri" w:eastAsia="宋体" w:cs="Times New Roman"/>
              </w:rPr>
            </w:pPr>
            <w:r>
              <w:rPr>
                <w:rFonts w:ascii="宋体" w:hAnsi="宋体" w:eastAsia="宋体" w:cs="宋体"/>
                <w:kern w:val="0"/>
                <w:szCs w:val="21"/>
                <w:lang w:bidi="ar"/>
              </w:rPr>
              <w:t>12.</w:t>
            </w:r>
            <w:r>
              <w:rPr>
                <w:rFonts w:hint="eastAsia" w:ascii="宋体" w:hAnsi="宋体" w:eastAsia="宋体" w:cs="宋体"/>
                <w:kern w:val="0"/>
                <w:szCs w:val="21"/>
                <w:lang w:bidi="ar"/>
              </w:rPr>
              <w:t>#</w:t>
            </w:r>
            <w:r>
              <w:rPr>
                <w:rFonts w:ascii="宋体" w:hAnsi="宋体" w:eastAsia="宋体" w:cs="宋体"/>
                <w:kern w:val="0"/>
                <w:szCs w:val="21"/>
                <w:lang w:bidi="ar"/>
              </w:rPr>
              <w:t>7</w:t>
            </w:r>
            <w:r>
              <w:rPr>
                <w:rFonts w:hint="eastAsia" w:ascii="宋体" w:hAnsi="宋体" w:eastAsia="宋体" w:cs="宋体"/>
                <w:kern w:val="0"/>
                <w:szCs w:val="21"/>
                <w:lang w:bidi="ar"/>
              </w:rPr>
              <w:t>台设备需为同批次生产的产品</w:t>
            </w:r>
            <w:r>
              <w:rPr>
                <w:rFonts w:hint="eastAsia" w:ascii="宋体" w:hAnsi="宋体" w:eastAsia="宋体" w:cs="宋体"/>
                <w:kern w:val="0"/>
                <w:szCs w:val="21"/>
                <w:lang w:bidi="ar"/>
              </w:rPr>
              <w:br w:type="textWrapping"/>
            </w:r>
          </w:p>
        </w:tc>
        <w:tc>
          <w:tcPr>
            <w:tcW w:w="700" w:type="dxa"/>
            <w:tcBorders>
              <w:top w:val="single" w:color="000000" w:sz="4" w:space="0"/>
              <w:left w:val="single" w:color="000000" w:sz="4" w:space="0"/>
              <w:bottom w:val="single" w:color="000000" w:sz="4" w:space="0"/>
              <w:right w:val="single" w:color="000000" w:sz="4" w:space="0"/>
            </w:tcBorders>
            <w:vAlign w:val="center"/>
          </w:tcPr>
          <w:p w14:paraId="05AFD3BA">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沉浸空间-仙境香山</w:t>
            </w:r>
          </w:p>
        </w:tc>
        <w:tc>
          <w:tcPr>
            <w:tcW w:w="512" w:type="dxa"/>
            <w:tcBorders>
              <w:top w:val="single" w:color="000000" w:sz="4" w:space="0"/>
              <w:left w:val="single" w:color="000000" w:sz="4" w:space="0"/>
              <w:bottom w:val="single" w:color="000000" w:sz="4" w:space="0"/>
              <w:right w:val="single" w:color="000000" w:sz="4" w:space="0"/>
            </w:tcBorders>
            <w:vAlign w:val="center"/>
          </w:tcPr>
          <w:p w14:paraId="455A4403">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台</w:t>
            </w:r>
          </w:p>
        </w:tc>
        <w:tc>
          <w:tcPr>
            <w:tcW w:w="513" w:type="dxa"/>
            <w:tcBorders>
              <w:top w:val="single" w:color="000000" w:sz="4" w:space="0"/>
              <w:left w:val="single" w:color="000000" w:sz="4" w:space="0"/>
              <w:bottom w:val="single" w:color="000000" w:sz="4" w:space="0"/>
              <w:right w:val="single" w:color="000000" w:sz="4" w:space="0"/>
            </w:tcBorders>
            <w:noWrap/>
            <w:vAlign w:val="center"/>
          </w:tcPr>
          <w:p w14:paraId="32EFFED5">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7</w:t>
            </w:r>
          </w:p>
        </w:tc>
        <w:tc>
          <w:tcPr>
            <w:tcW w:w="776" w:type="dxa"/>
            <w:tcBorders>
              <w:top w:val="single" w:color="000000" w:sz="4" w:space="0"/>
              <w:left w:val="single" w:color="000000" w:sz="4" w:space="0"/>
              <w:bottom w:val="single" w:color="000000" w:sz="4" w:space="0"/>
              <w:right w:val="single" w:color="000000" w:sz="4" w:space="0"/>
            </w:tcBorders>
            <w:noWrap/>
            <w:vAlign w:val="center"/>
          </w:tcPr>
          <w:p w14:paraId="3C0FFFC1">
            <w:pPr>
              <w:spacing w:after="160" w:line="278" w:lineRule="auto"/>
              <w:rPr>
                <w:rFonts w:hint="eastAsia" w:ascii="宋体" w:hAnsi="宋体" w:eastAsia="宋体" w:cs="宋体"/>
                <w:sz w:val="24"/>
              </w:rPr>
            </w:pPr>
          </w:p>
        </w:tc>
      </w:tr>
      <w:tr w14:paraId="3F9AA486">
        <w:tblPrEx>
          <w:tblCellMar>
            <w:top w:w="0" w:type="dxa"/>
            <w:left w:w="108" w:type="dxa"/>
            <w:bottom w:w="0" w:type="dxa"/>
            <w:right w:w="108" w:type="dxa"/>
          </w:tblCellMar>
        </w:tblPrEx>
        <w:trPr>
          <w:trHeight w:val="5661" w:hRule="atLeast"/>
          <w:jc w:val="center"/>
        </w:trPr>
        <w:tc>
          <w:tcPr>
            <w:tcW w:w="678" w:type="dxa"/>
            <w:tcBorders>
              <w:top w:val="single" w:color="000000" w:sz="4" w:space="0"/>
              <w:left w:val="single" w:color="000000" w:sz="4" w:space="0"/>
              <w:bottom w:val="single" w:color="000000" w:sz="4" w:space="0"/>
              <w:right w:val="single" w:color="000000" w:sz="4" w:space="0"/>
            </w:tcBorders>
            <w:noWrap/>
            <w:vAlign w:val="center"/>
          </w:tcPr>
          <w:p w14:paraId="65686A92">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c>
          <w:tcPr>
            <w:tcW w:w="951" w:type="dxa"/>
            <w:tcBorders>
              <w:top w:val="single" w:color="000000" w:sz="4" w:space="0"/>
              <w:left w:val="single" w:color="000000" w:sz="4" w:space="0"/>
              <w:bottom w:val="single" w:color="000000" w:sz="4" w:space="0"/>
              <w:right w:val="single" w:color="000000" w:sz="4" w:space="0"/>
            </w:tcBorders>
            <w:vAlign w:val="center"/>
          </w:tcPr>
          <w:p w14:paraId="71CD44AB">
            <w:pPr>
              <w:widowControl/>
              <w:spacing w:after="160" w:line="278"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工程投影机</w:t>
            </w:r>
          </w:p>
        </w:tc>
        <w:tc>
          <w:tcPr>
            <w:tcW w:w="4600" w:type="dxa"/>
            <w:tcBorders>
              <w:top w:val="single" w:color="000000" w:sz="4" w:space="0"/>
              <w:left w:val="single" w:color="000000" w:sz="4" w:space="0"/>
              <w:bottom w:val="single" w:color="000000" w:sz="4" w:space="0"/>
              <w:right w:val="single" w:color="000000" w:sz="4" w:space="0"/>
            </w:tcBorders>
            <w:vAlign w:val="center"/>
          </w:tcPr>
          <w:p w14:paraId="6AD047F5">
            <w:pPr>
              <w:widowControl/>
              <w:numPr>
                <w:ilvl w:val="0"/>
                <w:numId w:val="9"/>
              </w:numPr>
              <w:spacing w:after="160" w:line="278" w:lineRule="auto"/>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 xml:space="preserve">芯片：DLP显示技术，芯片尺寸0.67英寸 </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2.分辨率：≥1920×1200</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3.光源：激光光源，光源寿命≥20000小时</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4.亮度：≥8500流明</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5.亮度均匀性：≥90%</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6.镜头：镜头可选，根据现场投影距离选配镜头、中置镜头设计，支持快速更换、支持垂直水平方向电动镜头位移；</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7.信号接口：输入：HDMI×2</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8.控制接口：输入：RS232×1；RJ45*1（网络控制）</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9.功耗：功耗≤550W，待机功耗≤0.5W</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10.3D：支持DLPlink 3D、红外3D</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11.颜色调整：支持RGBYCMW七种色彩调整</w:t>
            </w:r>
          </w:p>
          <w:p w14:paraId="53657B50">
            <w:pPr>
              <w:widowControl/>
              <w:tabs>
                <w:tab w:val="left" w:pos="312"/>
              </w:tabs>
              <w:spacing w:after="160" w:line="278" w:lineRule="auto"/>
              <w:jc w:val="left"/>
              <w:textAlignment w:val="center"/>
              <w:rPr>
                <w:rFonts w:ascii="Calibri" w:hAnsi="Calibri" w:eastAsia="宋体" w:cs="Times New Roman"/>
              </w:rPr>
            </w:pPr>
            <w:r>
              <w:rPr>
                <w:rFonts w:ascii="宋体" w:hAnsi="宋体" w:eastAsia="宋体" w:cs="宋体"/>
                <w:kern w:val="0"/>
                <w:szCs w:val="21"/>
                <w:lang w:bidi="ar"/>
              </w:rPr>
              <w:t xml:space="preserve">12. </w:t>
            </w:r>
            <w:r>
              <w:rPr>
                <w:rFonts w:hint="eastAsia" w:ascii="宋体" w:hAnsi="宋体" w:eastAsia="宋体" w:cs="宋体"/>
                <w:kern w:val="0"/>
                <w:szCs w:val="21"/>
                <w:lang w:bidi="ar"/>
              </w:rPr>
              <w:t>#</w:t>
            </w:r>
            <w:r>
              <w:rPr>
                <w:rFonts w:ascii="宋体" w:hAnsi="宋体" w:eastAsia="宋体" w:cs="宋体"/>
                <w:kern w:val="0"/>
                <w:szCs w:val="21"/>
                <w:lang w:bidi="ar"/>
              </w:rPr>
              <w:t>3</w:t>
            </w:r>
            <w:r>
              <w:rPr>
                <w:rFonts w:hint="eastAsia" w:ascii="宋体" w:hAnsi="宋体" w:eastAsia="宋体" w:cs="宋体"/>
                <w:kern w:val="0"/>
                <w:szCs w:val="21"/>
                <w:lang w:bidi="ar"/>
              </w:rPr>
              <w:t>台设备需为同批次生产的产品</w:t>
            </w:r>
            <w:r>
              <w:rPr>
                <w:rFonts w:hint="eastAsia" w:ascii="宋体" w:hAnsi="宋体" w:eastAsia="宋体" w:cs="宋体"/>
                <w:kern w:val="0"/>
                <w:szCs w:val="21"/>
                <w:lang w:bidi="ar"/>
              </w:rPr>
              <w:br w:type="textWrapping"/>
            </w:r>
          </w:p>
        </w:tc>
        <w:tc>
          <w:tcPr>
            <w:tcW w:w="700" w:type="dxa"/>
            <w:tcBorders>
              <w:top w:val="single" w:color="000000" w:sz="4" w:space="0"/>
              <w:left w:val="single" w:color="000000" w:sz="4" w:space="0"/>
              <w:bottom w:val="single" w:color="000000" w:sz="4" w:space="0"/>
              <w:right w:val="single" w:color="000000" w:sz="4" w:space="0"/>
            </w:tcBorders>
            <w:vAlign w:val="center"/>
          </w:tcPr>
          <w:p w14:paraId="4EE8BB6B">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诗词沉浸空间</w:t>
            </w:r>
          </w:p>
        </w:tc>
        <w:tc>
          <w:tcPr>
            <w:tcW w:w="512" w:type="dxa"/>
            <w:tcBorders>
              <w:top w:val="single" w:color="000000" w:sz="4" w:space="0"/>
              <w:left w:val="single" w:color="000000" w:sz="4" w:space="0"/>
              <w:bottom w:val="single" w:color="000000" w:sz="4" w:space="0"/>
              <w:right w:val="single" w:color="000000" w:sz="4" w:space="0"/>
            </w:tcBorders>
            <w:vAlign w:val="center"/>
          </w:tcPr>
          <w:p w14:paraId="516AC605">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台</w:t>
            </w:r>
          </w:p>
        </w:tc>
        <w:tc>
          <w:tcPr>
            <w:tcW w:w="513" w:type="dxa"/>
            <w:tcBorders>
              <w:top w:val="single" w:color="000000" w:sz="4" w:space="0"/>
              <w:left w:val="single" w:color="000000" w:sz="4" w:space="0"/>
              <w:bottom w:val="single" w:color="000000" w:sz="4" w:space="0"/>
              <w:right w:val="single" w:color="000000" w:sz="4" w:space="0"/>
            </w:tcBorders>
            <w:noWrap/>
            <w:vAlign w:val="center"/>
          </w:tcPr>
          <w:p w14:paraId="083B98F8">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c>
          <w:tcPr>
            <w:tcW w:w="776" w:type="dxa"/>
            <w:tcBorders>
              <w:top w:val="single" w:color="000000" w:sz="4" w:space="0"/>
              <w:left w:val="single" w:color="000000" w:sz="4" w:space="0"/>
              <w:bottom w:val="single" w:color="000000" w:sz="4" w:space="0"/>
              <w:right w:val="single" w:color="000000" w:sz="4" w:space="0"/>
            </w:tcBorders>
            <w:noWrap/>
            <w:vAlign w:val="center"/>
          </w:tcPr>
          <w:p w14:paraId="71680BD3">
            <w:pPr>
              <w:spacing w:after="160" w:line="278" w:lineRule="auto"/>
              <w:rPr>
                <w:rFonts w:hint="eastAsia" w:ascii="宋体" w:hAnsi="宋体" w:eastAsia="宋体" w:cs="宋体"/>
                <w:sz w:val="24"/>
              </w:rPr>
            </w:pPr>
          </w:p>
        </w:tc>
      </w:tr>
      <w:tr w14:paraId="41E7B729">
        <w:tblPrEx>
          <w:tblCellMar>
            <w:top w:w="0" w:type="dxa"/>
            <w:left w:w="108" w:type="dxa"/>
            <w:bottom w:w="0" w:type="dxa"/>
            <w:right w:w="108" w:type="dxa"/>
          </w:tblCellMar>
        </w:tblPrEx>
        <w:trPr>
          <w:trHeight w:val="2984" w:hRule="atLeast"/>
          <w:jc w:val="center"/>
        </w:trPr>
        <w:tc>
          <w:tcPr>
            <w:tcW w:w="678" w:type="dxa"/>
            <w:tcBorders>
              <w:top w:val="single" w:color="000000" w:sz="4" w:space="0"/>
              <w:left w:val="single" w:color="000000" w:sz="4" w:space="0"/>
              <w:bottom w:val="single" w:color="000000" w:sz="4" w:space="0"/>
              <w:right w:val="single" w:color="000000" w:sz="4" w:space="0"/>
            </w:tcBorders>
            <w:noWrap/>
            <w:vAlign w:val="center"/>
          </w:tcPr>
          <w:p w14:paraId="2AA680B9">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4</w:t>
            </w:r>
          </w:p>
        </w:tc>
        <w:tc>
          <w:tcPr>
            <w:tcW w:w="951" w:type="dxa"/>
            <w:tcBorders>
              <w:top w:val="single" w:color="000000" w:sz="4" w:space="0"/>
              <w:left w:val="single" w:color="000000" w:sz="4" w:space="0"/>
              <w:bottom w:val="single" w:color="000000" w:sz="4" w:space="0"/>
              <w:right w:val="single" w:color="000000" w:sz="4" w:space="0"/>
            </w:tcBorders>
            <w:vAlign w:val="center"/>
          </w:tcPr>
          <w:p w14:paraId="50A4FD17">
            <w:pPr>
              <w:widowControl/>
              <w:spacing w:after="160" w:line="278"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55寸触控一体机</w:t>
            </w:r>
          </w:p>
        </w:tc>
        <w:tc>
          <w:tcPr>
            <w:tcW w:w="4600" w:type="dxa"/>
            <w:tcBorders>
              <w:top w:val="single" w:color="000000" w:sz="4" w:space="0"/>
              <w:left w:val="single" w:color="000000" w:sz="4" w:space="0"/>
              <w:bottom w:val="single" w:color="000000" w:sz="4" w:space="0"/>
              <w:right w:val="single" w:color="000000" w:sz="4" w:space="0"/>
            </w:tcBorders>
            <w:vAlign w:val="center"/>
          </w:tcPr>
          <w:p w14:paraId="648E4AEC">
            <w:pPr>
              <w:widowControl/>
              <w:numPr>
                <w:ilvl w:val="0"/>
                <w:numId w:val="10"/>
              </w:numPr>
              <w:spacing w:after="160" w:line="278" w:lineRule="auto"/>
              <w:jc w:val="left"/>
              <w:textAlignment w:val="center"/>
              <w:rPr>
                <w:rFonts w:ascii="Calibri" w:hAnsi="Calibri" w:eastAsia="宋体" w:cs="Times New Roman"/>
              </w:rPr>
            </w:pPr>
            <w:r>
              <w:rPr>
                <w:rFonts w:hint="eastAsia" w:ascii="宋体" w:hAnsi="宋体" w:eastAsia="宋体" w:cs="宋体"/>
                <w:kern w:val="0"/>
                <w:szCs w:val="21"/>
                <w:lang w:bidi="ar"/>
              </w:rPr>
              <w:t>产品类型：触控一体机</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2.显示屏尺寸：≥55英寸（16：9）</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3.物理分辨率：≥3840*2160</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4.亮度：≤350cd/</w:t>
            </w:r>
            <w:r>
              <w:rPr>
                <w:rFonts w:ascii="宋体" w:hAnsi="宋体" w:eastAsia="宋体" w:cs="宋体"/>
                <w:kern w:val="0"/>
                <w:szCs w:val="21"/>
                <w:lang w:bidi="ar"/>
              </w:rPr>
              <w:t xml:space="preserve"> m</w:t>
            </w:r>
            <w:r>
              <w:rPr>
                <w:rFonts w:ascii="宋体" w:hAnsi="宋体" w:eastAsia="宋体" w:cs="宋体"/>
                <w:kern w:val="0"/>
                <w:szCs w:val="21"/>
                <w:vertAlign w:val="superscript"/>
                <w:lang w:bidi="ar"/>
              </w:rPr>
              <w:t xml:space="preserve">2   </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5.机身尺寸：≤1</w:t>
            </w:r>
            <w:r>
              <w:rPr>
                <w:rFonts w:ascii="宋体" w:hAnsi="宋体" w:eastAsia="宋体" w:cs="宋体"/>
                <w:kern w:val="0"/>
                <w:szCs w:val="21"/>
                <w:lang w:bidi="ar"/>
              </w:rPr>
              <w:t xml:space="preserve">265 </w:t>
            </w:r>
            <w:r>
              <w:rPr>
                <w:rFonts w:hint="eastAsia" w:ascii="宋体" w:hAnsi="宋体" w:eastAsia="宋体" w:cs="宋体"/>
                <w:kern w:val="0"/>
                <w:szCs w:val="21"/>
                <w:lang w:bidi="ar"/>
              </w:rPr>
              <w:t>*</w:t>
            </w:r>
            <w:r>
              <w:rPr>
                <w:rFonts w:ascii="宋体" w:hAnsi="宋体" w:eastAsia="宋体" w:cs="宋体"/>
                <w:kern w:val="0"/>
                <w:szCs w:val="21"/>
                <w:lang w:bidi="ar"/>
              </w:rPr>
              <w:t xml:space="preserve">743 </w:t>
            </w:r>
            <w:r>
              <w:rPr>
                <w:rFonts w:hint="eastAsia" w:ascii="宋体" w:hAnsi="宋体" w:eastAsia="宋体" w:cs="宋体"/>
                <w:kern w:val="0"/>
                <w:szCs w:val="21"/>
                <w:lang w:bidi="ar"/>
              </w:rPr>
              <w:t>*</w:t>
            </w:r>
            <w:r>
              <w:rPr>
                <w:rFonts w:ascii="宋体" w:hAnsi="宋体" w:eastAsia="宋体" w:cs="宋体"/>
                <w:kern w:val="0"/>
                <w:szCs w:val="21"/>
                <w:lang w:bidi="ar"/>
              </w:rPr>
              <w:t xml:space="preserve">106 </w:t>
            </w:r>
            <w:r>
              <w:rPr>
                <w:rFonts w:hint="eastAsia" w:ascii="宋体" w:hAnsi="宋体" w:eastAsia="宋体" w:cs="宋体"/>
                <w:kern w:val="0"/>
                <w:szCs w:val="21"/>
                <w:lang w:bidi="ar"/>
              </w:rPr>
              <w:t>(mm)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6.触摸感应技术：红外感应触摸</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7.定位精度：90%以上触摸区域为±2mm；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8.系统配置：CPU:频率≥2.4GHz;内存:≥8G;SSD硬盘:≥256G;显卡:集成显卡</w:t>
            </w:r>
          </w:p>
        </w:tc>
        <w:tc>
          <w:tcPr>
            <w:tcW w:w="700" w:type="dxa"/>
            <w:tcBorders>
              <w:top w:val="single" w:color="000000" w:sz="4" w:space="0"/>
              <w:left w:val="single" w:color="000000" w:sz="4" w:space="0"/>
              <w:bottom w:val="single" w:color="000000" w:sz="4" w:space="0"/>
              <w:right w:val="single" w:color="000000" w:sz="4" w:space="0"/>
            </w:tcBorders>
            <w:vAlign w:val="center"/>
          </w:tcPr>
          <w:p w14:paraId="41DD2B55">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钟灵毓秀·天然林泉</w:t>
            </w:r>
          </w:p>
        </w:tc>
        <w:tc>
          <w:tcPr>
            <w:tcW w:w="512" w:type="dxa"/>
            <w:tcBorders>
              <w:top w:val="single" w:color="000000" w:sz="4" w:space="0"/>
              <w:left w:val="single" w:color="000000" w:sz="4" w:space="0"/>
              <w:bottom w:val="single" w:color="000000" w:sz="4" w:space="0"/>
              <w:right w:val="single" w:color="000000" w:sz="4" w:space="0"/>
            </w:tcBorders>
            <w:vAlign w:val="center"/>
          </w:tcPr>
          <w:p w14:paraId="5CD42F6C">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台</w:t>
            </w:r>
          </w:p>
        </w:tc>
        <w:tc>
          <w:tcPr>
            <w:tcW w:w="513" w:type="dxa"/>
            <w:tcBorders>
              <w:top w:val="single" w:color="000000" w:sz="4" w:space="0"/>
              <w:left w:val="single" w:color="000000" w:sz="4" w:space="0"/>
              <w:bottom w:val="single" w:color="000000" w:sz="4" w:space="0"/>
              <w:right w:val="single" w:color="000000" w:sz="4" w:space="0"/>
            </w:tcBorders>
            <w:noWrap/>
            <w:vAlign w:val="center"/>
          </w:tcPr>
          <w:p w14:paraId="532C3061">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776" w:type="dxa"/>
            <w:tcBorders>
              <w:top w:val="single" w:color="000000" w:sz="4" w:space="0"/>
              <w:left w:val="single" w:color="000000" w:sz="4" w:space="0"/>
              <w:bottom w:val="single" w:color="000000" w:sz="4" w:space="0"/>
              <w:right w:val="single" w:color="000000" w:sz="4" w:space="0"/>
            </w:tcBorders>
            <w:noWrap/>
            <w:vAlign w:val="center"/>
          </w:tcPr>
          <w:p w14:paraId="6148D386">
            <w:pPr>
              <w:spacing w:after="160" w:line="278" w:lineRule="auto"/>
              <w:rPr>
                <w:rFonts w:hint="eastAsia" w:ascii="宋体" w:hAnsi="宋体" w:eastAsia="宋体" w:cs="宋体"/>
                <w:sz w:val="24"/>
              </w:rPr>
            </w:pPr>
          </w:p>
        </w:tc>
      </w:tr>
      <w:tr w14:paraId="28D0961C">
        <w:tblPrEx>
          <w:tblCellMar>
            <w:top w:w="0" w:type="dxa"/>
            <w:left w:w="108" w:type="dxa"/>
            <w:bottom w:w="0" w:type="dxa"/>
            <w:right w:w="108" w:type="dxa"/>
          </w:tblCellMar>
        </w:tblPrEx>
        <w:trPr>
          <w:trHeight w:val="592" w:hRule="atLeast"/>
          <w:jc w:val="center"/>
        </w:trPr>
        <w:tc>
          <w:tcPr>
            <w:tcW w:w="678" w:type="dxa"/>
            <w:tcBorders>
              <w:top w:val="single" w:color="000000" w:sz="4" w:space="0"/>
              <w:left w:val="single" w:color="000000" w:sz="4" w:space="0"/>
              <w:bottom w:val="single" w:color="000000" w:sz="4" w:space="0"/>
              <w:right w:val="single" w:color="000000" w:sz="4" w:space="0"/>
            </w:tcBorders>
            <w:noWrap/>
            <w:vAlign w:val="center"/>
          </w:tcPr>
          <w:p w14:paraId="716A86EB">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5</w:t>
            </w:r>
          </w:p>
        </w:tc>
        <w:tc>
          <w:tcPr>
            <w:tcW w:w="951" w:type="dxa"/>
            <w:tcBorders>
              <w:top w:val="single" w:color="000000" w:sz="4" w:space="0"/>
              <w:left w:val="single" w:color="000000" w:sz="4" w:space="0"/>
              <w:bottom w:val="single" w:color="000000" w:sz="4" w:space="0"/>
              <w:right w:val="single" w:color="000000" w:sz="4" w:space="0"/>
            </w:tcBorders>
            <w:vAlign w:val="center"/>
          </w:tcPr>
          <w:p w14:paraId="1EC6DC36">
            <w:pPr>
              <w:widowControl/>
              <w:spacing w:after="160" w:line="278"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32寸触控一体机</w:t>
            </w:r>
          </w:p>
        </w:tc>
        <w:tc>
          <w:tcPr>
            <w:tcW w:w="4600" w:type="dxa"/>
            <w:tcBorders>
              <w:top w:val="single" w:color="000000" w:sz="4" w:space="0"/>
              <w:left w:val="single" w:color="000000" w:sz="4" w:space="0"/>
              <w:bottom w:val="single" w:color="000000" w:sz="4" w:space="0"/>
              <w:right w:val="single" w:color="000000" w:sz="4" w:space="0"/>
            </w:tcBorders>
            <w:vAlign w:val="center"/>
          </w:tcPr>
          <w:p w14:paraId="4DFABA64">
            <w:pPr>
              <w:widowControl/>
              <w:numPr>
                <w:ilvl w:val="0"/>
                <w:numId w:val="11"/>
              </w:numPr>
              <w:spacing w:after="160" w:line="278" w:lineRule="auto"/>
              <w:jc w:val="left"/>
              <w:textAlignment w:val="center"/>
              <w:rPr>
                <w:rFonts w:ascii="Calibri" w:hAnsi="Calibri" w:eastAsia="宋体" w:cs="Times New Roman"/>
              </w:rPr>
            </w:pPr>
            <w:r>
              <w:rPr>
                <w:rFonts w:hint="eastAsia" w:ascii="宋体" w:hAnsi="宋体" w:eastAsia="宋体" w:cs="宋体"/>
                <w:kern w:val="0"/>
                <w:szCs w:val="21"/>
                <w:lang w:bidi="ar"/>
              </w:rPr>
              <w:t>产品类型：触控一体机</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2.#显示屏尺寸：≥32英寸（16：9）</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3.#物理分辨率：≥1920*1080</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4.#亮度：≤350cd/</w:t>
            </w:r>
            <w:r>
              <w:rPr>
                <w:rFonts w:ascii="宋体" w:hAnsi="宋体" w:eastAsia="宋体" w:cs="宋体"/>
                <w:kern w:val="0"/>
                <w:szCs w:val="21"/>
                <w:lang w:bidi="ar"/>
              </w:rPr>
              <w:t xml:space="preserve"> m</w:t>
            </w:r>
            <w:r>
              <w:rPr>
                <w:rFonts w:ascii="宋体" w:hAnsi="宋体" w:eastAsia="宋体" w:cs="宋体"/>
                <w:kern w:val="0"/>
                <w:szCs w:val="21"/>
                <w:vertAlign w:val="superscript"/>
                <w:lang w:bidi="ar"/>
              </w:rPr>
              <w:t xml:space="preserve">2   </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5.#机身尺寸：≤7</w:t>
            </w:r>
            <w:r>
              <w:rPr>
                <w:rFonts w:ascii="宋体" w:hAnsi="宋体" w:eastAsia="宋体" w:cs="宋体"/>
                <w:kern w:val="0"/>
                <w:szCs w:val="21"/>
                <w:lang w:bidi="ar"/>
              </w:rPr>
              <w:t xml:space="preserve">39 </w:t>
            </w:r>
            <w:r>
              <w:rPr>
                <w:rFonts w:hint="eastAsia" w:ascii="宋体" w:hAnsi="宋体" w:eastAsia="宋体" w:cs="宋体"/>
                <w:kern w:val="0"/>
                <w:szCs w:val="21"/>
                <w:lang w:bidi="ar"/>
              </w:rPr>
              <w:t>*</w:t>
            </w:r>
            <w:r>
              <w:rPr>
                <w:rFonts w:ascii="宋体" w:hAnsi="宋体" w:eastAsia="宋体" w:cs="宋体"/>
                <w:kern w:val="0"/>
                <w:szCs w:val="21"/>
                <w:lang w:bidi="ar"/>
              </w:rPr>
              <w:t xml:space="preserve">434 </w:t>
            </w:r>
            <w:r>
              <w:rPr>
                <w:rFonts w:hint="eastAsia" w:ascii="宋体" w:hAnsi="宋体" w:eastAsia="宋体" w:cs="宋体"/>
                <w:kern w:val="0"/>
                <w:szCs w:val="21"/>
                <w:lang w:bidi="ar"/>
              </w:rPr>
              <w:t>*</w:t>
            </w:r>
            <w:r>
              <w:rPr>
                <w:rFonts w:ascii="宋体" w:hAnsi="宋体" w:eastAsia="宋体" w:cs="宋体"/>
                <w:kern w:val="0"/>
                <w:szCs w:val="21"/>
                <w:lang w:bidi="ar"/>
              </w:rPr>
              <w:t xml:space="preserve">78 </w:t>
            </w:r>
            <w:r>
              <w:rPr>
                <w:rFonts w:hint="eastAsia" w:ascii="宋体" w:hAnsi="宋体" w:eastAsia="宋体" w:cs="宋体"/>
                <w:kern w:val="0"/>
                <w:szCs w:val="21"/>
                <w:lang w:bidi="ar"/>
              </w:rPr>
              <w:t>(mm)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6.#触摸感应技术：电容感应识别触摸技术（≥10 点）</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7.#定位精度：90%以上触摸区域为±2mm；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8.#系统配置：CPU:频率≥2.4GHz;内存:≥8G;SSD硬盘:≥256G;显卡:集成显卡</w:t>
            </w:r>
          </w:p>
        </w:tc>
        <w:tc>
          <w:tcPr>
            <w:tcW w:w="700" w:type="dxa"/>
            <w:tcBorders>
              <w:top w:val="single" w:color="000000" w:sz="4" w:space="0"/>
              <w:left w:val="single" w:color="000000" w:sz="4" w:space="0"/>
              <w:bottom w:val="single" w:color="000000" w:sz="4" w:space="0"/>
              <w:right w:val="single" w:color="000000" w:sz="4" w:space="0"/>
            </w:tcBorders>
            <w:vAlign w:val="center"/>
          </w:tcPr>
          <w:p w14:paraId="26CD5FB4">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香山视频</w:t>
            </w:r>
          </w:p>
        </w:tc>
        <w:tc>
          <w:tcPr>
            <w:tcW w:w="512" w:type="dxa"/>
            <w:tcBorders>
              <w:top w:val="single" w:color="000000" w:sz="4" w:space="0"/>
              <w:left w:val="single" w:color="000000" w:sz="4" w:space="0"/>
              <w:bottom w:val="single" w:color="000000" w:sz="4" w:space="0"/>
              <w:right w:val="single" w:color="000000" w:sz="4" w:space="0"/>
            </w:tcBorders>
            <w:vAlign w:val="center"/>
          </w:tcPr>
          <w:p w14:paraId="2FDD39E8">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台</w:t>
            </w:r>
          </w:p>
        </w:tc>
        <w:tc>
          <w:tcPr>
            <w:tcW w:w="513" w:type="dxa"/>
            <w:tcBorders>
              <w:top w:val="single" w:color="000000" w:sz="4" w:space="0"/>
              <w:left w:val="single" w:color="000000" w:sz="4" w:space="0"/>
              <w:bottom w:val="single" w:color="000000" w:sz="4" w:space="0"/>
              <w:right w:val="single" w:color="000000" w:sz="4" w:space="0"/>
            </w:tcBorders>
            <w:noWrap/>
            <w:vAlign w:val="center"/>
          </w:tcPr>
          <w:p w14:paraId="550357FD">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776" w:type="dxa"/>
            <w:tcBorders>
              <w:top w:val="single" w:color="000000" w:sz="4" w:space="0"/>
              <w:left w:val="single" w:color="000000" w:sz="4" w:space="0"/>
              <w:bottom w:val="single" w:color="000000" w:sz="4" w:space="0"/>
              <w:right w:val="single" w:color="000000" w:sz="4" w:space="0"/>
            </w:tcBorders>
            <w:noWrap/>
            <w:vAlign w:val="center"/>
          </w:tcPr>
          <w:p w14:paraId="7C537586">
            <w:pPr>
              <w:spacing w:after="160" w:line="278" w:lineRule="auto"/>
              <w:rPr>
                <w:rFonts w:hint="eastAsia" w:ascii="宋体" w:hAnsi="宋体" w:eastAsia="宋体" w:cs="宋体"/>
                <w:sz w:val="24"/>
              </w:rPr>
            </w:pPr>
          </w:p>
        </w:tc>
      </w:tr>
      <w:tr w14:paraId="707D8289">
        <w:tblPrEx>
          <w:tblCellMar>
            <w:top w:w="0" w:type="dxa"/>
            <w:left w:w="108" w:type="dxa"/>
            <w:bottom w:w="0" w:type="dxa"/>
            <w:right w:w="108" w:type="dxa"/>
          </w:tblCellMar>
        </w:tblPrEx>
        <w:trPr>
          <w:trHeight w:val="3225" w:hRule="atLeast"/>
          <w:jc w:val="center"/>
        </w:trPr>
        <w:tc>
          <w:tcPr>
            <w:tcW w:w="678" w:type="dxa"/>
            <w:tcBorders>
              <w:top w:val="single" w:color="000000" w:sz="4" w:space="0"/>
              <w:left w:val="single" w:color="000000" w:sz="4" w:space="0"/>
              <w:bottom w:val="single" w:color="000000" w:sz="4" w:space="0"/>
              <w:right w:val="single" w:color="000000" w:sz="4" w:space="0"/>
            </w:tcBorders>
            <w:noWrap/>
            <w:vAlign w:val="center"/>
          </w:tcPr>
          <w:p w14:paraId="651B7089">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6</w:t>
            </w:r>
          </w:p>
        </w:tc>
        <w:tc>
          <w:tcPr>
            <w:tcW w:w="951" w:type="dxa"/>
            <w:tcBorders>
              <w:top w:val="single" w:color="000000" w:sz="4" w:space="0"/>
              <w:left w:val="single" w:color="000000" w:sz="4" w:space="0"/>
              <w:bottom w:val="single" w:color="000000" w:sz="4" w:space="0"/>
              <w:right w:val="single" w:color="000000" w:sz="4" w:space="0"/>
            </w:tcBorders>
            <w:vAlign w:val="center"/>
          </w:tcPr>
          <w:p w14:paraId="68B912BB">
            <w:pPr>
              <w:widowControl/>
              <w:spacing w:after="160" w:line="278"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55寸触控一体机</w:t>
            </w:r>
          </w:p>
        </w:tc>
        <w:tc>
          <w:tcPr>
            <w:tcW w:w="4600" w:type="dxa"/>
            <w:tcBorders>
              <w:top w:val="single" w:color="000000" w:sz="4" w:space="0"/>
              <w:left w:val="single" w:color="000000" w:sz="4" w:space="0"/>
              <w:bottom w:val="single" w:color="000000" w:sz="4" w:space="0"/>
              <w:right w:val="single" w:color="000000" w:sz="4" w:space="0"/>
            </w:tcBorders>
            <w:vAlign w:val="center"/>
          </w:tcPr>
          <w:p w14:paraId="1F107D68">
            <w:pPr>
              <w:widowControl/>
              <w:numPr>
                <w:ilvl w:val="0"/>
                <w:numId w:val="12"/>
              </w:numPr>
              <w:spacing w:after="160" w:line="278" w:lineRule="auto"/>
              <w:jc w:val="left"/>
              <w:textAlignment w:val="center"/>
              <w:rPr>
                <w:rFonts w:ascii="Calibri" w:hAnsi="Calibri" w:eastAsia="宋体" w:cs="Times New Roman"/>
              </w:rPr>
            </w:pPr>
            <w:r>
              <w:rPr>
                <w:rFonts w:hint="eastAsia" w:ascii="宋体" w:hAnsi="宋体" w:eastAsia="宋体" w:cs="宋体"/>
                <w:kern w:val="0"/>
                <w:szCs w:val="21"/>
                <w:lang w:bidi="ar"/>
              </w:rPr>
              <w:t>产品类型：触控一体机</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2.显示屏尺寸：≥55英寸（16：9）</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3.物理分辨率：≥3840*2160</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4.亮度：≤350cd/</w:t>
            </w:r>
            <w:r>
              <w:rPr>
                <w:rFonts w:ascii="宋体" w:hAnsi="宋体" w:eastAsia="宋体" w:cs="宋体"/>
                <w:kern w:val="0"/>
                <w:szCs w:val="21"/>
                <w:lang w:bidi="ar"/>
              </w:rPr>
              <w:t xml:space="preserve"> m</w:t>
            </w:r>
            <w:r>
              <w:rPr>
                <w:rFonts w:ascii="宋体" w:hAnsi="宋体" w:eastAsia="宋体" w:cs="宋体"/>
                <w:kern w:val="0"/>
                <w:szCs w:val="21"/>
                <w:vertAlign w:val="superscript"/>
                <w:lang w:bidi="ar"/>
              </w:rPr>
              <w:t xml:space="preserve">2   </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5.机身尺寸：≤1</w:t>
            </w:r>
            <w:r>
              <w:rPr>
                <w:rFonts w:ascii="宋体" w:hAnsi="宋体" w:eastAsia="宋体" w:cs="宋体"/>
                <w:kern w:val="0"/>
                <w:szCs w:val="21"/>
                <w:lang w:bidi="ar"/>
              </w:rPr>
              <w:t xml:space="preserve">265 </w:t>
            </w:r>
            <w:r>
              <w:rPr>
                <w:rFonts w:hint="eastAsia" w:ascii="宋体" w:hAnsi="宋体" w:eastAsia="宋体" w:cs="宋体"/>
                <w:kern w:val="0"/>
                <w:szCs w:val="21"/>
                <w:lang w:bidi="ar"/>
              </w:rPr>
              <w:t>*</w:t>
            </w:r>
            <w:r>
              <w:rPr>
                <w:rFonts w:ascii="宋体" w:hAnsi="宋体" w:eastAsia="宋体" w:cs="宋体"/>
                <w:kern w:val="0"/>
                <w:szCs w:val="21"/>
                <w:lang w:bidi="ar"/>
              </w:rPr>
              <w:t xml:space="preserve">743 </w:t>
            </w:r>
            <w:r>
              <w:rPr>
                <w:rFonts w:hint="eastAsia" w:ascii="宋体" w:hAnsi="宋体" w:eastAsia="宋体" w:cs="宋体"/>
                <w:kern w:val="0"/>
                <w:szCs w:val="21"/>
                <w:lang w:bidi="ar"/>
              </w:rPr>
              <w:t>*</w:t>
            </w:r>
            <w:r>
              <w:rPr>
                <w:rFonts w:ascii="宋体" w:hAnsi="宋体" w:eastAsia="宋体" w:cs="宋体"/>
                <w:kern w:val="0"/>
                <w:szCs w:val="21"/>
                <w:lang w:bidi="ar"/>
              </w:rPr>
              <w:t xml:space="preserve">106 </w:t>
            </w:r>
            <w:r>
              <w:rPr>
                <w:rFonts w:hint="eastAsia" w:ascii="宋体" w:hAnsi="宋体" w:eastAsia="宋体" w:cs="宋体"/>
                <w:kern w:val="0"/>
                <w:szCs w:val="21"/>
                <w:lang w:bidi="ar"/>
              </w:rPr>
              <w:t>(mm)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6.触摸感应技术：红外感应触摸</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7.定位精度：90%以上触摸区域为±2mm；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8.系统配置：CPU:频率≥2.4GHz;内存:≥8G;SSD硬盘:≥256G;显卡:集成显卡</w:t>
            </w:r>
          </w:p>
        </w:tc>
        <w:tc>
          <w:tcPr>
            <w:tcW w:w="700" w:type="dxa"/>
            <w:tcBorders>
              <w:top w:val="single" w:color="000000" w:sz="4" w:space="0"/>
              <w:left w:val="single" w:color="000000" w:sz="4" w:space="0"/>
              <w:bottom w:val="single" w:color="000000" w:sz="4" w:space="0"/>
              <w:right w:val="single" w:color="000000" w:sz="4" w:space="0"/>
            </w:tcBorders>
            <w:vAlign w:val="center"/>
          </w:tcPr>
          <w:p w14:paraId="56A7C0B8">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元明继往·梵天胜境</w:t>
            </w:r>
          </w:p>
        </w:tc>
        <w:tc>
          <w:tcPr>
            <w:tcW w:w="512" w:type="dxa"/>
            <w:tcBorders>
              <w:top w:val="single" w:color="000000" w:sz="4" w:space="0"/>
              <w:left w:val="single" w:color="000000" w:sz="4" w:space="0"/>
              <w:bottom w:val="single" w:color="000000" w:sz="4" w:space="0"/>
              <w:right w:val="single" w:color="000000" w:sz="4" w:space="0"/>
            </w:tcBorders>
            <w:vAlign w:val="center"/>
          </w:tcPr>
          <w:p w14:paraId="7C9926AF">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台</w:t>
            </w:r>
          </w:p>
        </w:tc>
        <w:tc>
          <w:tcPr>
            <w:tcW w:w="513" w:type="dxa"/>
            <w:tcBorders>
              <w:top w:val="single" w:color="000000" w:sz="4" w:space="0"/>
              <w:left w:val="single" w:color="000000" w:sz="4" w:space="0"/>
              <w:bottom w:val="single" w:color="000000" w:sz="4" w:space="0"/>
              <w:right w:val="single" w:color="000000" w:sz="4" w:space="0"/>
            </w:tcBorders>
            <w:noWrap/>
            <w:vAlign w:val="center"/>
          </w:tcPr>
          <w:p w14:paraId="1A6E1198">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776" w:type="dxa"/>
            <w:tcBorders>
              <w:top w:val="single" w:color="000000" w:sz="4" w:space="0"/>
              <w:left w:val="single" w:color="000000" w:sz="4" w:space="0"/>
              <w:bottom w:val="single" w:color="000000" w:sz="4" w:space="0"/>
              <w:right w:val="single" w:color="000000" w:sz="4" w:space="0"/>
            </w:tcBorders>
            <w:noWrap/>
            <w:vAlign w:val="center"/>
          </w:tcPr>
          <w:p w14:paraId="0BA5BE2D">
            <w:pPr>
              <w:spacing w:after="160" w:line="278" w:lineRule="auto"/>
              <w:rPr>
                <w:rFonts w:hint="eastAsia" w:ascii="宋体" w:hAnsi="宋体" w:eastAsia="宋体" w:cs="宋体"/>
                <w:sz w:val="24"/>
              </w:rPr>
            </w:pPr>
          </w:p>
        </w:tc>
      </w:tr>
      <w:tr w14:paraId="6CAF039C">
        <w:tblPrEx>
          <w:tblCellMar>
            <w:top w:w="0" w:type="dxa"/>
            <w:left w:w="108" w:type="dxa"/>
            <w:bottom w:w="0" w:type="dxa"/>
            <w:right w:w="108" w:type="dxa"/>
          </w:tblCellMar>
        </w:tblPrEx>
        <w:trPr>
          <w:trHeight w:val="3193" w:hRule="atLeast"/>
          <w:jc w:val="center"/>
        </w:trPr>
        <w:tc>
          <w:tcPr>
            <w:tcW w:w="678" w:type="dxa"/>
            <w:tcBorders>
              <w:top w:val="single" w:color="000000" w:sz="4" w:space="0"/>
              <w:left w:val="single" w:color="000000" w:sz="4" w:space="0"/>
              <w:bottom w:val="single" w:color="000000" w:sz="4" w:space="0"/>
              <w:right w:val="single" w:color="000000" w:sz="4" w:space="0"/>
            </w:tcBorders>
            <w:noWrap/>
            <w:vAlign w:val="center"/>
          </w:tcPr>
          <w:p w14:paraId="1A05B8D5">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7</w:t>
            </w:r>
          </w:p>
        </w:tc>
        <w:tc>
          <w:tcPr>
            <w:tcW w:w="951" w:type="dxa"/>
            <w:tcBorders>
              <w:top w:val="single" w:color="000000" w:sz="4" w:space="0"/>
              <w:left w:val="single" w:color="000000" w:sz="4" w:space="0"/>
              <w:bottom w:val="single" w:color="000000" w:sz="4" w:space="0"/>
              <w:right w:val="single" w:color="000000" w:sz="4" w:space="0"/>
            </w:tcBorders>
            <w:vAlign w:val="center"/>
          </w:tcPr>
          <w:p w14:paraId="68908EFB">
            <w:pPr>
              <w:widowControl/>
              <w:spacing w:after="160" w:line="278"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55寸触控一体机</w:t>
            </w:r>
          </w:p>
        </w:tc>
        <w:tc>
          <w:tcPr>
            <w:tcW w:w="4600" w:type="dxa"/>
            <w:tcBorders>
              <w:top w:val="single" w:color="000000" w:sz="4" w:space="0"/>
              <w:left w:val="single" w:color="000000" w:sz="4" w:space="0"/>
              <w:bottom w:val="single" w:color="000000" w:sz="4" w:space="0"/>
              <w:right w:val="single" w:color="000000" w:sz="4" w:space="0"/>
            </w:tcBorders>
            <w:vAlign w:val="center"/>
          </w:tcPr>
          <w:p w14:paraId="0CCA1797">
            <w:pPr>
              <w:widowControl/>
              <w:numPr>
                <w:ilvl w:val="0"/>
                <w:numId w:val="13"/>
              </w:numPr>
              <w:spacing w:after="160" w:line="278" w:lineRule="auto"/>
              <w:jc w:val="left"/>
              <w:textAlignment w:val="center"/>
              <w:rPr>
                <w:rFonts w:ascii="Calibri" w:hAnsi="Calibri" w:eastAsia="宋体" w:cs="Times New Roman"/>
              </w:rPr>
            </w:pPr>
            <w:r>
              <w:rPr>
                <w:rFonts w:hint="eastAsia" w:ascii="宋体" w:hAnsi="宋体" w:eastAsia="宋体" w:cs="宋体"/>
                <w:kern w:val="0"/>
                <w:szCs w:val="21"/>
                <w:lang w:bidi="ar"/>
              </w:rPr>
              <w:t>产品类型：触控一体机</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2.显示屏尺寸：≥55英寸（16：9）</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3.物理分辨率：≥3840*2160</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4.亮度：≤350cd/</w:t>
            </w:r>
            <w:r>
              <w:rPr>
                <w:rFonts w:ascii="宋体" w:hAnsi="宋体" w:eastAsia="宋体" w:cs="宋体"/>
                <w:kern w:val="0"/>
                <w:szCs w:val="21"/>
                <w:lang w:bidi="ar"/>
              </w:rPr>
              <w:t xml:space="preserve"> m</w:t>
            </w:r>
            <w:r>
              <w:rPr>
                <w:rFonts w:ascii="宋体" w:hAnsi="宋体" w:eastAsia="宋体" w:cs="宋体"/>
                <w:kern w:val="0"/>
                <w:szCs w:val="21"/>
                <w:vertAlign w:val="superscript"/>
                <w:lang w:bidi="ar"/>
              </w:rPr>
              <w:t xml:space="preserve">2   </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5.机身尺寸：≤1</w:t>
            </w:r>
            <w:r>
              <w:rPr>
                <w:rFonts w:ascii="宋体" w:hAnsi="宋体" w:eastAsia="宋体" w:cs="宋体"/>
                <w:kern w:val="0"/>
                <w:szCs w:val="21"/>
                <w:lang w:bidi="ar"/>
              </w:rPr>
              <w:t xml:space="preserve">265 </w:t>
            </w:r>
            <w:r>
              <w:rPr>
                <w:rFonts w:hint="eastAsia" w:ascii="宋体" w:hAnsi="宋体" w:eastAsia="宋体" w:cs="宋体"/>
                <w:kern w:val="0"/>
                <w:szCs w:val="21"/>
                <w:lang w:bidi="ar"/>
              </w:rPr>
              <w:t>*</w:t>
            </w:r>
            <w:r>
              <w:rPr>
                <w:rFonts w:ascii="宋体" w:hAnsi="宋体" w:eastAsia="宋体" w:cs="宋体"/>
                <w:kern w:val="0"/>
                <w:szCs w:val="21"/>
                <w:lang w:bidi="ar"/>
              </w:rPr>
              <w:t xml:space="preserve">743 </w:t>
            </w:r>
            <w:r>
              <w:rPr>
                <w:rFonts w:hint="eastAsia" w:ascii="宋体" w:hAnsi="宋体" w:eastAsia="宋体" w:cs="宋体"/>
                <w:kern w:val="0"/>
                <w:szCs w:val="21"/>
                <w:lang w:bidi="ar"/>
              </w:rPr>
              <w:t>*</w:t>
            </w:r>
            <w:r>
              <w:rPr>
                <w:rFonts w:ascii="宋体" w:hAnsi="宋体" w:eastAsia="宋体" w:cs="宋体"/>
                <w:kern w:val="0"/>
                <w:szCs w:val="21"/>
                <w:lang w:bidi="ar"/>
              </w:rPr>
              <w:t>106</w:t>
            </w:r>
            <w:r>
              <w:rPr>
                <w:rFonts w:hint="eastAsia" w:ascii="宋体" w:hAnsi="宋体" w:eastAsia="宋体" w:cs="宋体"/>
                <w:kern w:val="0"/>
                <w:szCs w:val="21"/>
                <w:lang w:bidi="ar"/>
              </w:rPr>
              <w:t xml:space="preserve"> (mm)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6.触摸感应技术：红外感应触摸</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7.定位精度：90%以上触摸区域为±2mm；</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8.系统配置：CPU:频率≥2.4GHz;内存:≥8G;SSD硬盘:≥256G;显卡:集成显卡</w:t>
            </w:r>
          </w:p>
        </w:tc>
        <w:tc>
          <w:tcPr>
            <w:tcW w:w="700" w:type="dxa"/>
            <w:tcBorders>
              <w:top w:val="single" w:color="000000" w:sz="4" w:space="0"/>
              <w:left w:val="single" w:color="000000" w:sz="4" w:space="0"/>
              <w:bottom w:val="single" w:color="000000" w:sz="4" w:space="0"/>
              <w:right w:val="single" w:color="000000" w:sz="4" w:space="0"/>
            </w:tcBorders>
            <w:vAlign w:val="center"/>
          </w:tcPr>
          <w:p w14:paraId="1E58872C">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清朝宫苑·静宜之园</w:t>
            </w:r>
          </w:p>
        </w:tc>
        <w:tc>
          <w:tcPr>
            <w:tcW w:w="512" w:type="dxa"/>
            <w:tcBorders>
              <w:top w:val="single" w:color="000000" w:sz="4" w:space="0"/>
              <w:left w:val="single" w:color="000000" w:sz="4" w:space="0"/>
              <w:bottom w:val="single" w:color="000000" w:sz="4" w:space="0"/>
              <w:right w:val="single" w:color="000000" w:sz="4" w:space="0"/>
            </w:tcBorders>
            <w:vAlign w:val="center"/>
          </w:tcPr>
          <w:p w14:paraId="4546594F">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台</w:t>
            </w:r>
          </w:p>
        </w:tc>
        <w:tc>
          <w:tcPr>
            <w:tcW w:w="513" w:type="dxa"/>
            <w:tcBorders>
              <w:top w:val="single" w:color="000000" w:sz="4" w:space="0"/>
              <w:left w:val="single" w:color="000000" w:sz="4" w:space="0"/>
              <w:bottom w:val="single" w:color="000000" w:sz="4" w:space="0"/>
              <w:right w:val="single" w:color="000000" w:sz="4" w:space="0"/>
            </w:tcBorders>
            <w:noWrap/>
            <w:vAlign w:val="center"/>
          </w:tcPr>
          <w:p w14:paraId="36DCF9A0">
            <w:pPr>
              <w:widowControl/>
              <w:spacing w:after="160" w:line="278"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776" w:type="dxa"/>
            <w:tcBorders>
              <w:top w:val="single" w:color="000000" w:sz="4" w:space="0"/>
              <w:left w:val="single" w:color="000000" w:sz="4" w:space="0"/>
              <w:bottom w:val="single" w:color="000000" w:sz="4" w:space="0"/>
              <w:right w:val="single" w:color="000000" w:sz="4" w:space="0"/>
            </w:tcBorders>
            <w:noWrap/>
            <w:vAlign w:val="center"/>
          </w:tcPr>
          <w:p w14:paraId="5661455E">
            <w:pPr>
              <w:spacing w:after="160" w:line="278" w:lineRule="auto"/>
              <w:rPr>
                <w:rFonts w:hint="eastAsia" w:ascii="宋体" w:hAnsi="宋体" w:eastAsia="宋体" w:cs="宋体"/>
                <w:sz w:val="22"/>
                <w:szCs w:val="22"/>
              </w:rPr>
            </w:pPr>
          </w:p>
        </w:tc>
      </w:tr>
    </w:tbl>
    <w:p w14:paraId="112A570F">
      <w:pPr>
        <w:widowControl w:val="0"/>
        <w:autoSpaceDE/>
        <w:autoSpaceDN/>
        <w:adjustRightInd w:val="0"/>
        <w:spacing w:after="160" w:line="360" w:lineRule="auto"/>
        <w:ind w:left="210"/>
        <w:jc w:val="both"/>
        <w:rPr>
          <w:rFonts w:hint="eastAsia" w:ascii="Symbol" w:hAnsi="Symbol" w:eastAsia="宋体" w:cs="Symbol"/>
          <w:color w:val="000000"/>
          <w:sz w:val="24"/>
          <w:szCs w:val="24"/>
          <w:lang w:val="en-US" w:eastAsia="zh-CN" w:bidi="ar-SA"/>
        </w:rPr>
      </w:pPr>
    </w:p>
    <w:p w14:paraId="4990E986">
      <w:pPr>
        <w:spacing w:after="160" w:line="360" w:lineRule="auto"/>
        <w:contextualSpacing/>
        <w:rPr>
          <w:rFonts w:ascii="Times New Roman" w:hAnsi="Times New Roman" w:eastAsia="宋体" w:cs="Times New Roman"/>
          <w:sz w:val="24"/>
        </w:rPr>
      </w:pPr>
    </w:p>
    <w:p w14:paraId="539DE0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FD231F"/>
    <w:multiLevelType w:val="singleLevel"/>
    <w:tmpl w:val="81FD231F"/>
    <w:lvl w:ilvl="0" w:tentative="0">
      <w:start w:val="1"/>
      <w:numFmt w:val="decimal"/>
      <w:lvlText w:val="%1."/>
      <w:lvlJc w:val="left"/>
      <w:pPr>
        <w:tabs>
          <w:tab w:val="left" w:pos="312"/>
        </w:tabs>
      </w:pPr>
    </w:lvl>
  </w:abstractNum>
  <w:abstractNum w:abstractNumId="1">
    <w:nsid w:val="B16F8083"/>
    <w:multiLevelType w:val="singleLevel"/>
    <w:tmpl w:val="B16F8083"/>
    <w:lvl w:ilvl="0" w:tentative="0">
      <w:start w:val="1"/>
      <w:numFmt w:val="decimal"/>
      <w:lvlText w:val="(%1)"/>
      <w:lvlJc w:val="left"/>
      <w:pPr>
        <w:ind w:left="1055" w:hanging="425"/>
      </w:pPr>
      <w:rPr>
        <w:rFonts w:hint="default"/>
      </w:rPr>
    </w:lvl>
  </w:abstractNum>
  <w:abstractNum w:abstractNumId="2">
    <w:nsid w:val="BFFB37E9"/>
    <w:multiLevelType w:val="singleLevel"/>
    <w:tmpl w:val="BFFB37E9"/>
    <w:lvl w:ilvl="0" w:tentative="0">
      <w:start w:val="1"/>
      <w:numFmt w:val="decimal"/>
      <w:lvlText w:val="%1."/>
      <w:lvlJc w:val="left"/>
      <w:pPr>
        <w:tabs>
          <w:tab w:val="left" w:pos="312"/>
        </w:tabs>
      </w:pPr>
    </w:lvl>
  </w:abstractNum>
  <w:abstractNum w:abstractNumId="3">
    <w:nsid w:val="C13F7BEC"/>
    <w:multiLevelType w:val="singleLevel"/>
    <w:tmpl w:val="C13F7BEC"/>
    <w:lvl w:ilvl="0" w:tentative="0">
      <w:start w:val="1"/>
      <w:numFmt w:val="decimal"/>
      <w:lvlText w:val="%1."/>
      <w:lvlJc w:val="left"/>
      <w:pPr>
        <w:tabs>
          <w:tab w:val="left" w:pos="312"/>
        </w:tabs>
      </w:pPr>
    </w:lvl>
  </w:abstractNum>
  <w:abstractNum w:abstractNumId="4">
    <w:nsid w:val="D1272622"/>
    <w:multiLevelType w:val="singleLevel"/>
    <w:tmpl w:val="D1272622"/>
    <w:lvl w:ilvl="0" w:tentative="0">
      <w:start w:val="1"/>
      <w:numFmt w:val="decimal"/>
      <w:lvlText w:val="(%1)"/>
      <w:lvlJc w:val="left"/>
      <w:pPr>
        <w:ind w:left="1055" w:hanging="425"/>
      </w:pPr>
      <w:rPr>
        <w:rFonts w:hint="default"/>
      </w:rPr>
    </w:lvl>
  </w:abstractNum>
  <w:abstractNum w:abstractNumId="5">
    <w:nsid w:val="DD44C165"/>
    <w:multiLevelType w:val="singleLevel"/>
    <w:tmpl w:val="DD44C165"/>
    <w:lvl w:ilvl="0" w:tentative="0">
      <w:start w:val="1"/>
      <w:numFmt w:val="decimal"/>
      <w:lvlText w:val="%1."/>
      <w:lvlJc w:val="left"/>
      <w:pPr>
        <w:tabs>
          <w:tab w:val="left" w:pos="312"/>
        </w:tabs>
      </w:pPr>
    </w:lvl>
  </w:abstractNum>
  <w:abstractNum w:abstractNumId="6">
    <w:nsid w:val="02020059"/>
    <w:multiLevelType w:val="singleLevel"/>
    <w:tmpl w:val="02020059"/>
    <w:lvl w:ilvl="0" w:tentative="0">
      <w:start w:val="1"/>
      <w:numFmt w:val="decimal"/>
      <w:lvlText w:val="(%1)"/>
      <w:lvlJc w:val="left"/>
      <w:pPr>
        <w:ind w:left="1055" w:hanging="425"/>
      </w:pPr>
      <w:rPr>
        <w:rFonts w:hint="default"/>
      </w:rPr>
    </w:lvl>
  </w:abstractNum>
  <w:abstractNum w:abstractNumId="7">
    <w:nsid w:val="13561F05"/>
    <w:multiLevelType w:val="singleLevel"/>
    <w:tmpl w:val="13561F05"/>
    <w:lvl w:ilvl="0" w:tentative="0">
      <w:start w:val="1"/>
      <w:numFmt w:val="decimal"/>
      <w:suff w:val="nothing"/>
      <w:lvlText w:val="%1)"/>
      <w:lvlJc w:val="left"/>
      <w:pPr>
        <w:ind w:left="1265" w:hanging="425"/>
      </w:pPr>
      <w:rPr>
        <w:rFonts w:hint="default"/>
      </w:rPr>
    </w:lvl>
  </w:abstractNum>
  <w:abstractNum w:abstractNumId="8">
    <w:nsid w:val="1A7F40A6"/>
    <w:multiLevelType w:val="singleLevel"/>
    <w:tmpl w:val="1A7F40A6"/>
    <w:lvl w:ilvl="0" w:tentative="0">
      <w:start w:val="1"/>
      <w:numFmt w:val="decimal"/>
      <w:lvlText w:val="%1."/>
      <w:lvlJc w:val="left"/>
      <w:pPr>
        <w:tabs>
          <w:tab w:val="left" w:pos="312"/>
        </w:tabs>
      </w:pPr>
    </w:lvl>
  </w:abstractNum>
  <w:abstractNum w:abstractNumId="9">
    <w:nsid w:val="1AF64E4B"/>
    <w:multiLevelType w:val="singleLevel"/>
    <w:tmpl w:val="1AF64E4B"/>
    <w:lvl w:ilvl="0" w:tentative="0">
      <w:start w:val="1"/>
      <w:numFmt w:val="decimal"/>
      <w:lvlText w:val="(%1)"/>
      <w:lvlJc w:val="left"/>
      <w:pPr>
        <w:ind w:left="845" w:hanging="425"/>
      </w:pPr>
      <w:rPr>
        <w:rFonts w:hint="default"/>
      </w:rPr>
    </w:lvl>
  </w:abstractNum>
  <w:abstractNum w:abstractNumId="10">
    <w:nsid w:val="2DF485DD"/>
    <w:multiLevelType w:val="singleLevel"/>
    <w:tmpl w:val="2DF485DD"/>
    <w:lvl w:ilvl="0" w:tentative="0">
      <w:start w:val="1"/>
      <w:numFmt w:val="decimal"/>
      <w:suff w:val="nothing"/>
      <w:lvlText w:val="%1)"/>
      <w:lvlJc w:val="left"/>
      <w:pPr>
        <w:ind w:left="845" w:hanging="425"/>
      </w:pPr>
      <w:rPr>
        <w:rFonts w:hint="default"/>
      </w:rPr>
    </w:lvl>
  </w:abstractNum>
  <w:abstractNum w:abstractNumId="11">
    <w:nsid w:val="39417887"/>
    <w:multiLevelType w:val="singleLevel"/>
    <w:tmpl w:val="39417887"/>
    <w:lvl w:ilvl="0" w:tentative="0">
      <w:start w:val="1"/>
      <w:numFmt w:val="decimal"/>
      <w:lvlText w:val="(%1)"/>
      <w:lvlJc w:val="left"/>
      <w:pPr>
        <w:ind w:left="635" w:hanging="425"/>
      </w:pPr>
      <w:rPr>
        <w:rFonts w:hint="default"/>
      </w:rPr>
    </w:lvl>
  </w:abstractNum>
  <w:abstractNum w:abstractNumId="12">
    <w:nsid w:val="3C34CA6E"/>
    <w:multiLevelType w:val="singleLevel"/>
    <w:tmpl w:val="3C34CA6E"/>
    <w:lvl w:ilvl="0" w:tentative="0">
      <w:start w:val="1"/>
      <w:numFmt w:val="decimal"/>
      <w:lvlText w:val="(%1)"/>
      <w:lvlJc w:val="left"/>
      <w:pPr>
        <w:ind w:left="635" w:hanging="425"/>
      </w:pPr>
      <w:rPr>
        <w:rFonts w:hint="default"/>
      </w:rPr>
    </w:lvl>
  </w:abstractNum>
  <w:num w:numId="1">
    <w:abstractNumId w:val="12"/>
  </w:num>
  <w:num w:numId="2">
    <w:abstractNumId w:val="11"/>
  </w:num>
  <w:num w:numId="3">
    <w:abstractNumId w:val="10"/>
  </w:num>
  <w:num w:numId="4">
    <w:abstractNumId w:val="4"/>
  </w:num>
  <w:num w:numId="5">
    <w:abstractNumId w:val="7"/>
  </w:num>
  <w:num w:numId="6">
    <w:abstractNumId w:val="1"/>
  </w:num>
  <w:num w:numId="7">
    <w:abstractNumId w:val="6"/>
  </w:num>
  <w:num w:numId="8">
    <w:abstractNumId w:val="9"/>
  </w:num>
  <w:num w:numId="9">
    <w:abstractNumId w:val="3"/>
  </w:num>
  <w:num w:numId="10">
    <w:abstractNumId w:val="2"/>
  </w:num>
  <w:num w:numId="11">
    <w:abstractNumId w:val="5"/>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0B65A0"/>
    <w:rsid w:val="7E755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12697</Words>
  <Characters>14146</Characters>
  <Lines>0</Lines>
  <Paragraphs>0</Paragraphs>
  <TotalTime>2</TotalTime>
  <ScaleCrop>false</ScaleCrop>
  <LinksUpToDate>false</LinksUpToDate>
  <CharactersWithSpaces>14243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2026-07-17T03:23:00Z</dcterms:created>
  <dc:creator>user</dc:creator>
  <cp:lastModifiedBy>HJT</cp:lastModifiedBy>
  <dcterms:modified xsi:type="dcterms:W3CDTF">2026-08-10T06:15:01Z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eyJoZGlkIjoiOTZmZmVhZGE5ZjRiMDJkNWI0MTIyMWU2ZjI3YTA2Y2IiLCJ1c2VySWQiOiI0MjM1NzMyNDgifQ==</vt:lpwstr>
  </property>
  <property fmtid="{D5CDD505-2E9C-101B-9397-08002B2CF9AE}" pid="4" name="ICV">
    <vt:lpwstr>B705E1A2E7EC416888C10DDA7A22F30C_12</vt:lpwstr>
  </property>
</Properties>
</file>