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5BE24A">
      <w:pPr>
        <w:spacing w:line="360" w:lineRule="auto"/>
        <w:contextualSpacing/>
        <w:jc w:val="center"/>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第1包</w:t>
      </w:r>
    </w:p>
    <w:p w14:paraId="4B6FCEEC">
      <w:pPr>
        <w:snapToGrid w:val="0"/>
        <w:spacing w:line="360" w:lineRule="auto"/>
        <w:jc w:val="center"/>
        <w:outlineLvl w:val="0"/>
        <w:rPr>
          <w:rFonts w:ascii="仿宋" w:hAnsi="仿宋" w:eastAsia="仿宋" w:cs="仿宋"/>
          <w:b/>
          <w:color w:val="auto"/>
          <w:sz w:val="40"/>
          <w:szCs w:val="40"/>
          <w:highlight w:val="none"/>
        </w:rPr>
      </w:pPr>
      <w:bookmarkStart w:id="0" w:name="_Toc225498656"/>
      <w:r>
        <w:rPr>
          <w:rFonts w:hint="eastAsia" w:ascii="仿宋" w:hAnsi="仿宋" w:eastAsia="仿宋" w:cs="仿宋"/>
          <w:b/>
          <w:color w:val="auto"/>
          <w:sz w:val="40"/>
          <w:szCs w:val="40"/>
          <w:highlight w:val="none"/>
        </w:rPr>
        <w:t>第五章   采购需求</w:t>
      </w:r>
      <w:bookmarkEnd w:id="0"/>
    </w:p>
    <w:p w14:paraId="25BA3AE9">
      <w:pPr>
        <w:snapToGrid w:val="0"/>
        <w:spacing w:line="360" w:lineRule="auto"/>
        <w:contextualSpacing/>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说明：</w:t>
      </w:r>
    </w:p>
    <w:p w14:paraId="7B55F97E">
      <w:pPr>
        <w:snapToGrid w:val="0"/>
        <w:spacing w:line="360" w:lineRule="auto"/>
        <w:contextualSpacing/>
        <w:rPr>
          <w:rFonts w:ascii="仿宋" w:hAnsi="仿宋" w:eastAsia="仿宋" w:cs="仿宋"/>
          <w:color w:val="auto"/>
          <w:sz w:val="28"/>
          <w:szCs w:val="28"/>
          <w:highlight w:val="none"/>
        </w:rPr>
      </w:pPr>
      <w:bookmarkStart w:id="1" w:name="_Hlk167284587"/>
      <w:r>
        <w:rPr>
          <w:rFonts w:hint="eastAsia" w:ascii="仿宋" w:hAnsi="仿宋" w:eastAsia="仿宋" w:cs="仿宋"/>
          <w:color w:val="auto"/>
          <w:sz w:val="28"/>
          <w:szCs w:val="28"/>
          <w:highlight w:val="none"/>
        </w:rPr>
        <w:t>1. 当采购项目涉及政务信息系统时，采购需求应当符合《政务信息系统政府采购管理暂行办法》（财库〔2017〕210号）的相关要求。</w:t>
      </w:r>
    </w:p>
    <w:p w14:paraId="5F8246AD">
      <w:pPr>
        <w:snapToGrid w:val="0"/>
        <w:spacing w:line="360" w:lineRule="auto"/>
        <w:contextualSpacing/>
        <w:rPr>
          <w:rFonts w:ascii="仿宋" w:hAnsi="仿宋" w:eastAsia="仿宋" w:cs="仿宋"/>
          <w:color w:val="auto"/>
          <w:sz w:val="28"/>
          <w:szCs w:val="28"/>
          <w:highlight w:val="none"/>
        </w:rPr>
      </w:pPr>
      <w:bookmarkStart w:id="2" w:name="_Hlk168431603"/>
      <w:r>
        <w:rPr>
          <w:rFonts w:hint="eastAsia" w:ascii="仿宋" w:hAnsi="仿宋" w:eastAsia="仿宋" w:cs="仿宋"/>
          <w:color w:val="auto"/>
          <w:sz w:val="28"/>
          <w:szCs w:val="28"/>
          <w:highlight w:val="none"/>
        </w:rPr>
        <w:t>2. 采购人及采购代理机构应关注财政部门会同有关部门制定发布的需求标准，结合具体应用场景，</w:t>
      </w:r>
      <w:bookmarkStart w:id="50" w:name="_GoBack"/>
      <w:bookmarkEnd w:id="50"/>
      <w:r>
        <w:rPr>
          <w:rFonts w:hint="eastAsia" w:ascii="仿宋" w:hAnsi="仿宋" w:eastAsia="仿宋" w:cs="仿宋"/>
          <w:color w:val="auto"/>
          <w:sz w:val="28"/>
          <w:szCs w:val="28"/>
          <w:highlight w:val="none"/>
        </w:rPr>
        <w:t>根据对应《需求标准》确定采购需求。</w:t>
      </w:r>
    </w:p>
    <w:p w14:paraId="39BF4A40">
      <w:pPr>
        <w:snapToGrid w:val="0"/>
        <w:spacing w:line="360" w:lineRule="auto"/>
        <w:contextualSpacing/>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已发布的需求标准如下：</w:t>
      </w:r>
    </w:p>
    <w:p w14:paraId="54427F32">
      <w:pPr>
        <w:snapToGrid w:val="0"/>
        <w:spacing w:line="360" w:lineRule="auto"/>
        <w:contextualSpacing/>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《关于印发〈商品包装政府采购需求标准（试行）〉、〈快递包装政府采购需求标准（试行）〉的通知》（财办库﹝2020﹞123号））</w:t>
      </w:r>
    </w:p>
    <w:p w14:paraId="6B074439">
      <w:pPr>
        <w:pStyle w:val="270"/>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《绿色数据中心政府采购需求标准（试行）》（财库〔2023〕7号）</w:t>
      </w:r>
    </w:p>
    <w:p w14:paraId="0E35DE48">
      <w:pPr>
        <w:pStyle w:val="270"/>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《台式计算机政府采购需求标准（2023年版）》（财库〔2023〕29号）</w:t>
      </w:r>
    </w:p>
    <w:p w14:paraId="5440781D">
      <w:pPr>
        <w:pStyle w:val="270"/>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《便携式计算机政府采购需求标准（2023年版）》（财库〔2023〕30号）</w:t>
      </w:r>
    </w:p>
    <w:p w14:paraId="165DCA1B">
      <w:pPr>
        <w:pStyle w:val="270"/>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《一体式计算机政府采购需求标准（2023年版）》（财库〔2023〕31号）</w:t>
      </w:r>
    </w:p>
    <w:p w14:paraId="580F7C00">
      <w:pPr>
        <w:pStyle w:val="270"/>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《工作站政府采购需求标准（2023年版）》（财库〔2023〕32号）</w:t>
      </w:r>
    </w:p>
    <w:p w14:paraId="2735A2C6">
      <w:pPr>
        <w:pStyle w:val="270"/>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《通用服务器政府采购需求标准（2023年版）》（财库〔2023〕33号）</w:t>
      </w:r>
    </w:p>
    <w:p w14:paraId="783F6D2D">
      <w:pPr>
        <w:pStyle w:val="270"/>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《操作系统政府采购需求标准（2023年版）》（财库〔2023〕34号）</w:t>
      </w:r>
    </w:p>
    <w:p w14:paraId="2C273C54">
      <w:pPr>
        <w:pStyle w:val="270"/>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《数据库政府采购需求标准（2023年版）》（财库〔2023〕35号）</w:t>
      </w:r>
    </w:p>
    <w:p w14:paraId="49C40336">
      <w:pPr>
        <w:pStyle w:val="270"/>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《物业管理服务政府采购需求标准（办公场所类）（试行）》（财办库〔2024〕113号）</w:t>
      </w:r>
    </w:p>
    <w:p w14:paraId="6BBDB244">
      <w:pPr>
        <w:snapToGrid w:val="0"/>
        <w:spacing w:line="360" w:lineRule="auto"/>
        <w:contextualSpacing/>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如有更新或增加，以财政部门发布为准。</w:t>
      </w:r>
      <w:bookmarkEnd w:id="1"/>
      <w:bookmarkEnd w:id="2"/>
    </w:p>
    <w:p w14:paraId="18878D3E">
      <w:pPr>
        <w:widowControl/>
        <w:snapToGrid w:val="0"/>
        <w:spacing w:line="360" w:lineRule="auto"/>
        <w:jc w:val="left"/>
        <w:rPr>
          <w:rFonts w:ascii="仿宋" w:hAnsi="仿宋" w:eastAsia="仿宋" w:cs="仿宋"/>
          <w:b/>
          <w:color w:val="auto"/>
          <w:sz w:val="28"/>
          <w:szCs w:val="28"/>
          <w:highlight w:val="none"/>
        </w:rPr>
      </w:pPr>
      <w:r>
        <w:rPr>
          <w:rFonts w:ascii="仿宋" w:hAnsi="仿宋" w:eastAsia="仿宋" w:cs="仿宋"/>
          <w:b/>
          <w:color w:val="auto"/>
          <w:sz w:val="28"/>
          <w:szCs w:val="28"/>
          <w:highlight w:val="none"/>
        </w:rPr>
        <w:br w:type="page"/>
      </w:r>
    </w:p>
    <w:p w14:paraId="0CDD382A">
      <w:pPr>
        <w:snapToGrid w:val="0"/>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一、采购标的</w:t>
      </w:r>
    </w:p>
    <w:p w14:paraId="5961AA88">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（一）采购标的（货物需求一览表或简要服务内容及数量）</w:t>
      </w:r>
    </w:p>
    <w:tbl>
      <w:tblPr>
        <w:tblStyle w:val="4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9"/>
        <w:gridCol w:w="1232"/>
        <w:gridCol w:w="3347"/>
        <w:gridCol w:w="879"/>
        <w:gridCol w:w="863"/>
        <w:gridCol w:w="1182"/>
      </w:tblGrid>
      <w:tr w14:paraId="0F9B3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598" w:type="pct"/>
            <w:vAlign w:val="center"/>
          </w:tcPr>
          <w:p w14:paraId="37C701F6">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包号</w:t>
            </w:r>
          </w:p>
        </w:tc>
        <w:tc>
          <w:tcPr>
            <w:tcW w:w="723" w:type="pct"/>
            <w:vAlign w:val="center"/>
          </w:tcPr>
          <w:p w14:paraId="33F51B8E">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品目号</w:t>
            </w:r>
          </w:p>
        </w:tc>
        <w:tc>
          <w:tcPr>
            <w:tcW w:w="1964" w:type="pct"/>
            <w:tcBorders>
              <w:bottom w:val="single" w:color="auto" w:sz="4" w:space="0"/>
            </w:tcBorders>
            <w:vAlign w:val="center"/>
          </w:tcPr>
          <w:p w14:paraId="3D7D0178">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标的名称</w:t>
            </w:r>
          </w:p>
        </w:tc>
        <w:tc>
          <w:tcPr>
            <w:tcW w:w="516" w:type="pct"/>
            <w:vAlign w:val="center"/>
          </w:tcPr>
          <w:p w14:paraId="7E046F30">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数量</w:t>
            </w:r>
          </w:p>
        </w:tc>
        <w:tc>
          <w:tcPr>
            <w:tcW w:w="506" w:type="pct"/>
            <w:vAlign w:val="center"/>
          </w:tcPr>
          <w:p w14:paraId="5B9234C1">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单位</w:t>
            </w:r>
          </w:p>
        </w:tc>
        <w:tc>
          <w:tcPr>
            <w:tcW w:w="694" w:type="pct"/>
            <w:vAlign w:val="center"/>
          </w:tcPr>
          <w:p w14:paraId="7B33B945">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是否接受进口产品</w:t>
            </w:r>
          </w:p>
        </w:tc>
      </w:tr>
      <w:tr w14:paraId="51D52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8" w:type="pct"/>
            <w:vMerge w:val="restart"/>
            <w:noWrap/>
            <w:vAlign w:val="center"/>
          </w:tcPr>
          <w:p w14:paraId="23978F75">
            <w:pPr>
              <w:spacing w:before="120"/>
              <w:contextualSpacing/>
              <w:jc w:val="center"/>
              <w:rPr>
                <w:rFonts w:ascii="仿宋" w:hAnsi="仿宋" w:eastAsia="仿宋"/>
                <w:color w:val="auto"/>
                <w:sz w:val="24"/>
                <w:highlight w:val="none"/>
              </w:rPr>
            </w:pPr>
            <w:r>
              <w:rPr>
                <w:rFonts w:hint="eastAsia" w:ascii="仿宋" w:hAnsi="仿宋" w:eastAsia="仿宋"/>
                <w:color w:val="auto"/>
                <w:sz w:val="24"/>
                <w:highlight w:val="none"/>
              </w:rPr>
              <w:t>1</w:t>
            </w:r>
          </w:p>
        </w:tc>
        <w:tc>
          <w:tcPr>
            <w:tcW w:w="723" w:type="pct"/>
            <w:vAlign w:val="center"/>
          </w:tcPr>
          <w:p w14:paraId="4BA0B7F5">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1-1</w:t>
            </w:r>
          </w:p>
        </w:tc>
        <w:tc>
          <w:tcPr>
            <w:tcW w:w="1964" w:type="pct"/>
            <w:vAlign w:val="center"/>
          </w:tcPr>
          <w:p w14:paraId="6888C18B">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上下双通道安检机</w:t>
            </w:r>
          </w:p>
        </w:tc>
        <w:tc>
          <w:tcPr>
            <w:tcW w:w="516" w:type="pct"/>
            <w:vAlign w:val="center"/>
          </w:tcPr>
          <w:p w14:paraId="76FAA286">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1</w:t>
            </w:r>
          </w:p>
        </w:tc>
        <w:tc>
          <w:tcPr>
            <w:tcW w:w="506" w:type="pct"/>
            <w:vAlign w:val="center"/>
          </w:tcPr>
          <w:p w14:paraId="7B8B8AFD">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694" w:type="pct"/>
            <w:vAlign w:val="center"/>
          </w:tcPr>
          <w:p w14:paraId="275348E6">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否</w:t>
            </w:r>
          </w:p>
        </w:tc>
      </w:tr>
      <w:tr w14:paraId="6F71C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8" w:type="pct"/>
            <w:vMerge w:val="continue"/>
            <w:noWrap/>
            <w:vAlign w:val="center"/>
          </w:tcPr>
          <w:p w14:paraId="645E2A7F">
            <w:pPr>
              <w:spacing w:before="120"/>
              <w:contextualSpacing/>
              <w:jc w:val="center"/>
              <w:rPr>
                <w:rFonts w:ascii="仿宋" w:hAnsi="仿宋" w:eastAsia="仿宋"/>
                <w:color w:val="auto"/>
                <w:sz w:val="24"/>
                <w:highlight w:val="none"/>
              </w:rPr>
            </w:pPr>
          </w:p>
        </w:tc>
        <w:tc>
          <w:tcPr>
            <w:tcW w:w="723" w:type="pct"/>
            <w:vAlign w:val="center"/>
          </w:tcPr>
          <w:p w14:paraId="6F089971">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1-2</w:t>
            </w:r>
          </w:p>
        </w:tc>
        <w:tc>
          <w:tcPr>
            <w:tcW w:w="1964" w:type="pct"/>
            <w:vAlign w:val="center"/>
          </w:tcPr>
          <w:p w14:paraId="5997EC8D">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快速单通道中型安检机</w:t>
            </w:r>
          </w:p>
        </w:tc>
        <w:tc>
          <w:tcPr>
            <w:tcW w:w="516" w:type="pct"/>
            <w:vAlign w:val="center"/>
          </w:tcPr>
          <w:p w14:paraId="4E005FBB">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12</w:t>
            </w:r>
          </w:p>
        </w:tc>
        <w:tc>
          <w:tcPr>
            <w:tcW w:w="506" w:type="pct"/>
            <w:vAlign w:val="center"/>
          </w:tcPr>
          <w:p w14:paraId="31763BB6">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694" w:type="pct"/>
            <w:vAlign w:val="center"/>
          </w:tcPr>
          <w:p w14:paraId="65D50171">
            <w:pPr>
              <w:jc w:val="center"/>
              <w:rPr>
                <w:color w:val="auto"/>
                <w:highlight w:val="none"/>
              </w:rPr>
            </w:pPr>
            <w:r>
              <w:rPr>
                <w:rFonts w:hint="eastAsia" w:ascii="仿宋" w:hAnsi="仿宋" w:eastAsia="仿宋" w:cs="宋体"/>
                <w:color w:val="auto"/>
                <w:kern w:val="0"/>
                <w:sz w:val="24"/>
                <w:highlight w:val="none"/>
                <w:lang w:bidi="ar"/>
              </w:rPr>
              <w:t>否</w:t>
            </w:r>
          </w:p>
        </w:tc>
      </w:tr>
      <w:tr w14:paraId="7AC30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8" w:type="pct"/>
            <w:vMerge w:val="continue"/>
            <w:noWrap/>
            <w:vAlign w:val="center"/>
          </w:tcPr>
          <w:p w14:paraId="2A858707">
            <w:pPr>
              <w:spacing w:before="120"/>
              <w:contextualSpacing/>
              <w:jc w:val="center"/>
              <w:rPr>
                <w:rFonts w:ascii="仿宋" w:hAnsi="仿宋" w:eastAsia="仿宋"/>
                <w:color w:val="auto"/>
                <w:sz w:val="24"/>
                <w:highlight w:val="none"/>
              </w:rPr>
            </w:pPr>
          </w:p>
        </w:tc>
        <w:tc>
          <w:tcPr>
            <w:tcW w:w="723" w:type="pct"/>
            <w:vAlign w:val="center"/>
          </w:tcPr>
          <w:p w14:paraId="4386096F">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1-3</w:t>
            </w:r>
          </w:p>
        </w:tc>
        <w:tc>
          <w:tcPr>
            <w:tcW w:w="1964" w:type="pct"/>
            <w:vAlign w:val="center"/>
          </w:tcPr>
          <w:p w14:paraId="0F14AEBE">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快速单通道小型安检机</w:t>
            </w:r>
          </w:p>
        </w:tc>
        <w:tc>
          <w:tcPr>
            <w:tcW w:w="516" w:type="pct"/>
            <w:vAlign w:val="center"/>
          </w:tcPr>
          <w:p w14:paraId="51EF853A">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1</w:t>
            </w:r>
          </w:p>
        </w:tc>
        <w:tc>
          <w:tcPr>
            <w:tcW w:w="506" w:type="pct"/>
            <w:vAlign w:val="center"/>
          </w:tcPr>
          <w:p w14:paraId="67E58B8B">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694" w:type="pct"/>
            <w:vAlign w:val="center"/>
          </w:tcPr>
          <w:p w14:paraId="51B3253C">
            <w:pPr>
              <w:jc w:val="center"/>
              <w:rPr>
                <w:color w:val="auto"/>
                <w:highlight w:val="none"/>
              </w:rPr>
            </w:pPr>
            <w:r>
              <w:rPr>
                <w:rFonts w:hint="eastAsia" w:ascii="仿宋" w:hAnsi="仿宋" w:eastAsia="仿宋" w:cs="宋体"/>
                <w:color w:val="auto"/>
                <w:kern w:val="0"/>
                <w:sz w:val="24"/>
                <w:highlight w:val="none"/>
                <w:lang w:bidi="ar"/>
              </w:rPr>
              <w:t>否</w:t>
            </w:r>
          </w:p>
        </w:tc>
      </w:tr>
      <w:tr w14:paraId="721A3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8" w:type="pct"/>
            <w:vMerge w:val="continue"/>
            <w:noWrap/>
            <w:vAlign w:val="center"/>
          </w:tcPr>
          <w:p w14:paraId="193432B2">
            <w:pPr>
              <w:spacing w:before="120"/>
              <w:contextualSpacing/>
              <w:jc w:val="center"/>
              <w:rPr>
                <w:rFonts w:ascii="仿宋" w:hAnsi="仿宋" w:eastAsia="仿宋"/>
                <w:color w:val="auto"/>
                <w:sz w:val="24"/>
                <w:highlight w:val="none"/>
              </w:rPr>
            </w:pPr>
          </w:p>
        </w:tc>
        <w:tc>
          <w:tcPr>
            <w:tcW w:w="723" w:type="pct"/>
            <w:vAlign w:val="center"/>
          </w:tcPr>
          <w:p w14:paraId="3A46874B">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1-4</w:t>
            </w:r>
          </w:p>
        </w:tc>
        <w:tc>
          <w:tcPr>
            <w:tcW w:w="1964" w:type="pct"/>
            <w:vAlign w:val="center"/>
          </w:tcPr>
          <w:p w14:paraId="3DA9ACE2">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禁带品智能识别机</w:t>
            </w:r>
          </w:p>
        </w:tc>
        <w:tc>
          <w:tcPr>
            <w:tcW w:w="516" w:type="pct"/>
            <w:vAlign w:val="center"/>
          </w:tcPr>
          <w:p w14:paraId="10B66AEE">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14</w:t>
            </w:r>
          </w:p>
        </w:tc>
        <w:tc>
          <w:tcPr>
            <w:tcW w:w="506" w:type="pct"/>
            <w:vAlign w:val="center"/>
          </w:tcPr>
          <w:p w14:paraId="60D706D4">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694" w:type="pct"/>
            <w:vAlign w:val="center"/>
          </w:tcPr>
          <w:p w14:paraId="44828879">
            <w:pPr>
              <w:jc w:val="center"/>
              <w:rPr>
                <w:color w:val="auto"/>
                <w:highlight w:val="none"/>
              </w:rPr>
            </w:pPr>
            <w:r>
              <w:rPr>
                <w:rFonts w:hint="eastAsia" w:ascii="仿宋" w:hAnsi="仿宋" w:eastAsia="仿宋" w:cs="宋体"/>
                <w:color w:val="auto"/>
                <w:kern w:val="0"/>
                <w:sz w:val="24"/>
                <w:highlight w:val="none"/>
                <w:lang w:bidi="ar"/>
              </w:rPr>
              <w:t>否</w:t>
            </w:r>
          </w:p>
        </w:tc>
      </w:tr>
      <w:tr w14:paraId="39B49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8" w:type="pct"/>
            <w:vMerge w:val="continue"/>
            <w:noWrap/>
            <w:vAlign w:val="center"/>
          </w:tcPr>
          <w:p w14:paraId="01552284">
            <w:pPr>
              <w:spacing w:before="120"/>
              <w:contextualSpacing/>
              <w:jc w:val="center"/>
              <w:rPr>
                <w:rFonts w:ascii="仿宋" w:hAnsi="仿宋" w:eastAsia="仿宋"/>
                <w:color w:val="auto"/>
                <w:sz w:val="24"/>
                <w:highlight w:val="none"/>
              </w:rPr>
            </w:pPr>
          </w:p>
        </w:tc>
        <w:tc>
          <w:tcPr>
            <w:tcW w:w="723" w:type="pct"/>
            <w:vAlign w:val="center"/>
          </w:tcPr>
          <w:p w14:paraId="0C0D9964">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1-5</w:t>
            </w:r>
          </w:p>
        </w:tc>
        <w:tc>
          <w:tcPr>
            <w:tcW w:w="1964" w:type="pct"/>
            <w:vAlign w:val="center"/>
          </w:tcPr>
          <w:p w14:paraId="3E2B5BA7">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金属测温安检门</w:t>
            </w:r>
          </w:p>
        </w:tc>
        <w:tc>
          <w:tcPr>
            <w:tcW w:w="516" w:type="pct"/>
            <w:vAlign w:val="center"/>
          </w:tcPr>
          <w:p w14:paraId="5D79E797">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16</w:t>
            </w:r>
          </w:p>
        </w:tc>
        <w:tc>
          <w:tcPr>
            <w:tcW w:w="506" w:type="pct"/>
            <w:vAlign w:val="center"/>
          </w:tcPr>
          <w:p w14:paraId="5EA5E346">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694" w:type="pct"/>
            <w:vAlign w:val="center"/>
          </w:tcPr>
          <w:p w14:paraId="0B777C1E">
            <w:pPr>
              <w:jc w:val="center"/>
              <w:rPr>
                <w:color w:val="auto"/>
                <w:highlight w:val="none"/>
              </w:rPr>
            </w:pPr>
            <w:r>
              <w:rPr>
                <w:rFonts w:hint="eastAsia" w:ascii="仿宋" w:hAnsi="仿宋" w:eastAsia="仿宋" w:cs="宋体"/>
                <w:color w:val="auto"/>
                <w:kern w:val="0"/>
                <w:sz w:val="24"/>
                <w:highlight w:val="none"/>
                <w:lang w:bidi="ar"/>
              </w:rPr>
              <w:t>否</w:t>
            </w:r>
          </w:p>
        </w:tc>
      </w:tr>
      <w:tr w14:paraId="276FB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8" w:type="pct"/>
            <w:vMerge w:val="continue"/>
            <w:noWrap/>
            <w:vAlign w:val="center"/>
          </w:tcPr>
          <w:p w14:paraId="11400869">
            <w:pPr>
              <w:spacing w:before="120"/>
              <w:contextualSpacing/>
              <w:jc w:val="center"/>
              <w:rPr>
                <w:rFonts w:ascii="仿宋" w:hAnsi="仿宋" w:eastAsia="仿宋"/>
                <w:color w:val="auto"/>
                <w:sz w:val="24"/>
                <w:highlight w:val="none"/>
              </w:rPr>
            </w:pPr>
          </w:p>
        </w:tc>
        <w:tc>
          <w:tcPr>
            <w:tcW w:w="723" w:type="pct"/>
            <w:vAlign w:val="center"/>
          </w:tcPr>
          <w:p w14:paraId="7A353B57">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1-6</w:t>
            </w:r>
          </w:p>
        </w:tc>
        <w:tc>
          <w:tcPr>
            <w:tcW w:w="1964" w:type="pct"/>
            <w:vAlign w:val="center"/>
          </w:tcPr>
          <w:p w14:paraId="7F2F5060">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台式液体检测仪</w:t>
            </w:r>
          </w:p>
        </w:tc>
        <w:tc>
          <w:tcPr>
            <w:tcW w:w="516" w:type="pct"/>
            <w:vAlign w:val="center"/>
          </w:tcPr>
          <w:p w14:paraId="25ACA7C7">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14</w:t>
            </w:r>
          </w:p>
        </w:tc>
        <w:tc>
          <w:tcPr>
            <w:tcW w:w="506" w:type="pct"/>
            <w:vAlign w:val="center"/>
          </w:tcPr>
          <w:p w14:paraId="486E7548">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694" w:type="pct"/>
            <w:vAlign w:val="center"/>
          </w:tcPr>
          <w:p w14:paraId="15050F02">
            <w:pPr>
              <w:jc w:val="center"/>
              <w:rPr>
                <w:color w:val="auto"/>
                <w:highlight w:val="none"/>
              </w:rPr>
            </w:pPr>
            <w:r>
              <w:rPr>
                <w:rFonts w:hint="eastAsia" w:ascii="仿宋" w:hAnsi="仿宋" w:eastAsia="仿宋" w:cs="宋体"/>
                <w:color w:val="auto"/>
                <w:kern w:val="0"/>
                <w:sz w:val="24"/>
                <w:highlight w:val="none"/>
                <w:lang w:bidi="ar"/>
              </w:rPr>
              <w:t>否</w:t>
            </w:r>
          </w:p>
        </w:tc>
      </w:tr>
      <w:tr w14:paraId="764F6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8" w:type="pct"/>
            <w:vMerge w:val="continue"/>
            <w:noWrap/>
            <w:vAlign w:val="center"/>
          </w:tcPr>
          <w:p w14:paraId="1B46F52D">
            <w:pPr>
              <w:spacing w:before="120"/>
              <w:contextualSpacing/>
              <w:jc w:val="center"/>
              <w:rPr>
                <w:rFonts w:ascii="仿宋" w:hAnsi="仿宋" w:eastAsia="仿宋"/>
                <w:color w:val="auto"/>
                <w:sz w:val="24"/>
                <w:highlight w:val="none"/>
              </w:rPr>
            </w:pPr>
          </w:p>
        </w:tc>
        <w:tc>
          <w:tcPr>
            <w:tcW w:w="723" w:type="pct"/>
            <w:vAlign w:val="center"/>
          </w:tcPr>
          <w:p w14:paraId="347CFB62">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1-7</w:t>
            </w:r>
          </w:p>
        </w:tc>
        <w:tc>
          <w:tcPr>
            <w:tcW w:w="1964" w:type="pct"/>
            <w:vAlign w:val="center"/>
          </w:tcPr>
          <w:p w14:paraId="18535CCC">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便携式爆炸物探测器</w:t>
            </w:r>
          </w:p>
        </w:tc>
        <w:tc>
          <w:tcPr>
            <w:tcW w:w="516" w:type="pct"/>
            <w:vAlign w:val="center"/>
          </w:tcPr>
          <w:p w14:paraId="52F635D3">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2</w:t>
            </w:r>
          </w:p>
        </w:tc>
        <w:tc>
          <w:tcPr>
            <w:tcW w:w="506" w:type="pct"/>
            <w:vAlign w:val="center"/>
          </w:tcPr>
          <w:p w14:paraId="4F7982A0">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694" w:type="pct"/>
            <w:vAlign w:val="center"/>
          </w:tcPr>
          <w:p w14:paraId="5E1A1884">
            <w:pPr>
              <w:jc w:val="center"/>
              <w:rPr>
                <w:color w:val="auto"/>
                <w:highlight w:val="none"/>
              </w:rPr>
            </w:pPr>
            <w:r>
              <w:rPr>
                <w:rFonts w:hint="eastAsia" w:ascii="仿宋" w:hAnsi="仿宋" w:eastAsia="仿宋" w:cs="宋体"/>
                <w:color w:val="auto"/>
                <w:kern w:val="0"/>
                <w:sz w:val="24"/>
                <w:highlight w:val="none"/>
                <w:lang w:bidi="ar"/>
              </w:rPr>
              <w:t>否</w:t>
            </w:r>
          </w:p>
        </w:tc>
      </w:tr>
      <w:tr w14:paraId="03ADB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8" w:type="pct"/>
            <w:vMerge w:val="continue"/>
            <w:noWrap/>
            <w:vAlign w:val="center"/>
          </w:tcPr>
          <w:p w14:paraId="44201B88">
            <w:pPr>
              <w:spacing w:before="120"/>
              <w:contextualSpacing/>
              <w:jc w:val="center"/>
              <w:rPr>
                <w:rFonts w:ascii="仿宋" w:hAnsi="仿宋" w:eastAsia="仿宋"/>
                <w:color w:val="auto"/>
                <w:sz w:val="24"/>
                <w:highlight w:val="none"/>
              </w:rPr>
            </w:pPr>
          </w:p>
        </w:tc>
        <w:tc>
          <w:tcPr>
            <w:tcW w:w="723" w:type="pct"/>
            <w:vAlign w:val="center"/>
          </w:tcPr>
          <w:p w14:paraId="14AEAA66">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1-8</w:t>
            </w:r>
          </w:p>
        </w:tc>
        <w:tc>
          <w:tcPr>
            <w:tcW w:w="1964" w:type="pct"/>
            <w:vAlign w:val="center"/>
          </w:tcPr>
          <w:p w14:paraId="5BC83F60">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集中判图终端</w:t>
            </w:r>
          </w:p>
        </w:tc>
        <w:tc>
          <w:tcPr>
            <w:tcW w:w="516" w:type="pct"/>
            <w:vAlign w:val="center"/>
          </w:tcPr>
          <w:p w14:paraId="14C7079F">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2</w:t>
            </w:r>
          </w:p>
        </w:tc>
        <w:tc>
          <w:tcPr>
            <w:tcW w:w="506" w:type="pct"/>
            <w:vAlign w:val="center"/>
          </w:tcPr>
          <w:p w14:paraId="466C6538">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694" w:type="pct"/>
            <w:vAlign w:val="center"/>
          </w:tcPr>
          <w:p w14:paraId="198DFC30">
            <w:pPr>
              <w:jc w:val="center"/>
              <w:rPr>
                <w:color w:val="auto"/>
                <w:highlight w:val="none"/>
              </w:rPr>
            </w:pPr>
            <w:r>
              <w:rPr>
                <w:rFonts w:hint="eastAsia" w:ascii="仿宋" w:hAnsi="仿宋" w:eastAsia="仿宋" w:cs="宋体"/>
                <w:color w:val="auto"/>
                <w:kern w:val="0"/>
                <w:sz w:val="24"/>
                <w:highlight w:val="none"/>
                <w:lang w:bidi="ar"/>
              </w:rPr>
              <w:t>否</w:t>
            </w:r>
          </w:p>
        </w:tc>
      </w:tr>
      <w:tr w14:paraId="1379D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8" w:type="pct"/>
            <w:vMerge w:val="continue"/>
            <w:noWrap/>
            <w:vAlign w:val="center"/>
          </w:tcPr>
          <w:p w14:paraId="02B2EC9A">
            <w:pPr>
              <w:spacing w:before="120"/>
              <w:contextualSpacing/>
              <w:jc w:val="center"/>
              <w:rPr>
                <w:rFonts w:ascii="仿宋" w:hAnsi="仿宋" w:eastAsia="仿宋"/>
                <w:color w:val="auto"/>
                <w:sz w:val="24"/>
                <w:highlight w:val="none"/>
              </w:rPr>
            </w:pPr>
          </w:p>
        </w:tc>
        <w:tc>
          <w:tcPr>
            <w:tcW w:w="723" w:type="pct"/>
            <w:vAlign w:val="center"/>
          </w:tcPr>
          <w:p w14:paraId="39C7C19A">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1-9</w:t>
            </w:r>
          </w:p>
        </w:tc>
        <w:tc>
          <w:tcPr>
            <w:tcW w:w="1964" w:type="pct"/>
            <w:vAlign w:val="center"/>
          </w:tcPr>
          <w:p w14:paraId="2AF50453">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安检管理终端</w:t>
            </w:r>
          </w:p>
        </w:tc>
        <w:tc>
          <w:tcPr>
            <w:tcW w:w="516" w:type="pct"/>
            <w:vAlign w:val="center"/>
          </w:tcPr>
          <w:p w14:paraId="79A7DEE8">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1</w:t>
            </w:r>
          </w:p>
        </w:tc>
        <w:tc>
          <w:tcPr>
            <w:tcW w:w="506" w:type="pct"/>
            <w:vAlign w:val="center"/>
          </w:tcPr>
          <w:p w14:paraId="0E7980BE">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694" w:type="pct"/>
            <w:vAlign w:val="center"/>
          </w:tcPr>
          <w:p w14:paraId="0D314C5F">
            <w:pPr>
              <w:jc w:val="center"/>
              <w:rPr>
                <w:color w:val="auto"/>
                <w:highlight w:val="none"/>
              </w:rPr>
            </w:pPr>
            <w:r>
              <w:rPr>
                <w:rFonts w:hint="eastAsia" w:ascii="仿宋" w:hAnsi="仿宋" w:eastAsia="仿宋" w:cs="宋体"/>
                <w:color w:val="auto"/>
                <w:kern w:val="0"/>
                <w:sz w:val="24"/>
                <w:highlight w:val="none"/>
                <w:lang w:bidi="ar"/>
              </w:rPr>
              <w:t>否</w:t>
            </w:r>
          </w:p>
        </w:tc>
      </w:tr>
      <w:tr w14:paraId="06992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8" w:type="pct"/>
            <w:vMerge w:val="continue"/>
            <w:noWrap/>
            <w:vAlign w:val="center"/>
          </w:tcPr>
          <w:p w14:paraId="37D101D3">
            <w:pPr>
              <w:spacing w:before="120"/>
              <w:contextualSpacing/>
              <w:jc w:val="center"/>
              <w:rPr>
                <w:rFonts w:ascii="仿宋" w:hAnsi="仿宋" w:eastAsia="仿宋"/>
                <w:color w:val="auto"/>
                <w:sz w:val="24"/>
                <w:highlight w:val="none"/>
              </w:rPr>
            </w:pPr>
          </w:p>
        </w:tc>
        <w:tc>
          <w:tcPr>
            <w:tcW w:w="723" w:type="pct"/>
            <w:vAlign w:val="center"/>
          </w:tcPr>
          <w:p w14:paraId="2A47A70C">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1-10</w:t>
            </w:r>
          </w:p>
        </w:tc>
        <w:tc>
          <w:tcPr>
            <w:tcW w:w="1964" w:type="pct"/>
            <w:vAlign w:val="center"/>
          </w:tcPr>
          <w:p w14:paraId="11F0B33E">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开包精检台</w:t>
            </w:r>
          </w:p>
        </w:tc>
        <w:tc>
          <w:tcPr>
            <w:tcW w:w="516" w:type="pct"/>
            <w:vAlign w:val="center"/>
          </w:tcPr>
          <w:p w14:paraId="588B1E73">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14</w:t>
            </w:r>
          </w:p>
        </w:tc>
        <w:tc>
          <w:tcPr>
            <w:tcW w:w="506" w:type="pct"/>
            <w:vAlign w:val="center"/>
          </w:tcPr>
          <w:p w14:paraId="6F626461">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694" w:type="pct"/>
            <w:vAlign w:val="center"/>
          </w:tcPr>
          <w:p w14:paraId="008125F7">
            <w:pPr>
              <w:jc w:val="center"/>
              <w:rPr>
                <w:color w:val="auto"/>
                <w:highlight w:val="none"/>
              </w:rPr>
            </w:pPr>
            <w:r>
              <w:rPr>
                <w:rFonts w:hint="eastAsia" w:ascii="仿宋" w:hAnsi="仿宋" w:eastAsia="仿宋" w:cs="宋体"/>
                <w:color w:val="auto"/>
                <w:kern w:val="0"/>
                <w:sz w:val="24"/>
                <w:highlight w:val="none"/>
                <w:lang w:bidi="ar"/>
              </w:rPr>
              <w:t>否</w:t>
            </w:r>
          </w:p>
        </w:tc>
      </w:tr>
      <w:tr w14:paraId="6B46F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8" w:type="pct"/>
            <w:vMerge w:val="continue"/>
            <w:noWrap/>
            <w:vAlign w:val="center"/>
          </w:tcPr>
          <w:p w14:paraId="37682EDA">
            <w:pPr>
              <w:spacing w:before="120"/>
              <w:contextualSpacing/>
              <w:jc w:val="center"/>
              <w:rPr>
                <w:rFonts w:ascii="仿宋" w:hAnsi="仿宋" w:eastAsia="仿宋"/>
                <w:color w:val="auto"/>
                <w:sz w:val="24"/>
                <w:highlight w:val="none"/>
              </w:rPr>
            </w:pPr>
          </w:p>
        </w:tc>
        <w:tc>
          <w:tcPr>
            <w:tcW w:w="723" w:type="pct"/>
            <w:vAlign w:val="center"/>
          </w:tcPr>
          <w:p w14:paraId="578959FB">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1-11</w:t>
            </w:r>
          </w:p>
        </w:tc>
        <w:tc>
          <w:tcPr>
            <w:tcW w:w="1964" w:type="pct"/>
            <w:vAlign w:val="center"/>
          </w:tcPr>
          <w:p w14:paraId="4DE5A006">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存储柜</w:t>
            </w:r>
          </w:p>
        </w:tc>
        <w:tc>
          <w:tcPr>
            <w:tcW w:w="516" w:type="pct"/>
            <w:vAlign w:val="center"/>
          </w:tcPr>
          <w:p w14:paraId="5AD2BE21">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15</w:t>
            </w:r>
          </w:p>
        </w:tc>
        <w:tc>
          <w:tcPr>
            <w:tcW w:w="506" w:type="pct"/>
            <w:vAlign w:val="center"/>
          </w:tcPr>
          <w:p w14:paraId="3DB446EB">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694" w:type="pct"/>
            <w:vAlign w:val="center"/>
          </w:tcPr>
          <w:p w14:paraId="2EFACC9F">
            <w:pPr>
              <w:jc w:val="center"/>
              <w:rPr>
                <w:color w:val="auto"/>
                <w:highlight w:val="none"/>
              </w:rPr>
            </w:pPr>
            <w:r>
              <w:rPr>
                <w:rFonts w:hint="eastAsia" w:ascii="仿宋" w:hAnsi="仿宋" w:eastAsia="仿宋" w:cs="宋体"/>
                <w:color w:val="auto"/>
                <w:kern w:val="0"/>
                <w:sz w:val="24"/>
                <w:highlight w:val="none"/>
                <w:lang w:bidi="ar"/>
              </w:rPr>
              <w:t>否</w:t>
            </w:r>
          </w:p>
        </w:tc>
      </w:tr>
      <w:tr w14:paraId="4EE07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8" w:type="pct"/>
            <w:vMerge w:val="continue"/>
            <w:noWrap/>
            <w:vAlign w:val="center"/>
          </w:tcPr>
          <w:p w14:paraId="606A917A">
            <w:pPr>
              <w:spacing w:before="120"/>
              <w:contextualSpacing/>
              <w:jc w:val="center"/>
              <w:rPr>
                <w:rFonts w:ascii="仿宋" w:hAnsi="仿宋" w:eastAsia="仿宋"/>
                <w:color w:val="auto"/>
                <w:sz w:val="24"/>
                <w:highlight w:val="none"/>
              </w:rPr>
            </w:pPr>
          </w:p>
        </w:tc>
        <w:tc>
          <w:tcPr>
            <w:tcW w:w="723" w:type="pct"/>
            <w:vAlign w:val="center"/>
          </w:tcPr>
          <w:p w14:paraId="60C3C959">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1-12</w:t>
            </w:r>
          </w:p>
        </w:tc>
        <w:tc>
          <w:tcPr>
            <w:tcW w:w="1964" w:type="pct"/>
            <w:vAlign w:val="center"/>
          </w:tcPr>
          <w:p w14:paraId="42B2C644">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安检专用岗亭</w:t>
            </w:r>
          </w:p>
        </w:tc>
        <w:tc>
          <w:tcPr>
            <w:tcW w:w="516" w:type="pct"/>
            <w:vAlign w:val="center"/>
          </w:tcPr>
          <w:p w14:paraId="61B69FE9">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1</w:t>
            </w:r>
          </w:p>
        </w:tc>
        <w:tc>
          <w:tcPr>
            <w:tcW w:w="506" w:type="pct"/>
            <w:vAlign w:val="center"/>
          </w:tcPr>
          <w:p w14:paraId="028AAA03">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694" w:type="pct"/>
            <w:vAlign w:val="center"/>
          </w:tcPr>
          <w:p w14:paraId="413E1C3F">
            <w:pPr>
              <w:jc w:val="center"/>
              <w:rPr>
                <w:color w:val="auto"/>
                <w:highlight w:val="none"/>
              </w:rPr>
            </w:pPr>
            <w:r>
              <w:rPr>
                <w:rFonts w:hint="eastAsia" w:ascii="仿宋" w:hAnsi="仿宋" w:eastAsia="仿宋" w:cs="宋体"/>
                <w:color w:val="auto"/>
                <w:kern w:val="0"/>
                <w:sz w:val="24"/>
                <w:highlight w:val="none"/>
                <w:lang w:bidi="ar"/>
              </w:rPr>
              <w:t>否</w:t>
            </w:r>
          </w:p>
        </w:tc>
      </w:tr>
      <w:tr w14:paraId="6EF73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8" w:type="pct"/>
            <w:vMerge w:val="continue"/>
            <w:noWrap/>
            <w:vAlign w:val="center"/>
          </w:tcPr>
          <w:p w14:paraId="452050B0">
            <w:pPr>
              <w:spacing w:before="120"/>
              <w:contextualSpacing/>
              <w:jc w:val="center"/>
              <w:rPr>
                <w:rFonts w:ascii="仿宋" w:hAnsi="仿宋" w:eastAsia="仿宋"/>
                <w:color w:val="auto"/>
                <w:sz w:val="24"/>
                <w:highlight w:val="none"/>
              </w:rPr>
            </w:pPr>
          </w:p>
        </w:tc>
        <w:tc>
          <w:tcPr>
            <w:tcW w:w="723" w:type="pct"/>
            <w:vAlign w:val="center"/>
          </w:tcPr>
          <w:p w14:paraId="74E12924">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1-13</w:t>
            </w:r>
          </w:p>
        </w:tc>
        <w:tc>
          <w:tcPr>
            <w:tcW w:w="1964" w:type="pct"/>
            <w:vAlign w:val="center"/>
          </w:tcPr>
          <w:p w14:paraId="7409F732">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安检导流秩序装置</w:t>
            </w:r>
          </w:p>
        </w:tc>
        <w:tc>
          <w:tcPr>
            <w:tcW w:w="516" w:type="pct"/>
            <w:vAlign w:val="center"/>
          </w:tcPr>
          <w:p w14:paraId="2CF57C7E">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15</w:t>
            </w:r>
          </w:p>
        </w:tc>
        <w:tc>
          <w:tcPr>
            <w:tcW w:w="506" w:type="pct"/>
            <w:vAlign w:val="center"/>
          </w:tcPr>
          <w:p w14:paraId="19AF056E">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个</w:t>
            </w:r>
          </w:p>
        </w:tc>
        <w:tc>
          <w:tcPr>
            <w:tcW w:w="694" w:type="pct"/>
            <w:vAlign w:val="center"/>
          </w:tcPr>
          <w:p w14:paraId="3C189DE8">
            <w:pPr>
              <w:jc w:val="center"/>
              <w:rPr>
                <w:color w:val="auto"/>
                <w:highlight w:val="none"/>
              </w:rPr>
            </w:pPr>
            <w:r>
              <w:rPr>
                <w:rFonts w:hint="eastAsia" w:ascii="仿宋" w:hAnsi="仿宋" w:eastAsia="仿宋" w:cs="宋体"/>
                <w:color w:val="auto"/>
                <w:kern w:val="0"/>
                <w:sz w:val="24"/>
                <w:highlight w:val="none"/>
                <w:lang w:bidi="ar"/>
              </w:rPr>
              <w:t>否</w:t>
            </w:r>
          </w:p>
        </w:tc>
      </w:tr>
      <w:tr w14:paraId="54D7A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8" w:type="pct"/>
            <w:vMerge w:val="continue"/>
            <w:noWrap/>
            <w:vAlign w:val="center"/>
          </w:tcPr>
          <w:p w14:paraId="0C6CBC75">
            <w:pPr>
              <w:spacing w:before="120"/>
              <w:contextualSpacing/>
              <w:jc w:val="center"/>
              <w:rPr>
                <w:rFonts w:ascii="仿宋" w:hAnsi="仿宋" w:eastAsia="仿宋"/>
                <w:color w:val="auto"/>
                <w:sz w:val="24"/>
                <w:highlight w:val="none"/>
              </w:rPr>
            </w:pPr>
          </w:p>
        </w:tc>
        <w:tc>
          <w:tcPr>
            <w:tcW w:w="723" w:type="pct"/>
            <w:vAlign w:val="center"/>
          </w:tcPr>
          <w:p w14:paraId="479B6623">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1-14</w:t>
            </w:r>
          </w:p>
        </w:tc>
        <w:tc>
          <w:tcPr>
            <w:tcW w:w="1964" w:type="pct"/>
            <w:vAlign w:val="center"/>
          </w:tcPr>
          <w:p w14:paraId="6B7287AF">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人员速通门（左）</w:t>
            </w:r>
          </w:p>
        </w:tc>
        <w:tc>
          <w:tcPr>
            <w:tcW w:w="516" w:type="pct"/>
            <w:vAlign w:val="center"/>
          </w:tcPr>
          <w:p w14:paraId="4A3FD6F4">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2</w:t>
            </w:r>
          </w:p>
        </w:tc>
        <w:tc>
          <w:tcPr>
            <w:tcW w:w="506" w:type="pct"/>
            <w:vAlign w:val="center"/>
          </w:tcPr>
          <w:p w14:paraId="204E6FBA">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694" w:type="pct"/>
            <w:vAlign w:val="center"/>
          </w:tcPr>
          <w:p w14:paraId="2006FB4E">
            <w:pPr>
              <w:jc w:val="center"/>
              <w:rPr>
                <w:color w:val="auto"/>
                <w:highlight w:val="none"/>
              </w:rPr>
            </w:pPr>
            <w:r>
              <w:rPr>
                <w:rFonts w:hint="eastAsia" w:ascii="仿宋" w:hAnsi="仿宋" w:eastAsia="仿宋" w:cs="宋体"/>
                <w:color w:val="auto"/>
                <w:kern w:val="0"/>
                <w:sz w:val="24"/>
                <w:highlight w:val="none"/>
                <w:lang w:bidi="ar"/>
              </w:rPr>
              <w:t>否</w:t>
            </w:r>
          </w:p>
        </w:tc>
      </w:tr>
      <w:tr w14:paraId="3EAB9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8" w:type="pct"/>
            <w:vMerge w:val="continue"/>
            <w:noWrap/>
            <w:vAlign w:val="center"/>
          </w:tcPr>
          <w:p w14:paraId="61E6B7DD">
            <w:pPr>
              <w:spacing w:before="120"/>
              <w:contextualSpacing/>
              <w:jc w:val="center"/>
              <w:rPr>
                <w:rFonts w:ascii="仿宋" w:hAnsi="仿宋" w:eastAsia="仿宋"/>
                <w:color w:val="auto"/>
                <w:sz w:val="24"/>
                <w:highlight w:val="none"/>
              </w:rPr>
            </w:pPr>
          </w:p>
        </w:tc>
        <w:tc>
          <w:tcPr>
            <w:tcW w:w="723" w:type="pct"/>
            <w:vAlign w:val="center"/>
          </w:tcPr>
          <w:p w14:paraId="712E5F5C">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1-15</w:t>
            </w:r>
          </w:p>
        </w:tc>
        <w:tc>
          <w:tcPr>
            <w:tcW w:w="1964" w:type="pct"/>
            <w:vAlign w:val="center"/>
          </w:tcPr>
          <w:p w14:paraId="3B54193C">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人员速通门（中）</w:t>
            </w:r>
          </w:p>
        </w:tc>
        <w:tc>
          <w:tcPr>
            <w:tcW w:w="516" w:type="pct"/>
            <w:vAlign w:val="center"/>
          </w:tcPr>
          <w:p w14:paraId="48FE0376">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2</w:t>
            </w:r>
          </w:p>
        </w:tc>
        <w:tc>
          <w:tcPr>
            <w:tcW w:w="506" w:type="pct"/>
            <w:vAlign w:val="center"/>
          </w:tcPr>
          <w:p w14:paraId="15380C85">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694" w:type="pct"/>
            <w:vAlign w:val="center"/>
          </w:tcPr>
          <w:p w14:paraId="3153F7CB">
            <w:pPr>
              <w:jc w:val="center"/>
              <w:rPr>
                <w:color w:val="auto"/>
                <w:highlight w:val="none"/>
              </w:rPr>
            </w:pPr>
            <w:r>
              <w:rPr>
                <w:rFonts w:hint="eastAsia" w:ascii="仿宋" w:hAnsi="仿宋" w:eastAsia="仿宋" w:cs="宋体"/>
                <w:color w:val="auto"/>
                <w:kern w:val="0"/>
                <w:sz w:val="24"/>
                <w:highlight w:val="none"/>
                <w:lang w:bidi="ar"/>
              </w:rPr>
              <w:t>否</w:t>
            </w:r>
          </w:p>
        </w:tc>
      </w:tr>
      <w:tr w14:paraId="5641F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8" w:type="pct"/>
            <w:vMerge w:val="continue"/>
            <w:noWrap/>
            <w:vAlign w:val="center"/>
          </w:tcPr>
          <w:p w14:paraId="560616C4">
            <w:pPr>
              <w:spacing w:before="120"/>
              <w:contextualSpacing/>
              <w:jc w:val="center"/>
              <w:rPr>
                <w:rFonts w:ascii="仿宋" w:hAnsi="仿宋" w:eastAsia="仿宋"/>
                <w:color w:val="auto"/>
                <w:sz w:val="24"/>
                <w:highlight w:val="none"/>
              </w:rPr>
            </w:pPr>
          </w:p>
        </w:tc>
        <w:tc>
          <w:tcPr>
            <w:tcW w:w="723" w:type="pct"/>
            <w:vAlign w:val="center"/>
          </w:tcPr>
          <w:p w14:paraId="51BE7080">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1-16</w:t>
            </w:r>
          </w:p>
        </w:tc>
        <w:tc>
          <w:tcPr>
            <w:tcW w:w="1964" w:type="pct"/>
            <w:vAlign w:val="center"/>
          </w:tcPr>
          <w:p w14:paraId="643D0A54">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人员速通门（右）</w:t>
            </w:r>
          </w:p>
        </w:tc>
        <w:tc>
          <w:tcPr>
            <w:tcW w:w="516" w:type="pct"/>
            <w:vAlign w:val="center"/>
          </w:tcPr>
          <w:p w14:paraId="6505BED3">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2</w:t>
            </w:r>
          </w:p>
        </w:tc>
        <w:tc>
          <w:tcPr>
            <w:tcW w:w="506" w:type="pct"/>
            <w:vAlign w:val="center"/>
          </w:tcPr>
          <w:p w14:paraId="19FF62DA">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694" w:type="pct"/>
            <w:vAlign w:val="center"/>
          </w:tcPr>
          <w:p w14:paraId="655B5DAE">
            <w:pPr>
              <w:jc w:val="center"/>
              <w:rPr>
                <w:color w:val="auto"/>
                <w:highlight w:val="none"/>
              </w:rPr>
            </w:pPr>
            <w:r>
              <w:rPr>
                <w:rFonts w:hint="eastAsia" w:ascii="仿宋" w:hAnsi="仿宋" w:eastAsia="仿宋" w:cs="宋体"/>
                <w:color w:val="auto"/>
                <w:kern w:val="0"/>
                <w:sz w:val="24"/>
                <w:highlight w:val="none"/>
                <w:lang w:bidi="ar"/>
              </w:rPr>
              <w:t>否</w:t>
            </w:r>
          </w:p>
        </w:tc>
      </w:tr>
      <w:tr w14:paraId="308EE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8" w:type="pct"/>
            <w:vMerge w:val="continue"/>
            <w:noWrap/>
            <w:vAlign w:val="center"/>
          </w:tcPr>
          <w:p w14:paraId="44B98898">
            <w:pPr>
              <w:spacing w:before="120"/>
              <w:contextualSpacing/>
              <w:jc w:val="center"/>
              <w:rPr>
                <w:rFonts w:ascii="仿宋" w:hAnsi="仿宋" w:eastAsia="仿宋"/>
                <w:color w:val="auto"/>
                <w:sz w:val="24"/>
                <w:highlight w:val="none"/>
              </w:rPr>
            </w:pPr>
          </w:p>
        </w:tc>
        <w:tc>
          <w:tcPr>
            <w:tcW w:w="723" w:type="pct"/>
            <w:vAlign w:val="center"/>
          </w:tcPr>
          <w:p w14:paraId="6879968C">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1-17</w:t>
            </w:r>
          </w:p>
        </w:tc>
        <w:tc>
          <w:tcPr>
            <w:tcW w:w="1964" w:type="pct"/>
            <w:vAlign w:val="center"/>
          </w:tcPr>
          <w:p w14:paraId="20BF97A0">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多功能录入仪</w:t>
            </w:r>
          </w:p>
        </w:tc>
        <w:tc>
          <w:tcPr>
            <w:tcW w:w="516" w:type="pct"/>
            <w:vAlign w:val="center"/>
          </w:tcPr>
          <w:p w14:paraId="64E25C05">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2</w:t>
            </w:r>
          </w:p>
        </w:tc>
        <w:tc>
          <w:tcPr>
            <w:tcW w:w="506" w:type="pct"/>
            <w:vAlign w:val="center"/>
          </w:tcPr>
          <w:p w14:paraId="7259D123">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694" w:type="pct"/>
            <w:vAlign w:val="center"/>
          </w:tcPr>
          <w:p w14:paraId="4F4C9126">
            <w:pPr>
              <w:jc w:val="center"/>
              <w:rPr>
                <w:color w:val="auto"/>
                <w:highlight w:val="none"/>
              </w:rPr>
            </w:pPr>
            <w:r>
              <w:rPr>
                <w:rFonts w:hint="eastAsia" w:ascii="仿宋" w:hAnsi="仿宋" w:eastAsia="仿宋" w:cs="宋体"/>
                <w:color w:val="auto"/>
                <w:kern w:val="0"/>
                <w:sz w:val="24"/>
                <w:highlight w:val="none"/>
                <w:lang w:bidi="ar"/>
              </w:rPr>
              <w:t>否</w:t>
            </w:r>
          </w:p>
        </w:tc>
      </w:tr>
      <w:tr w14:paraId="305E7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8" w:type="pct"/>
            <w:vMerge w:val="continue"/>
            <w:noWrap/>
            <w:vAlign w:val="center"/>
          </w:tcPr>
          <w:p w14:paraId="6C3D7BFE">
            <w:pPr>
              <w:spacing w:before="120"/>
              <w:contextualSpacing/>
              <w:jc w:val="center"/>
              <w:rPr>
                <w:rFonts w:ascii="仿宋" w:hAnsi="仿宋" w:eastAsia="仿宋"/>
                <w:color w:val="auto"/>
                <w:sz w:val="24"/>
                <w:highlight w:val="none"/>
              </w:rPr>
            </w:pPr>
          </w:p>
        </w:tc>
        <w:tc>
          <w:tcPr>
            <w:tcW w:w="723" w:type="pct"/>
            <w:vAlign w:val="center"/>
          </w:tcPr>
          <w:p w14:paraId="1B892CA1">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1-18</w:t>
            </w:r>
          </w:p>
        </w:tc>
        <w:tc>
          <w:tcPr>
            <w:tcW w:w="1964" w:type="pct"/>
            <w:vAlign w:val="center"/>
          </w:tcPr>
          <w:p w14:paraId="310B456C">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导流秩序装置</w:t>
            </w:r>
          </w:p>
        </w:tc>
        <w:tc>
          <w:tcPr>
            <w:tcW w:w="516" w:type="pct"/>
            <w:vAlign w:val="center"/>
          </w:tcPr>
          <w:p w14:paraId="42922C1D">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2</w:t>
            </w:r>
          </w:p>
        </w:tc>
        <w:tc>
          <w:tcPr>
            <w:tcW w:w="506" w:type="pct"/>
            <w:vAlign w:val="center"/>
          </w:tcPr>
          <w:p w14:paraId="607F7B5B">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个</w:t>
            </w:r>
          </w:p>
        </w:tc>
        <w:tc>
          <w:tcPr>
            <w:tcW w:w="694" w:type="pct"/>
            <w:vAlign w:val="center"/>
          </w:tcPr>
          <w:p w14:paraId="26974232">
            <w:pPr>
              <w:jc w:val="center"/>
              <w:rPr>
                <w:color w:val="auto"/>
                <w:highlight w:val="none"/>
              </w:rPr>
            </w:pPr>
            <w:r>
              <w:rPr>
                <w:rFonts w:hint="eastAsia" w:ascii="仿宋" w:hAnsi="仿宋" w:eastAsia="仿宋" w:cs="宋体"/>
                <w:color w:val="auto"/>
                <w:kern w:val="0"/>
                <w:sz w:val="24"/>
                <w:highlight w:val="none"/>
                <w:lang w:bidi="ar"/>
              </w:rPr>
              <w:t>否</w:t>
            </w:r>
          </w:p>
        </w:tc>
      </w:tr>
      <w:tr w14:paraId="5F58B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8" w:type="pct"/>
            <w:vMerge w:val="continue"/>
            <w:noWrap/>
            <w:vAlign w:val="center"/>
          </w:tcPr>
          <w:p w14:paraId="0214AD0D">
            <w:pPr>
              <w:spacing w:before="120"/>
              <w:contextualSpacing/>
              <w:jc w:val="center"/>
              <w:rPr>
                <w:rFonts w:ascii="仿宋" w:hAnsi="仿宋" w:eastAsia="仿宋"/>
                <w:color w:val="auto"/>
                <w:sz w:val="24"/>
                <w:highlight w:val="none"/>
              </w:rPr>
            </w:pPr>
          </w:p>
        </w:tc>
        <w:tc>
          <w:tcPr>
            <w:tcW w:w="723" w:type="pct"/>
            <w:vAlign w:val="center"/>
          </w:tcPr>
          <w:p w14:paraId="2A3A83D1">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1-19</w:t>
            </w:r>
          </w:p>
        </w:tc>
        <w:tc>
          <w:tcPr>
            <w:tcW w:w="1964" w:type="pct"/>
            <w:vAlign w:val="center"/>
          </w:tcPr>
          <w:p w14:paraId="0412B683">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速通门管理终端</w:t>
            </w:r>
          </w:p>
        </w:tc>
        <w:tc>
          <w:tcPr>
            <w:tcW w:w="516" w:type="pct"/>
            <w:vAlign w:val="center"/>
          </w:tcPr>
          <w:p w14:paraId="20C3F14C">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1</w:t>
            </w:r>
          </w:p>
        </w:tc>
        <w:tc>
          <w:tcPr>
            <w:tcW w:w="506" w:type="pct"/>
            <w:vAlign w:val="center"/>
          </w:tcPr>
          <w:p w14:paraId="6B04F7C0">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694" w:type="pct"/>
            <w:vAlign w:val="center"/>
          </w:tcPr>
          <w:p w14:paraId="371E17CC">
            <w:pPr>
              <w:jc w:val="center"/>
              <w:rPr>
                <w:color w:val="auto"/>
                <w:highlight w:val="none"/>
              </w:rPr>
            </w:pPr>
            <w:r>
              <w:rPr>
                <w:rFonts w:hint="eastAsia" w:ascii="仿宋" w:hAnsi="仿宋" w:eastAsia="仿宋" w:cs="宋体"/>
                <w:color w:val="auto"/>
                <w:kern w:val="0"/>
                <w:sz w:val="24"/>
                <w:highlight w:val="none"/>
                <w:lang w:bidi="ar"/>
              </w:rPr>
              <w:t>否</w:t>
            </w:r>
          </w:p>
        </w:tc>
      </w:tr>
    </w:tbl>
    <w:p w14:paraId="6126900B">
      <w:pPr>
        <w:tabs>
          <w:tab w:val="left" w:pos="4600"/>
        </w:tabs>
        <w:snapToGrid w:val="0"/>
        <w:spacing w:line="360" w:lineRule="auto"/>
        <w:ind w:firstLine="480" w:firstLineChars="200"/>
        <w:rPr>
          <w:rFonts w:ascii="仿宋" w:hAnsi="仿宋" w:eastAsia="仿宋" w:cs="仿宋"/>
          <w:bCs/>
          <w:color w:val="auto"/>
          <w:sz w:val="24"/>
          <w:highlight w:val="none"/>
        </w:rPr>
      </w:pPr>
    </w:p>
    <w:p w14:paraId="0DC2DBCF">
      <w:pPr>
        <w:tabs>
          <w:tab w:val="left" w:pos="4600"/>
        </w:tabs>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（二）项目背景/项目概述（如有）</w:t>
      </w:r>
    </w:p>
    <w:p w14:paraId="2A605C5D">
      <w:pPr>
        <w:spacing w:line="360" w:lineRule="auto"/>
        <w:ind w:firstLine="480" w:firstLineChars="200"/>
        <w:contextualSpacing/>
        <w:rPr>
          <w:color w:val="auto"/>
          <w:highlight w:val="none"/>
        </w:rPr>
      </w:pPr>
      <w:r>
        <w:rPr>
          <w:rFonts w:hint="eastAsia" w:ascii="仿宋" w:hAnsi="仿宋" w:eastAsia="仿宋" w:cs="仿宋"/>
          <w:bCs/>
          <w:color w:val="auto"/>
          <w:sz w:val="24"/>
          <w:highlight w:val="none"/>
        </w:rPr>
        <w:t>首都医科大学附属首都儿童医学中心通州院区作为北京城市副中心建设高标准的儿童医疗服务体系机构，定于2027年6月1日正式开诊营业。为保障医院公共秩序与生命财产安全，依据《关于推进医院安全秩序管理工作的指导意见》（国卫医发〔2021〕28 号）、《北京市医院安全秩序管理规定》、《关于修订市属医院安防系统建设指南&gt;意见的通知》京医管运行[2023]等相关指导意见和管理规定的要求，医院须在主要出入口全面布设智能安检系统，通过规范配置金属探测门、X光安检机等专业安检设备，实现对刀具及各类违禁危险物品的快速精准筛查，从源头排查院区安全隐患、阻断危险物品流入。该系统可对各类潜在安全威胁形成有效的物理拦截，依托常态化安检的威慑效应重塑就医环境的心理秩序，有效化解医患双方的安全顾虑，营造安稳、有序的诊疗环境，让医护人员与患者能够全身心投入诊疗工作与就医过程，保障医疗服务平稳有序开展。</w:t>
      </w:r>
    </w:p>
    <w:p w14:paraId="522D3851">
      <w:pPr>
        <w:tabs>
          <w:tab w:val="left" w:pos="5456"/>
        </w:tabs>
        <w:spacing w:line="360" w:lineRule="auto"/>
        <w:ind w:firstLine="482" w:firstLineChars="200"/>
        <w:contextualSpacing/>
        <w:rPr>
          <w:rFonts w:ascii="仿宋" w:hAnsi="仿宋" w:eastAsia="仿宋" w:cs="仿宋"/>
          <w:b/>
          <w:bCs/>
          <w:color w:val="auto"/>
          <w:sz w:val="24"/>
          <w:highlight w:val="none"/>
        </w:rPr>
      </w:pPr>
      <w:r>
        <w:rPr>
          <w:rFonts w:hint="eastAsia" w:ascii="仿宋" w:hAnsi="仿宋" w:eastAsia="仿宋" w:cs="仿宋"/>
          <w:b/>
          <w:bCs/>
          <w:color w:val="auto"/>
          <w:sz w:val="24"/>
          <w:highlight w:val="none"/>
        </w:rPr>
        <w:t>二、商务要求</w:t>
      </w:r>
      <w:r>
        <w:rPr>
          <w:rFonts w:ascii="仿宋" w:hAnsi="仿宋" w:eastAsia="仿宋" w:cs="仿宋"/>
          <w:b/>
          <w:bCs/>
          <w:color w:val="auto"/>
          <w:sz w:val="24"/>
          <w:highlight w:val="none"/>
        </w:rPr>
        <w:tab/>
      </w:r>
    </w:p>
    <w:p w14:paraId="6F585C46">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（一）交付（实施）的时间（期限）和地点（范围）</w:t>
      </w:r>
    </w:p>
    <w:p w14:paraId="7000664A">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1、交付时间：</w:t>
      </w:r>
    </w:p>
    <w:p w14:paraId="1C8500D0">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第1包：自合同签订生效之日起60个日历日内完成供货安装调试。</w:t>
      </w:r>
    </w:p>
    <w:p w14:paraId="43917E92">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2、交付地点：首都医科大学附属首都儿童医学中心新址，采购人指定地点。</w:t>
      </w:r>
    </w:p>
    <w:p w14:paraId="179805B7">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（二）付款条件（进度和方式）</w:t>
      </w:r>
    </w:p>
    <w:p w14:paraId="67AD3C11">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详见第六章拟签订的合同文本。</w:t>
      </w:r>
    </w:p>
    <w:p w14:paraId="36EDFF69">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（三）包装和运输</w:t>
      </w:r>
    </w:p>
    <w:p w14:paraId="5AA0C89C">
      <w:pPr>
        <w:spacing w:line="360" w:lineRule="auto"/>
        <w:ind w:firstLine="482" w:firstLineChars="200"/>
        <w:contextualSpacing/>
        <w:rPr>
          <w:rFonts w:ascii="仿宋" w:hAnsi="仿宋" w:eastAsia="仿宋" w:cs="仿宋"/>
          <w:b/>
          <w:bCs/>
          <w:color w:val="auto"/>
          <w:sz w:val="24"/>
          <w:highlight w:val="none"/>
        </w:rPr>
      </w:pPr>
      <w:r>
        <w:rPr>
          <w:rFonts w:hint="eastAsia" w:ascii="仿宋" w:hAnsi="仿宋" w:eastAsia="仿宋" w:cs="仿宋"/>
          <w:b/>
          <w:bCs/>
          <w:color w:val="auto"/>
          <w:sz w:val="24"/>
          <w:highlight w:val="none"/>
        </w:rPr>
        <w:t>如适用，须满足《关于印发〈商品包装政府采购需求标准（试行）〉、〈快递包装政府采购需求标准（试行）〉的通知》（财办库﹝2020﹞123号）。</w:t>
      </w:r>
    </w:p>
    <w:p w14:paraId="287B30FA">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投标人负责包装和运输。投标人交付的产品应符合相关包装储运的国家标准，能承受水平受力、垂直受力、适合长途运输，防潮、防湿、防震、防锈、耐粗暴搬运。由于采用不充分或不妥善的防护措施而造成的任何锈损，投标人应负担由此而产生的一切费用和/或损失。投标人应在每件包装上，用不褪色油墨清楚地标刷件号、目的地、尺码、毛重、净重、“此端向上”，“小心轻放”，“切勿受潮”等字样。</w:t>
      </w:r>
    </w:p>
    <w:p w14:paraId="0C566E9A">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（四）售后服务（质保期）</w:t>
      </w:r>
    </w:p>
    <w:p w14:paraId="1B2ACB6F">
      <w:pPr>
        <w:pStyle w:val="2"/>
        <w:spacing w:line="360" w:lineRule="auto"/>
        <w:contextualSpacing/>
        <w:rPr>
          <w:rFonts w:ascii="仿宋" w:hAnsi="仿宋" w:eastAsia="仿宋" w:cs="仿宋"/>
          <w:b/>
          <w:bCs/>
          <w:color w:val="auto"/>
          <w:highlight w:val="none"/>
        </w:rPr>
      </w:pPr>
      <w:r>
        <w:rPr>
          <w:rFonts w:hint="eastAsia" w:ascii="仿宋" w:hAnsi="仿宋" w:eastAsia="仿宋" w:cs="仿宋"/>
          <w:b/>
          <w:bCs/>
          <w:color w:val="auto"/>
          <w:highlight w:val="none"/>
        </w:rPr>
        <w:t>第1包：</w:t>
      </w:r>
    </w:p>
    <w:p w14:paraId="62A2FC7C">
      <w:pPr>
        <w:pStyle w:val="2"/>
        <w:numPr>
          <w:ilvl w:val="255"/>
          <w:numId w:val="0"/>
        </w:numPr>
        <w:spacing w:line="360" w:lineRule="auto"/>
        <w:ind w:firstLine="480" w:firstLineChars="200"/>
        <w:contextualSpacing/>
        <w:rPr>
          <w:rFonts w:ascii="仿宋" w:hAnsi="仿宋" w:eastAsia="仿宋" w:cs="仿宋"/>
          <w:bCs/>
          <w:color w:val="auto"/>
          <w:highlight w:val="none"/>
        </w:rPr>
      </w:pPr>
      <w:r>
        <w:rPr>
          <w:rFonts w:hint="eastAsia" w:ascii="仿宋" w:hAnsi="仿宋" w:eastAsia="仿宋" w:cs="仿宋"/>
          <w:bCs/>
          <w:color w:val="auto"/>
          <w:highlight w:val="none"/>
        </w:rPr>
        <w:t>1、所有投标产品须提供不少于3年（含）的免费质保期（自最终验收合格之日起计算）。</w:t>
      </w:r>
    </w:p>
    <w:p w14:paraId="715039D3">
      <w:pPr>
        <w:pStyle w:val="2"/>
        <w:numPr>
          <w:ilvl w:val="255"/>
          <w:numId w:val="0"/>
        </w:numPr>
        <w:spacing w:line="360" w:lineRule="auto"/>
        <w:ind w:firstLine="480" w:firstLineChars="200"/>
        <w:contextualSpacing/>
        <w:rPr>
          <w:rFonts w:ascii="仿宋" w:hAnsi="仿宋" w:eastAsia="仿宋" w:cs="仿宋"/>
          <w:bCs/>
          <w:color w:val="auto"/>
          <w:highlight w:val="none"/>
        </w:rPr>
      </w:pPr>
      <w:r>
        <w:rPr>
          <w:rFonts w:hint="eastAsia" w:ascii="仿宋" w:hAnsi="仿宋" w:eastAsia="仿宋" w:cs="仿宋"/>
          <w:bCs/>
          <w:color w:val="auto"/>
          <w:highlight w:val="none"/>
        </w:rPr>
        <w:t>2、投标人应具备完善的售后服务体系，有固定的维护中心且维护人员并有能力及时处理所有可能发生的故障。</w:t>
      </w:r>
    </w:p>
    <w:p w14:paraId="145D7697">
      <w:pPr>
        <w:pStyle w:val="2"/>
        <w:spacing w:line="360" w:lineRule="auto"/>
        <w:contextualSpacing/>
        <w:rPr>
          <w:rFonts w:ascii="仿宋" w:hAnsi="仿宋" w:eastAsia="仿宋" w:cs="仿宋"/>
          <w:bCs/>
          <w:color w:val="auto"/>
          <w:highlight w:val="none"/>
        </w:rPr>
      </w:pPr>
      <w:r>
        <w:rPr>
          <w:rFonts w:hint="eastAsia" w:ascii="仿宋" w:hAnsi="仿宋" w:eastAsia="仿宋" w:cs="仿宋"/>
          <w:bCs/>
          <w:color w:val="auto"/>
          <w:highlight w:val="none"/>
        </w:rPr>
        <w:t>（1）投标人须提供7×8小时电话技术支持服务，并指定专人负责本项目的售后联络，提供联系人和联系方式。</w:t>
      </w:r>
    </w:p>
    <w:p w14:paraId="613F0A81">
      <w:pPr>
        <w:pStyle w:val="2"/>
        <w:spacing w:line="360" w:lineRule="auto"/>
        <w:contextualSpacing/>
        <w:rPr>
          <w:rFonts w:ascii="仿宋" w:hAnsi="仿宋" w:eastAsia="仿宋" w:cs="仿宋"/>
          <w:bCs/>
          <w:color w:val="auto"/>
          <w:highlight w:val="none"/>
        </w:rPr>
      </w:pPr>
      <w:r>
        <w:rPr>
          <w:rFonts w:hint="eastAsia" w:ascii="仿宋" w:hAnsi="仿宋" w:eastAsia="仿宋" w:cs="仿宋"/>
          <w:bCs/>
          <w:color w:val="auto"/>
          <w:highlight w:val="none"/>
        </w:rPr>
        <w:t>（2）故障响应时间：接到采购人报修通知后，1小时内响应，24小时内派技术人员到达现场，并维修成功以恢复设备正常使用。</w:t>
      </w:r>
    </w:p>
    <w:p w14:paraId="3E9D07CA">
      <w:pPr>
        <w:pStyle w:val="2"/>
        <w:spacing w:line="360" w:lineRule="auto"/>
        <w:contextualSpacing/>
        <w:rPr>
          <w:rFonts w:ascii="仿宋" w:hAnsi="仿宋" w:eastAsia="仿宋" w:cs="仿宋"/>
          <w:bCs/>
          <w:color w:val="auto"/>
          <w:highlight w:val="none"/>
        </w:rPr>
      </w:pPr>
      <w:r>
        <w:rPr>
          <w:rFonts w:hint="eastAsia" w:ascii="仿宋" w:hAnsi="仿宋" w:eastAsia="仿宋" w:cs="仿宋"/>
          <w:bCs/>
          <w:color w:val="auto"/>
          <w:highlight w:val="none"/>
        </w:rPr>
        <w:t>若投标人24小时仍未修复设备至正常使用，投标人应提供同等或更高规格的备用机供采购人使用至设备恢复正常使用为止。如设备在1个月内无法修复，投标人负责更换全新同型号或性能更优型号的设备。</w:t>
      </w:r>
    </w:p>
    <w:p w14:paraId="15872FC9">
      <w:pPr>
        <w:pStyle w:val="2"/>
        <w:spacing w:line="360" w:lineRule="auto"/>
        <w:contextualSpacing/>
        <w:rPr>
          <w:rFonts w:ascii="仿宋" w:hAnsi="仿宋" w:eastAsia="仿宋" w:cs="仿宋"/>
          <w:bCs/>
          <w:color w:val="auto"/>
          <w:highlight w:val="none"/>
        </w:rPr>
      </w:pPr>
      <w:r>
        <w:rPr>
          <w:rFonts w:hint="eastAsia" w:ascii="仿宋" w:hAnsi="仿宋" w:eastAsia="仿宋" w:cs="仿宋"/>
          <w:bCs/>
          <w:color w:val="auto"/>
          <w:highlight w:val="none"/>
        </w:rPr>
        <w:t>（3）故障解决时限：</w:t>
      </w:r>
    </w:p>
    <w:p w14:paraId="329F9221">
      <w:pPr>
        <w:pStyle w:val="2"/>
        <w:spacing w:line="360" w:lineRule="auto"/>
        <w:contextualSpacing/>
        <w:rPr>
          <w:rFonts w:ascii="仿宋" w:hAnsi="仿宋" w:eastAsia="仿宋" w:cs="仿宋"/>
          <w:bCs/>
          <w:color w:val="auto"/>
          <w:highlight w:val="none"/>
        </w:rPr>
      </w:pPr>
      <w:r>
        <w:rPr>
          <w:rFonts w:hint="eastAsia" w:ascii="仿宋" w:hAnsi="仿宋" w:eastAsia="仿宋" w:cs="仿宋"/>
          <w:bCs/>
          <w:color w:val="auto"/>
          <w:highlight w:val="none"/>
        </w:rPr>
        <w:t>1）一般故障应在24小时内修复。</w:t>
      </w:r>
    </w:p>
    <w:p w14:paraId="01E5140D">
      <w:pPr>
        <w:pStyle w:val="2"/>
        <w:spacing w:line="360" w:lineRule="auto"/>
        <w:contextualSpacing/>
        <w:rPr>
          <w:rFonts w:ascii="仿宋" w:hAnsi="仿宋" w:eastAsia="仿宋" w:cs="仿宋"/>
          <w:bCs/>
          <w:color w:val="auto"/>
          <w:highlight w:val="none"/>
        </w:rPr>
      </w:pPr>
      <w:r>
        <w:rPr>
          <w:rFonts w:hint="eastAsia" w:ascii="仿宋" w:hAnsi="仿宋" w:eastAsia="仿宋" w:cs="仿宋"/>
          <w:bCs/>
          <w:color w:val="auto"/>
          <w:highlight w:val="none"/>
        </w:rPr>
        <w:t>2）重大故障（影响设备主要功能或涉及安全）应在4小时内解决。</w:t>
      </w:r>
    </w:p>
    <w:p w14:paraId="7E668E76">
      <w:pPr>
        <w:pStyle w:val="2"/>
        <w:spacing w:line="360" w:lineRule="auto"/>
        <w:contextualSpacing/>
        <w:rPr>
          <w:rFonts w:ascii="仿宋" w:hAnsi="仿宋" w:eastAsia="仿宋" w:cs="仿宋"/>
          <w:bCs/>
          <w:color w:val="auto"/>
          <w:highlight w:val="none"/>
        </w:rPr>
      </w:pPr>
      <w:r>
        <w:rPr>
          <w:rFonts w:hint="eastAsia" w:ascii="仿宋" w:hAnsi="仿宋" w:eastAsia="仿宋" w:cs="仿宋"/>
          <w:bCs/>
          <w:color w:val="auto"/>
          <w:highlight w:val="none"/>
        </w:rPr>
        <w:t>3）若无法在规定时限内修复，投标人须提供备用设备或采取其他有效措施，确保采购人正常工作不受影响。</w:t>
      </w:r>
    </w:p>
    <w:p w14:paraId="192228F1">
      <w:pPr>
        <w:pStyle w:val="2"/>
        <w:spacing w:line="360" w:lineRule="auto"/>
        <w:contextualSpacing/>
        <w:rPr>
          <w:rFonts w:ascii="仿宋" w:hAnsi="仿宋" w:eastAsia="仿宋" w:cs="仿宋"/>
          <w:bCs/>
          <w:color w:val="auto"/>
          <w:highlight w:val="none"/>
        </w:rPr>
      </w:pPr>
      <w:r>
        <w:rPr>
          <w:rFonts w:hint="eastAsia" w:ascii="仿宋" w:hAnsi="仿宋" w:eastAsia="仿宋" w:cs="仿宋"/>
          <w:bCs/>
          <w:color w:val="auto"/>
          <w:highlight w:val="none"/>
        </w:rPr>
        <w:t>3、具体的服务方式和要求：</w:t>
      </w:r>
    </w:p>
    <w:p w14:paraId="4FDD075D">
      <w:pPr>
        <w:pStyle w:val="2"/>
        <w:spacing w:line="360" w:lineRule="auto"/>
        <w:contextualSpacing/>
        <w:rPr>
          <w:rFonts w:ascii="仿宋" w:hAnsi="仿宋" w:eastAsia="仿宋" w:cs="仿宋"/>
          <w:bCs/>
          <w:color w:val="auto"/>
          <w:highlight w:val="none"/>
        </w:rPr>
      </w:pPr>
      <w:r>
        <w:rPr>
          <w:rFonts w:hint="eastAsia" w:ascii="仿宋" w:hAnsi="仿宋" w:eastAsia="仿宋" w:cs="仿宋"/>
          <w:bCs/>
          <w:color w:val="auto"/>
          <w:highlight w:val="none"/>
        </w:rPr>
        <w:t>电话支持：投标人提供的电话支持服务且不限次数。应提供服务联系人及联系方式。</w:t>
      </w:r>
    </w:p>
    <w:p w14:paraId="1FE58FD6">
      <w:pPr>
        <w:pStyle w:val="2"/>
        <w:spacing w:line="360" w:lineRule="auto"/>
        <w:contextualSpacing/>
        <w:rPr>
          <w:rFonts w:ascii="仿宋" w:hAnsi="仿宋" w:eastAsia="仿宋" w:cs="仿宋"/>
          <w:bCs/>
          <w:color w:val="auto"/>
          <w:highlight w:val="none"/>
        </w:rPr>
      </w:pPr>
      <w:r>
        <w:rPr>
          <w:rFonts w:hint="eastAsia" w:ascii="仿宋" w:hAnsi="仿宋" w:eastAsia="仿宋" w:cs="仿宋"/>
          <w:bCs/>
          <w:color w:val="auto"/>
          <w:highlight w:val="none"/>
        </w:rPr>
        <w:t>远程支持：投标人提供邮件和远程拨入用户的系统，进行咨询、诊断和修复，且不限次数。应提供邮箱地址。</w:t>
      </w:r>
    </w:p>
    <w:p w14:paraId="40425589">
      <w:pPr>
        <w:pStyle w:val="2"/>
        <w:spacing w:line="360" w:lineRule="auto"/>
        <w:contextualSpacing/>
        <w:rPr>
          <w:rFonts w:ascii="仿宋" w:hAnsi="仿宋" w:eastAsia="仿宋" w:cs="仿宋"/>
          <w:bCs/>
          <w:color w:val="auto"/>
          <w:highlight w:val="none"/>
        </w:rPr>
      </w:pPr>
      <w:r>
        <w:rPr>
          <w:rFonts w:hint="eastAsia" w:ascii="仿宋" w:hAnsi="仿宋" w:eastAsia="仿宋" w:cs="仿宋"/>
          <w:bCs/>
          <w:color w:val="auto"/>
          <w:highlight w:val="none"/>
        </w:rPr>
        <w:t>现场故障处理：如果投标人不能通过电话服务或远程支持方式解决</w:t>
      </w:r>
      <w:bookmarkStart w:id="3" w:name="OLE_LINK15"/>
      <w:bookmarkStart w:id="4" w:name="OLE_LINK14"/>
      <w:r>
        <w:rPr>
          <w:rFonts w:hint="eastAsia" w:ascii="仿宋" w:hAnsi="仿宋" w:eastAsia="仿宋" w:cs="仿宋"/>
          <w:bCs/>
          <w:color w:val="auto"/>
          <w:highlight w:val="none"/>
        </w:rPr>
        <w:t>采购人</w:t>
      </w:r>
      <w:bookmarkEnd w:id="3"/>
      <w:bookmarkEnd w:id="4"/>
      <w:r>
        <w:rPr>
          <w:rFonts w:hint="eastAsia" w:ascii="仿宋" w:hAnsi="仿宋" w:eastAsia="仿宋" w:cs="仿宋"/>
          <w:bCs/>
          <w:color w:val="auto"/>
          <w:highlight w:val="none"/>
        </w:rPr>
        <w:t>问题，投标人到达现场并解决故障。</w:t>
      </w:r>
    </w:p>
    <w:p w14:paraId="38E39A3F">
      <w:pPr>
        <w:pStyle w:val="2"/>
        <w:spacing w:line="360" w:lineRule="auto"/>
        <w:contextualSpacing/>
        <w:rPr>
          <w:rFonts w:ascii="仿宋" w:hAnsi="仿宋" w:eastAsia="仿宋" w:cs="仿宋"/>
          <w:bCs/>
          <w:color w:val="auto"/>
          <w:highlight w:val="none"/>
        </w:rPr>
      </w:pPr>
      <w:r>
        <w:rPr>
          <w:rFonts w:hint="eastAsia" w:ascii="仿宋" w:hAnsi="仿宋" w:eastAsia="仿宋" w:cs="仿宋"/>
          <w:bCs/>
          <w:color w:val="auto"/>
          <w:highlight w:val="none"/>
        </w:rPr>
        <w:t>设备应在24小时内恢复正常，以保障关键业务的不间断运行。若需延长期限的，需在时限到期前向采购人提出书面延期申请，经采购人书面同意方可延期。</w:t>
      </w:r>
    </w:p>
    <w:p w14:paraId="0FA52CFA">
      <w:pPr>
        <w:pStyle w:val="2"/>
        <w:spacing w:line="360" w:lineRule="auto"/>
        <w:contextualSpacing/>
        <w:rPr>
          <w:rFonts w:ascii="仿宋" w:hAnsi="仿宋" w:eastAsia="仿宋" w:cs="仿宋"/>
          <w:bCs/>
          <w:color w:val="auto"/>
          <w:highlight w:val="none"/>
        </w:rPr>
      </w:pPr>
      <w:r>
        <w:rPr>
          <w:rFonts w:hint="eastAsia" w:ascii="仿宋" w:hAnsi="仿宋" w:eastAsia="仿宋" w:cs="仿宋"/>
          <w:bCs/>
          <w:color w:val="auto"/>
          <w:highlight w:val="none"/>
        </w:rPr>
        <w:t>投标人每次巡检、维修、排障等服务后都应当提供服务报告。报告内容包括：设备状态、故障成因、维修细则和故障处理记录等。</w:t>
      </w:r>
    </w:p>
    <w:p w14:paraId="174378F8">
      <w:pPr>
        <w:pStyle w:val="2"/>
        <w:spacing w:line="360" w:lineRule="auto"/>
        <w:contextualSpacing/>
        <w:rPr>
          <w:rFonts w:ascii="仿宋" w:hAnsi="仿宋" w:eastAsia="仿宋" w:cs="仿宋"/>
          <w:bCs/>
          <w:color w:val="auto"/>
          <w:highlight w:val="none"/>
        </w:rPr>
      </w:pPr>
      <w:r>
        <w:rPr>
          <w:rFonts w:hint="eastAsia" w:ascii="仿宋" w:hAnsi="仿宋" w:eastAsia="仿宋" w:cs="仿宋"/>
          <w:bCs/>
          <w:color w:val="auto"/>
          <w:highlight w:val="none"/>
        </w:rPr>
        <w:t>4、质保期内，因产品设计、制造缺陷或材料问题导致的任何故障，投标人应免费维修或更换，并承担由此产生的一切费用（包括但不限于运输费、人工费、上门费、更换零部件费用）。</w:t>
      </w:r>
    </w:p>
    <w:p w14:paraId="07F6FE8F">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5、培训要求</w:t>
      </w:r>
    </w:p>
    <w:p w14:paraId="11E08379">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5.1 投标人须对采购人操作人员进行现场操作培训，内容包括但不限于：设备启动、正常运行操作、紧急停机、安全注意事项、常见故障识别等，确保操作人员能正确、安全地使用设备。</w:t>
      </w:r>
    </w:p>
    <w:p w14:paraId="765E4E83">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5.2 投标人须对维护人员进行日常维护保养培训，内容包括但不限于：清洁、润滑、简单故障排除、易损件更换等。</w:t>
      </w:r>
    </w:p>
    <w:p w14:paraId="3268C584">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5.3 培训完成后，投标人应提供完整的中文版技术资料（下述资料须提供纸质版2套和电子版1套），包括但不限于：</w:t>
      </w:r>
    </w:p>
    <w:p w14:paraId="17A0FFD9">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w:t>
      </w:r>
      <w:r>
        <w:rPr>
          <w:rFonts w:ascii="仿宋" w:hAnsi="仿宋" w:eastAsia="仿宋" w:cs="仿宋"/>
          <w:bCs/>
          <w:color w:val="auto"/>
          <w:sz w:val="24"/>
          <w:highlight w:val="none"/>
        </w:rPr>
        <w:t>1</w:t>
      </w:r>
      <w:r>
        <w:rPr>
          <w:rFonts w:hint="eastAsia" w:ascii="仿宋" w:hAnsi="仿宋" w:eastAsia="仿宋" w:cs="仿宋"/>
          <w:bCs/>
          <w:color w:val="auto"/>
          <w:sz w:val="24"/>
          <w:highlight w:val="none"/>
        </w:rPr>
        <w:t>）操作手册；</w:t>
      </w:r>
    </w:p>
    <w:p w14:paraId="4F57B5CA">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w:t>
      </w:r>
      <w:r>
        <w:rPr>
          <w:rFonts w:ascii="仿宋" w:hAnsi="仿宋" w:eastAsia="仿宋" w:cs="仿宋"/>
          <w:bCs/>
          <w:color w:val="auto"/>
          <w:sz w:val="24"/>
          <w:highlight w:val="none"/>
        </w:rPr>
        <w:t>2</w:t>
      </w:r>
      <w:r>
        <w:rPr>
          <w:rFonts w:hint="eastAsia" w:ascii="仿宋" w:hAnsi="仿宋" w:eastAsia="仿宋" w:cs="仿宋"/>
          <w:bCs/>
          <w:color w:val="auto"/>
          <w:sz w:val="24"/>
          <w:highlight w:val="none"/>
        </w:rPr>
        <w:t>）维护保养手册。</w:t>
      </w:r>
    </w:p>
    <w:p w14:paraId="56FA3082">
      <w:pPr>
        <w:pStyle w:val="2"/>
        <w:spacing w:line="360" w:lineRule="auto"/>
        <w:contextualSpacing/>
        <w:rPr>
          <w:rFonts w:ascii="仿宋" w:hAnsi="仿宋" w:eastAsia="仿宋" w:cs="仿宋"/>
          <w:bCs/>
          <w:color w:val="auto"/>
          <w:highlight w:val="none"/>
        </w:rPr>
      </w:pPr>
      <w:r>
        <w:rPr>
          <w:rFonts w:ascii="仿宋" w:hAnsi="仿宋" w:eastAsia="仿宋" w:cs="仿宋"/>
          <w:bCs/>
          <w:color w:val="auto"/>
          <w:highlight w:val="none"/>
        </w:rPr>
        <w:t>6</w:t>
      </w:r>
      <w:r>
        <w:rPr>
          <w:rFonts w:hint="eastAsia" w:ascii="仿宋" w:hAnsi="仿宋" w:eastAsia="仿宋" w:cs="仿宋"/>
          <w:bCs/>
          <w:color w:val="auto"/>
          <w:highlight w:val="none"/>
        </w:rPr>
        <w:t>、验收前，投标人应将完整的资料（包括但不限于技术文档、相关图纸、设备说明书、操作手册等）提交给采购人存档管理。</w:t>
      </w:r>
    </w:p>
    <w:p w14:paraId="6F264245">
      <w:pPr>
        <w:spacing w:line="360" w:lineRule="auto"/>
        <w:ind w:firstLine="482" w:firstLineChars="200"/>
        <w:contextualSpacing/>
        <w:rPr>
          <w:rFonts w:ascii="仿宋" w:hAnsi="仿宋" w:eastAsia="仿宋" w:cs="仿宋"/>
          <w:b/>
          <w:bCs/>
          <w:color w:val="auto"/>
          <w:sz w:val="24"/>
          <w:highlight w:val="none"/>
        </w:rPr>
      </w:pPr>
      <w:r>
        <w:rPr>
          <w:rFonts w:hint="eastAsia" w:ascii="仿宋" w:hAnsi="仿宋" w:eastAsia="仿宋" w:cs="仿宋"/>
          <w:b/>
          <w:bCs/>
          <w:color w:val="auto"/>
          <w:sz w:val="24"/>
          <w:highlight w:val="none"/>
        </w:rPr>
        <w:t>三、技术要求</w:t>
      </w:r>
    </w:p>
    <w:p w14:paraId="3226CA71">
      <w:pPr>
        <w:spacing w:line="360" w:lineRule="auto"/>
        <w:ind w:firstLine="482" w:firstLineChars="200"/>
        <w:contextualSpacing/>
        <w:rPr>
          <w:rFonts w:ascii="仿宋" w:hAnsi="仿宋" w:eastAsia="仿宋" w:cs="仿宋"/>
          <w:b/>
          <w:bCs/>
          <w:color w:val="auto"/>
          <w:sz w:val="24"/>
          <w:highlight w:val="none"/>
        </w:rPr>
      </w:pPr>
      <w:r>
        <w:rPr>
          <w:rFonts w:hint="eastAsia" w:ascii="仿宋" w:hAnsi="仿宋" w:eastAsia="仿宋" w:cs="仿宋"/>
          <w:b/>
          <w:bCs/>
          <w:color w:val="auto"/>
          <w:sz w:val="24"/>
          <w:highlight w:val="none"/>
        </w:rPr>
        <w:t>（一）基本要求</w:t>
      </w:r>
    </w:p>
    <w:p w14:paraId="479D4392">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1、采购标的需实现的功能或者目标</w:t>
      </w:r>
    </w:p>
    <w:p w14:paraId="637AD98B">
      <w:pPr>
        <w:spacing w:line="360" w:lineRule="auto"/>
        <w:ind w:firstLine="480" w:firstLineChars="200"/>
        <w:contextualSpacing/>
        <w:rPr>
          <w:rFonts w:ascii="仿宋" w:hAnsi="仿宋" w:eastAsia="仿宋" w:cs="仿宋"/>
          <w:bCs/>
          <w:color w:val="auto"/>
          <w:sz w:val="24"/>
          <w:highlight w:val="none"/>
        </w:rPr>
      </w:pPr>
      <w:bookmarkStart w:id="5" w:name="OLE_LINK180"/>
      <w:r>
        <w:rPr>
          <w:rFonts w:hint="eastAsia" w:ascii="仿宋" w:hAnsi="仿宋" w:eastAsia="仿宋" w:cs="仿宋"/>
          <w:bCs/>
          <w:color w:val="auto"/>
          <w:sz w:val="24"/>
          <w:highlight w:val="none"/>
        </w:rPr>
        <w:t>通过在医院通州院区各主要主入口、落客区等重要位置合理设置金属探测门、X光机等智能安检设备，可快速筛查刀具、违禁物品等危险物品；在医院重要人员密集区域设置防爆罐和防爆毯，用于有效处置医院发现的爆炸物品，以满足《北京市医院安全秩序管理规定》的相关要求。</w:t>
      </w:r>
    </w:p>
    <w:p w14:paraId="7E88B40B">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医院须在主要出入口全面布设智能安检系统，通过规范配置金属探测门、X光安检机等专业安检设备，实现对刀具及各类违禁危险物品的快速精准筛查，从源头排查院区安全隐患、阻断危险物品流入。该系统可对各类潜在安全威胁形成有效的物理拦截，依托常态化安检的威慑效应重塑就医环境的心理秩序，有效化解医患双方的安全顾虑，营造安稳、有序的诊疗环境，让医护人员与患者能够全身心投入诊疗工作与就医过程，保障医疗服务平稳有序开展。</w:t>
      </w:r>
    </w:p>
    <w:p w14:paraId="1B0D2A8C">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项目建设总目标依据政策法规及行业规范标准，满足医院开办最基础的安全管理条件下，提升安全隐患事件的预知预判、快速响应和高效处置，降低治安案件、安全事故等事件的发生概率，提升医院的整体安全水平，形成系统、科学、高效、智慧的医院安全防范体系。</w:t>
      </w:r>
    </w:p>
    <w:bookmarkEnd w:id="5"/>
    <w:p w14:paraId="11D5FF3D">
      <w:pPr>
        <w:spacing w:line="360" w:lineRule="auto"/>
        <w:ind w:firstLine="480" w:firstLineChars="200"/>
        <w:rPr>
          <w:rFonts w:ascii="仿宋" w:hAnsi="仿宋" w:eastAsia="仿宋" w:cs="仿宋"/>
          <w:bCs/>
          <w:color w:val="auto"/>
          <w:sz w:val="24"/>
          <w:highlight w:val="none"/>
        </w:rPr>
      </w:pPr>
    </w:p>
    <w:p w14:paraId="4CC705F7">
      <w:pPr>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2、需执行的国家相关标准、行业标准、地方标准或者其他标准、规范</w:t>
      </w:r>
    </w:p>
    <w:p w14:paraId="34739791">
      <w:pPr>
        <w:spacing w:line="360" w:lineRule="auto"/>
        <w:ind w:firstLine="480" w:firstLineChars="200"/>
        <w:rPr>
          <w:rFonts w:ascii="仿宋" w:hAnsi="仿宋" w:eastAsia="仿宋" w:cs="仿宋"/>
          <w:bCs/>
          <w:color w:val="auto"/>
          <w:sz w:val="24"/>
          <w:highlight w:val="none"/>
        </w:rPr>
      </w:pPr>
      <w:bookmarkStart w:id="6" w:name="OLE_LINK106"/>
      <w:r>
        <w:rPr>
          <w:rFonts w:hint="eastAsia" w:ascii="仿宋" w:hAnsi="仿宋" w:eastAsia="仿宋" w:cs="仿宋"/>
          <w:bCs/>
          <w:color w:val="auto"/>
          <w:sz w:val="24"/>
          <w:highlight w:val="none"/>
        </w:rPr>
        <w:t>2.1、所有设备的设计、制造、检验、包装、运输、安装及验收均须需满足国家、北京市及采购人各项最新标准及规范要求。注：以上均按最新标准执行。</w:t>
      </w:r>
    </w:p>
    <w:bookmarkEnd w:id="6"/>
    <w:p w14:paraId="30A8ECBF">
      <w:pPr>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2.2、如采购内容涉及节能产品政府采购品目清单中标注★的政府强制采购产品，需按市场监管总局关于发布参与实施政府采购节能产品、环境标志产品认证机构名录的公告（2019年第16号）等政策要求在投标文件中提供对应产品的证明材料。</w:t>
      </w:r>
    </w:p>
    <w:p w14:paraId="336EAF37">
      <w:pPr>
        <w:pStyle w:val="2"/>
        <w:spacing w:line="360" w:lineRule="auto"/>
        <w:rPr>
          <w:rFonts w:ascii="仿宋" w:hAnsi="仿宋" w:eastAsia="仿宋" w:cs="仿宋"/>
          <w:bCs/>
          <w:color w:val="auto"/>
          <w:highlight w:val="none"/>
        </w:rPr>
      </w:pPr>
      <w:r>
        <w:rPr>
          <w:rFonts w:hint="eastAsia" w:ascii="仿宋" w:hAnsi="仿宋" w:eastAsia="仿宋" w:cs="仿宋"/>
          <w:bCs/>
          <w:color w:val="auto"/>
          <w:highlight w:val="none"/>
        </w:rPr>
        <w:t>2.3、安检设备符合GB15208.1-2018《微剂量X射线安全检查设备第1部分：通用技术要求》和GB15208.2-2018《微剂量X射线安全检查设备第2部分：透射式行包安全检查设备》。</w:t>
      </w:r>
    </w:p>
    <w:p w14:paraId="28AA800D">
      <w:pPr>
        <w:pStyle w:val="2"/>
        <w:spacing w:line="360" w:lineRule="auto"/>
        <w:rPr>
          <w:rFonts w:ascii="仿宋" w:hAnsi="仿宋" w:eastAsia="仿宋" w:cs="仿宋"/>
          <w:bCs/>
          <w:color w:val="auto"/>
          <w:highlight w:val="none"/>
        </w:rPr>
      </w:pPr>
      <w:r>
        <w:rPr>
          <w:rFonts w:hint="eastAsia" w:ascii="仿宋" w:hAnsi="仿宋" w:eastAsia="仿宋" w:cs="仿宋"/>
          <w:bCs/>
          <w:color w:val="auto"/>
          <w:highlight w:val="none"/>
        </w:rPr>
        <w:t>2.4、金属测温安检门符合GB15210-2018《通过式金属探测门通用技术规范》。</w:t>
      </w:r>
    </w:p>
    <w:p w14:paraId="55377E47">
      <w:pPr>
        <w:rPr>
          <w:rFonts w:ascii="仿宋" w:hAnsi="仿宋" w:eastAsia="仿宋"/>
          <w:color w:val="auto"/>
          <w:highlight w:val="none"/>
        </w:rPr>
      </w:pPr>
    </w:p>
    <w:p w14:paraId="02538130">
      <w:pPr>
        <w:pStyle w:val="2"/>
        <w:rPr>
          <w:rFonts w:ascii="仿宋" w:hAnsi="仿宋" w:eastAsia="仿宋"/>
          <w:color w:val="auto"/>
          <w:highlight w:val="none"/>
        </w:rPr>
      </w:pPr>
    </w:p>
    <w:p w14:paraId="77F38A3F">
      <w:pPr>
        <w:snapToGrid w:val="0"/>
        <w:spacing w:line="360" w:lineRule="auto"/>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rPr>
        <w:t>（二）服务内容及要求/货物技术要求</w:t>
      </w:r>
    </w:p>
    <w:p w14:paraId="7FB5BAAE">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1、采购标的需满足的性能、材料、结构、外观、质量、安全、技术规格、物理特性等要求：</w:t>
      </w:r>
    </w:p>
    <w:p w14:paraId="23FD9AD1">
      <w:pPr>
        <w:pStyle w:val="2"/>
        <w:spacing w:line="360" w:lineRule="auto"/>
        <w:contextualSpacing/>
        <w:jc w:val="center"/>
        <w:rPr>
          <w:rFonts w:ascii="仿宋" w:hAnsi="仿宋" w:eastAsia="仿宋" w:cs="仿宋"/>
          <w:b/>
          <w:bCs/>
          <w:color w:val="auto"/>
          <w:highlight w:val="none"/>
        </w:rPr>
      </w:pPr>
      <w:r>
        <w:rPr>
          <w:rFonts w:hint="eastAsia" w:ascii="仿宋" w:hAnsi="仿宋" w:eastAsia="仿宋" w:cs="仿宋"/>
          <w:b/>
          <w:bCs/>
          <w:color w:val="auto"/>
          <w:highlight w:val="none"/>
        </w:rPr>
        <w:t xml:space="preserve">第1包 </w:t>
      </w:r>
      <w:bookmarkStart w:id="7" w:name="OLE_LINK2"/>
      <w:bookmarkStart w:id="8" w:name="OLE_LINK9"/>
      <w:r>
        <w:rPr>
          <w:rFonts w:hint="eastAsia" w:ascii="仿宋" w:hAnsi="仿宋" w:eastAsia="仿宋" w:cs="仿宋"/>
          <w:b/>
          <w:bCs/>
          <w:color w:val="auto"/>
          <w:highlight w:val="none"/>
        </w:rPr>
        <w:t>安检及速通门设备</w:t>
      </w:r>
      <w:bookmarkEnd w:id="7"/>
      <w:bookmarkEnd w:id="8"/>
    </w:p>
    <w:p w14:paraId="7070E9DC">
      <w:pPr>
        <w:pStyle w:val="2"/>
        <w:spacing w:line="360" w:lineRule="auto"/>
        <w:contextualSpacing/>
        <w:rPr>
          <w:rFonts w:ascii="仿宋" w:hAnsi="仿宋" w:eastAsia="仿宋" w:cs="仿宋"/>
          <w:b/>
          <w:bCs/>
          <w:color w:val="auto"/>
          <w:sz w:val="21"/>
          <w:szCs w:val="21"/>
          <w:highlight w:val="none"/>
        </w:rPr>
      </w:pPr>
      <w:r>
        <w:rPr>
          <w:rFonts w:ascii="仿宋" w:hAnsi="仿宋" w:eastAsia="仿宋" w:cs="仿宋"/>
          <w:b/>
          <w:bCs/>
          <w:color w:val="auto"/>
          <w:sz w:val="21"/>
          <w:szCs w:val="21"/>
          <w:highlight w:val="none"/>
        </w:rPr>
        <w:t>一、设备技术需求</w:t>
      </w:r>
    </w:p>
    <w:p w14:paraId="6CAB6784">
      <w:pPr>
        <w:pStyle w:val="2"/>
        <w:spacing w:line="360" w:lineRule="auto"/>
        <w:contextualSpacing/>
        <w:rPr>
          <w:rFonts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（一）品目1-1</w:t>
      </w:r>
      <w:r>
        <w:rPr>
          <w:rFonts w:ascii="仿宋" w:hAnsi="仿宋" w:eastAsia="仿宋" w:cs="仿宋"/>
          <w:b/>
          <w:bCs/>
          <w:color w:val="auto"/>
          <w:sz w:val="21"/>
          <w:szCs w:val="21"/>
          <w:highlight w:val="none"/>
        </w:rPr>
        <w:t>上下双通道安检机</w:t>
      </w:r>
    </w:p>
    <w:p w14:paraId="44F391BD">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w:t>
      </w:r>
      <w:r>
        <w:rPr>
          <w:rFonts w:ascii="仿宋" w:hAnsi="仿宋" w:eastAsia="仿宋" w:cs="仿宋"/>
          <w:bCs/>
          <w:color w:val="auto"/>
          <w:sz w:val="21"/>
          <w:szCs w:val="21"/>
          <w:highlight w:val="none"/>
        </w:rPr>
        <w:t>数量：</w:t>
      </w:r>
      <w:r>
        <w:rPr>
          <w:rFonts w:hint="eastAsia" w:ascii="仿宋" w:hAnsi="仿宋" w:eastAsia="仿宋" w:cs="仿宋"/>
          <w:bCs/>
          <w:color w:val="auto"/>
          <w:sz w:val="21"/>
          <w:szCs w:val="21"/>
          <w:highlight w:val="none"/>
        </w:rPr>
        <w:t>1台。</w:t>
      </w:r>
    </w:p>
    <w:p w14:paraId="3F43334A">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w:t>
      </w:r>
      <w:r>
        <w:rPr>
          <w:rFonts w:ascii="仿宋" w:hAnsi="仿宋" w:eastAsia="仿宋" w:cs="仿宋"/>
          <w:bCs/>
          <w:color w:val="auto"/>
          <w:sz w:val="21"/>
          <w:szCs w:val="21"/>
          <w:highlight w:val="none"/>
        </w:rPr>
        <w:t>用途：用于随身包裹安全检查。</w:t>
      </w:r>
    </w:p>
    <w:p w14:paraId="23BF2166">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技术参数</w:t>
      </w:r>
      <w:r>
        <w:rPr>
          <w:rFonts w:hint="eastAsia" w:ascii="仿宋" w:hAnsi="仿宋" w:eastAsia="仿宋" w:cs="仿宋"/>
          <w:bCs/>
          <w:color w:val="auto"/>
          <w:sz w:val="21"/>
          <w:szCs w:val="21"/>
          <w:highlight w:val="none"/>
        </w:rPr>
        <w:t>及基本要求：</w:t>
      </w:r>
    </w:p>
    <w:p w14:paraId="11305DD8">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3.1.通道尺寸：上通道：≥500mm×400mm，下通道：≥650mm×500mm。</w:t>
      </w:r>
    </w:p>
    <w:p w14:paraId="023F9FC2">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3.2.带速：≥0.2m/s。</w:t>
      </w:r>
    </w:p>
    <w:p w14:paraId="2D178907">
      <w:pPr>
        <w:pStyle w:val="2"/>
        <w:spacing w:line="360" w:lineRule="auto"/>
        <w:ind w:firstLineChars="200"/>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3.3.工作状态显示：</w:t>
      </w:r>
      <w:r>
        <w:rPr>
          <w:rFonts w:ascii="仿宋" w:hAnsi="仿宋" w:eastAsia="仿宋" w:cs="仿宋"/>
          <w:bCs/>
          <w:color w:val="auto"/>
          <w:sz w:val="21"/>
          <w:szCs w:val="21"/>
          <w:highlight w:val="none"/>
        </w:rPr>
        <w:t>设备应有明显的系统工作和射线发射显示装置（指示灯）</w:t>
      </w:r>
      <w:r>
        <w:rPr>
          <w:rFonts w:hint="eastAsia" w:ascii="仿宋" w:hAnsi="仿宋" w:eastAsia="仿宋" w:cs="仿宋"/>
          <w:bCs/>
          <w:color w:val="auto"/>
          <w:sz w:val="21"/>
          <w:szCs w:val="21"/>
          <w:highlight w:val="none"/>
        </w:rPr>
        <w:t>。</w:t>
      </w:r>
    </w:p>
    <w:p w14:paraId="6D3C3C78">
      <w:pPr>
        <w:pStyle w:val="2"/>
        <w:spacing w:line="360" w:lineRule="auto"/>
        <w:contextualSpacing/>
        <w:rPr>
          <w:rFonts w:ascii="仿宋" w:hAnsi="仿宋" w:eastAsia="仿宋" w:cs="仿宋"/>
          <w:bCs/>
          <w:color w:val="auto"/>
          <w:sz w:val="21"/>
          <w:szCs w:val="21"/>
          <w:highlight w:val="none"/>
        </w:rPr>
      </w:pPr>
      <w:r>
        <w:rPr>
          <w:rFonts w:ascii="仿宋" w:hAnsi="仿宋" w:eastAsia="仿宋" w:cs="仿宋"/>
          <w:bCs/>
          <w:color w:val="auto"/>
          <w:sz w:val="21"/>
          <w:szCs w:val="21"/>
          <w:highlight w:val="none"/>
        </w:rPr>
        <w:t>3.</w:t>
      </w:r>
      <w:r>
        <w:rPr>
          <w:rFonts w:hint="eastAsia" w:ascii="仿宋" w:hAnsi="仿宋" w:eastAsia="仿宋" w:cs="仿宋"/>
          <w:bCs/>
          <w:color w:val="auto"/>
          <w:sz w:val="21"/>
          <w:szCs w:val="21"/>
          <w:highlight w:val="none"/>
        </w:rPr>
        <w:t>4</w:t>
      </w:r>
      <w:r>
        <w:rPr>
          <w:rFonts w:ascii="仿宋" w:hAnsi="仿宋" w:eastAsia="仿宋" w:cs="仿宋"/>
          <w:bCs/>
          <w:color w:val="auto"/>
          <w:sz w:val="21"/>
          <w:szCs w:val="21"/>
          <w:highlight w:val="none"/>
        </w:rPr>
        <w:t>.</w:t>
      </w:r>
      <w:r>
        <w:rPr>
          <w:rFonts w:hint="eastAsia" w:ascii="仿宋" w:hAnsi="仿宋" w:eastAsia="仿宋" w:cs="仿宋"/>
          <w:bCs/>
          <w:color w:val="auto"/>
          <w:sz w:val="21"/>
          <w:szCs w:val="21"/>
          <w:highlight w:val="none"/>
        </w:rPr>
        <w:t>自冷却功能：</w:t>
      </w:r>
      <w:r>
        <w:rPr>
          <w:rFonts w:ascii="仿宋" w:hAnsi="仿宋" w:eastAsia="仿宋" w:cs="仿宋"/>
          <w:bCs/>
          <w:color w:val="auto"/>
          <w:sz w:val="21"/>
          <w:szCs w:val="21"/>
          <w:highlight w:val="none"/>
        </w:rPr>
        <w:t>X射线产生装置</w:t>
      </w:r>
      <w:r>
        <w:rPr>
          <w:rFonts w:hint="eastAsia" w:ascii="仿宋" w:hAnsi="仿宋" w:eastAsia="仿宋" w:cs="仿宋"/>
          <w:bCs/>
          <w:color w:val="auto"/>
          <w:sz w:val="21"/>
          <w:szCs w:val="21"/>
          <w:highlight w:val="none"/>
        </w:rPr>
        <w:t>应能实现设备内自冷却</w:t>
      </w:r>
      <w:r>
        <w:rPr>
          <w:rFonts w:ascii="仿宋" w:hAnsi="仿宋" w:eastAsia="仿宋" w:cs="仿宋"/>
          <w:bCs/>
          <w:color w:val="auto"/>
          <w:sz w:val="21"/>
          <w:szCs w:val="21"/>
          <w:highlight w:val="none"/>
        </w:rPr>
        <w:t>。</w:t>
      </w:r>
    </w:p>
    <w:p w14:paraId="63BC6A9C">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3.5.</w:t>
      </w:r>
      <w:r>
        <w:rPr>
          <w:rFonts w:ascii="仿宋" w:hAnsi="仿宋" w:eastAsia="仿宋" w:cs="仿宋"/>
          <w:bCs/>
          <w:color w:val="auto"/>
          <w:sz w:val="21"/>
          <w:szCs w:val="21"/>
          <w:highlight w:val="none"/>
        </w:rPr>
        <w:t>图像显示功能：X射线图像应能完整显示被检对象及内部物体的整体轮廓。</w:t>
      </w:r>
    </w:p>
    <w:p w14:paraId="7FAFC1A7">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3.6.</w:t>
      </w:r>
      <w:r>
        <w:rPr>
          <w:rFonts w:ascii="仿宋" w:hAnsi="仿宋" w:eastAsia="仿宋" w:cs="仿宋"/>
          <w:bCs/>
          <w:color w:val="auto"/>
          <w:sz w:val="21"/>
          <w:szCs w:val="21"/>
          <w:highlight w:val="none"/>
        </w:rPr>
        <w:t>图像连续显示：具备输送装置控制功能的单视角、双视角透射式设备，被检对象停在通道内任意位置，再次启动输送装置应保证X射线图像完整。</w:t>
      </w:r>
    </w:p>
    <w:p w14:paraId="21D6EBDF">
      <w:pPr>
        <w:pStyle w:val="2"/>
        <w:spacing w:line="360" w:lineRule="auto"/>
        <w:contextualSpacing/>
        <w:rPr>
          <w:rFonts w:ascii="仿宋" w:hAnsi="仿宋" w:eastAsia="仿宋" w:cs="仿宋"/>
          <w:bCs/>
          <w:color w:val="auto"/>
          <w:sz w:val="21"/>
          <w:szCs w:val="21"/>
          <w:highlight w:val="none"/>
        </w:rPr>
      </w:pPr>
      <w:r>
        <w:rPr>
          <w:rFonts w:ascii="仿宋" w:hAnsi="仿宋" w:eastAsia="仿宋" w:cs="仿宋"/>
          <w:bCs/>
          <w:color w:val="auto"/>
          <w:sz w:val="21"/>
          <w:szCs w:val="21"/>
          <w:highlight w:val="none"/>
        </w:rPr>
        <w:t>3.</w:t>
      </w:r>
      <w:r>
        <w:rPr>
          <w:rFonts w:hint="eastAsia" w:ascii="仿宋" w:hAnsi="仿宋" w:eastAsia="仿宋" w:cs="仿宋"/>
          <w:bCs/>
          <w:color w:val="auto"/>
          <w:sz w:val="21"/>
          <w:szCs w:val="21"/>
          <w:highlight w:val="none"/>
        </w:rPr>
        <w:t>7</w:t>
      </w:r>
      <w:r>
        <w:rPr>
          <w:rFonts w:ascii="仿宋" w:hAnsi="仿宋" w:eastAsia="仿宋" w:cs="仿宋"/>
          <w:bCs/>
          <w:color w:val="auto"/>
          <w:sz w:val="21"/>
          <w:szCs w:val="21"/>
          <w:highlight w:val="none"/>
        </w:rPr>
        <w:t>.图像增强功能：增强显示图像局部细节。</w:t>
      </w:r>
    </w:p>
    <w:p w14:paraId="2550632D">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3.8.</w:t>
      </w:r>
      <w:r>
        <w:rPr>
          <w:rFonts w:ascii="仿宋" w:hAnsi="仿宋" w:eastAsia="仿宋" w:cs="仿宋"/>
          <w:bCs/>
          <w:color w:val="auto"/>
          <w:sz w:val="21"/>
          <w:szCs w:val="21"/>
          <w:highlight w:val="none"/>
        </w:rPr>
        <w:t>有机物和无机物剔除功能：有机物剔除时，剔除图像中的等效有机物，显示剩余物质的颜色；无机物剔除时，剔除图像中的等效无机物，显示剩余物质的颜色。</w:t>
      </w:r>
    </w:p>
    <w:p w14:paraId="78278C62">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3.9.</w:t>
      </w:r>
      <w:r>
        <w:rPr>
          <w:rFonts w:ascii="仿宋" w:hAnsi="仿宋" w:eastAsia="仿宋" w:cs="仿宋"/>
          <w:bCs/>
          <w:color w:val="auto"/>
          <w:sz w:val="21"/>
          <w:szCs w:val="21"/>
          <w:highlight w:val="none"/>
        </w:rPr>
        <w:t>图像放大功能：放大显示所选中区域的物体图像。任意区域放大应</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60倍。</w:t>
      </w:r>
    </w:p>
    <w:p w14:paraId="3899A479">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3.10.</w:t>
      </w:r>
      <w:r>
        <w:rPr>
          <w:rFonts w:ascii="仿宋" w:hAnsi="仿宋" w:eastAsia="仿宋" w:cs="仿宋"/>
          <w:bCs/>
          <w:color w:val="auto"/>
          <w:sz w:val="21"/>
          <w:szCs w:val="21"/>
          <w:highlight w:val="none"/>
        </w:rPr>
        <w:t>图像回拉功能：应能按图像生产顺序连续回调出</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60幅的过检图像。</w:t>
      </w:r>
    </w:p>
    <w:p w14:paraId="46C671FD">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3.11.</w:t>
      </w:r>
      <w:r>
        <w:rPr>
          <w:rFonts w:ascii="仿宋" w:hAnsi="仿宋" w:eastAsia="仿宋" w:cs="仿宋"/>
          <w:bCs/>
          <w:color w:val="auto"/>
          <w:sz w:val="21"/>
          <w:szCs w:val="21"/>
          <w:highlight w:val="none"/>
        </w:rPr>
        <w:t>图像存储功能：所有图像应自动存储。</w:t>
      </w:r>
    </w:p>
    <w:p w14:paraId="21BA23D8">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3.12.</w:t>
      </w:r>
      <w:r>
        <w:rPr>
          <w:rFonts w:ascii="仿宋" w:hAnsi="仿宋" w:eastAsia="仿宋" w:cs="仿宋"/>
          <w:bCs/>
          <w:color w:val="auto"/>
          <w:sz w:val="21"/>
          <w:szCs w:val="21"/>
          <w:highlight w:val="none"/>
        </w:rPr>
        <w:t>图像存储容量：可存储</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100万幅被检图像。</w:t>
      </w:r>
    </w:p>
    <w:p w14:paraId="342CD2E8">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3.13.</w:t>
      </w:r>
      <w:r>
        <w:rPr>
          <w:rFonts w:ascii="仿宋" w:hAnsi="仿宋" w:eastAsia="仿宋" w:cs="仿宋"/>
          <w:bCs/>
          <w:color w:val="auto"/>
          <w:sz w:val="21"/>
          <w:szCs w:val="21"/>
          <w:highlight w:val="none"/>
        </w:rPr>
        <w:t>图像存储格式：应能通</w:t>
      </w:r>
      <w:r>
        <w:rPr>
          <w:rFonts w:hint="eastAsia" w:ascii="仿宋" w:hAnsi="仿宋" w:eastAsia="仿宋" w:cs="仿宋"/>
          <w:bCs/>
          <w:color w:val="auto"/>
          <w:sz w:val="21"/>
          <w:szCs w:val="21"/>
          <w:highlight w:val="none"/>
        </w:rPr>
        <w:t>过</w:t>
      </w:r>
      <w:r>
        <w:rPr>
          <w:rFonts w:ascii="仿宋" w:hAnsi="仿宋" w:eastAsia="仿宋" w:cs="仿宋"/>
          <w:bCs/>
          <w:color w:val="auto"/>
          <w:sz w:val="21"/>
          <w:szCs w:val="21"/>
          <w:highlight w:val="none"/>
        </w:rPr>
        <w:t>生产厂家专用软件以离线方式再现图像，图像处理功能与设备功能相同；应能将图像的原始数据转换成通用的图像格式。</w:t>
      </w:r>
    </w:p>
    <w:p w14:paraId="355F64DB">
      <w:pPr>
        <w:pStyle w:val="2"/>
        <w:spacing w:line="360" w:lineRule="auto"/>
        <w:contextualSpacing/>
        <w:rPr>
          <w:rFonts w:ascii="仿宋" w:hAnsi="仿宋" w:eastAsia="仿宋" w:cs="仿宋"/>
          <w:bCs/>
          <w:color w:val="auto"/>
          <w:sz w:val="21"/>
          <w:szCs w:val="21"/>
          <w:highlight w:val="none"/>
        </w:rPr>
      </w:pPr>
      <w:r>
        <w:rPr>
          <w:rFonts w:ascii="仿宋" w:hAnsi="仿宋" w:eastAsia="仿宋" w:cs="仿宋"/>
          <w:bCs/>
          <w:color w:val="auto"/>
          <w:sz w:val="21"/>
          <w:szCs w:val="21"/>
          <w:highlight w:val="none"/>
        </w:rPr>
        <w:t>▲</w:t>
      </w:r>
      <w:r>
        <w:rPr>
          <w:rFonts w:hint="eastAsia" w:ascii="仿宋" w:hAnsi="仿宋" w:eastAsia="仿宋" w:cs="仿宋"/>
          <w:bCs/>
          <w:color w:val="auto"/>
          <w:sz w:val="21"/>
          <w:szCs w:val="21"/>
          <w:highlight w:val="none"/>
        </w:rPr>
        <w:t>3.14.</w:t>
      </w:r>
      <w:r>
        <w:rPr>
          <w:rFonts w:ascii="仿宋" w:hAnsi="仿宋" w:eastAsia="仿宋" w:cs="仿宋"/>
          <w:bCs/>
          <w:color w:val="auto"/>
          <w:sz w:val="21"/>
          <w:szCs w:val="21"/>
          <w:highlight w:val="none"/>
        </w:rPr>
        <w:t>线分辨力：设备应能分辨最小单根实芯铜线直径</w:t>
      </w:r>
      <w:r>
        <w:rPr>
          <w:rFonts w:hint="eastAsia" w:ascii="仿宋" w:hAnsi="仿宋" w:eastAsia="仿宋" w:cs="仿宋"/>
          <w:bCs/>
          <w:color w:val="auto"/>
          <w:sz w:val="21"/>
          <w:szCs w:val="21"/>
          <w:highlight w:val="none"/>
        </w:rPr>
        <w:t>：0.2m/s下：</w:t>
      </w:r>
      <w:r>
        <w:rPr>
          <w:rFonts w:ascii="仿宋" w:hAnsi="仿宋" w:eastAsia="仿宋" w:cs="仿宋"/>
          <w:bCs/>
          <w:color w:val="auto"/>
          <w:sz w:val="21"/>
          <w:szCs w:val="21"/>
          <w:highlight w:val="none"/>
        </w:rPr>
        <w:t>上通道</w:t>
      </w:r>
      <w:r>
        <w:rPr>
          <w:rFonts w:hint="eastAsia" w:ascii="仿宋" w:hAnsi="仿宋" w:eastAsia="仿宋" w:cs="仿宋"/>
          <w:bCs/>
          <w:color w:val="auto"/>
          <w:sz w:val="21"/>
          <w:szCs w:val="21"/>
          <w:highlight w:val="none"/>
        </w:rPr>
        <w:t>≤φ</w:t>
      </w:r>
      <w:r>
        <w:rPr>
          <w:rFonts w:ascii="仿宋" w:hAnsi="仿宋" w:eastAsia="仿宋" w:cs="仿宋"/>
          <w:bCs/>
          <w:color w:val="auto"/>
          <w:sz w:val="21"/>
          <w:szCs w:val="21"/>
          <w:highlight w:val="none"/>
        </w:rPr>
        <w:t>0.08mm(AWG40)II级</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下通道</w:t>
      </w:r>
      <w:r>
        <w:rPr>
          <w:rFonts w:hint="eastAsia" w:ascii="仿宋" w:hAnsi="仿宋" w:eastAsia="仿宋" w:cs="仿宋"/>
          <w:bCs/>
          <w:color w:val="auto"/>
          <w:sz w:val="21"/>
          <w:szCs w:val="21"/>
          <w:highlight w:val="none"/>
        </w:rPr>
        <w:t>≤φ</w:t>
      </w:r>
      <w:r>
        <w:rPr>
          <w:rFonts w:ascii="仿宋" w:hAnsi="仿宋" w:eastAsia="仿宋" w:cs="仿宋"/>
          <w:bCs/>
          <w:color w:val="auto"/>
          <w:sz w:val="21"/>
          <w:szCs w:val="21"/>
          <w:highlight w:val="none"/>
        </w:rPr>
        <w:t>0.08mm(AWG40)II级。</w:t>
      </w:r>
    </w:p>
    <w:p w14:paraId="69A8F22A">
      <w:pPr>
        <w:pStyle w:val="2"/>
        <w:spacing w:line="360" w:lineRule="auto"/>
        <w:contextualSpacing/>
        <w:rPr>
          <w:rFonts w:ascii="仿宋" w:hAnsi="仿宋" w:eastAsia="仿宋" w:cs="仿宋"/>
          <w:bCs/>
          <w:color w:val="auto"/>
          <w:sz w:val="21"/>
          <w:szCs w:val="21"/>
          <w:highlight w:val="none"/>
        </w:rPr>
      </w:pPr>
      <w:r>
        <w:rPr>
          <w:rFonts w:ascii="仿宋" w:hAnsi="仿宋" w:eastAsia="仿宋" w:cs="仿宋"/>
          <w:bCs/>
          <w:color w:val="auto"/>
          <w:sz w:val="21"/>
          <w:szCs w:val="21"/>
          <w:highlight w:val="none"/>
        </w:rPr>
        <w:t>▲</w:t>
      </w:r>
      <w:r>
        <w:rPr>
          <w:rFonts w:hint="eastAsia" w:ascii="仿宋" w:hAnsi="仿宋" w:eastAsia="仿宋" w:cs="仿宋"/>
          <w:bCs/>
          <w:color w:val="auto"/>
          <w:sz w:val="21"/>
          <w:szCs w:val="21"/>
          <w:highlight w:val="none"/>
        </w:rPr>
        <w:t>3.15.</w:t>
      </w:r>
      <w:r>
        <w:rPr>
          <w:rFonts w:ascii="仿宋" w:hAnsi="仿宋" w:eastAsia="仿宋" w:cs="仿宋"/>
          <w:bCs/>
          <w:color w:val="auto"/>
          <w:sz w:val="21"/>
          <w:szCs w:val="21"/>
          <w:highlight w:val="none"/>
        </w:rPr>
        <w:t>穿透分辨力：</w:t>
      </w:r>
      <w:r>
        <w:rPr>
          <w:rFonts w:hint="eastAsia" w:ascii="仿宋" w:hAnsi="仿宋" w:eastAsia="仿宋" w:cs="仿宋"/>
          <w:bCs/>
          <w:color w:val="auto"/>
          <w:sz w:val="21"/>
          <w:szCs w:val="21"/>
          <w:highlight w:val="none"/>
        </w:rPr>
        <w:t>设备应能分辨厚度为9</w:t>
      </w:r>
      <w:r>
        <w:rPr>
          <w:rFonts w:ascii="仿宋" w:hAnsi="仿宋" w:eastAsia="仿宋" w:cs="仿宋"/>
          <w:bCs/>
          <w:color w:val="auto"/>
          <w:sz w:val="21"/>
          <w:szCs w:val="21"/>
          <w:highlight w:val="none"/>
        </w:rPr>
        <w:t>.</w:t>
      </w:r>
      <w:r>
        <w:rPr>
          <w:rFonts w:hint="eastAsia" w:ascii="仿宋" w:hAnsi="仿宋" w:eastAsia="仿宋" w:cs="仿宋"/>
          <w:bCs/>
          <w:color w:val="auto"/>
          <w:sz w:val="21"/>
          <w:szCs w:val="21"/>
          <w:highlight w:val="none"/>
        </w:rPr>
        <w:t>5m</w:t>
      </w:r>
      <w:r>
        <w:rPr>
          <w:rFonts w:ascii="仿宋" w:hAnsi="仿宋" w:eastAsia="仿宋" w:cs="仿宋"/>
          <w:bCs/>
          <w:color w:val="auto"/>
          <w:sz w:val="21"/>
          <w:szCs w:val="21"/>
          <w:highlight w:val="none"/>
        </w:rPr>
        <w:t>m</w:t>
      </w:r>
      <w:r>
        <w:rPr>
          <w:rFonts w:hint="eastAsia" w:ascii="仿宋" w:hAnsi="仿宋" w:eastAsia="仿宋" w:cs="仿宋"/>
          <w:bCs/>
          <w:color w:val="auto"/>
          <w:sz w:val="21"/>
          <w:szCs w:val="21"/>
          <w:highlight w:val="none"/>
        </w:rPr>
        <w:t>、1</w:t>
      </w:r>
      <w:r>
        <w:rPr>
          <w:rFonts w:ascii="仿宋" w:hAnsi="仿宋" w:eastAsia="仿宋" w:cs="仿宋"/>
          <w:bCs/>
          <w:color w:val="auto"/>
          <w:sz w:val="21"/>
          <w:szCs w:val="21"/>
          <w:highlight w:val="none"/>
        </w:rPr>
        <w:t>5.9</w:t>
      </w:r>
      <w:r>
        <w:rPr>
          <w:rFonts w:hint="eastAsia" w:ascii="仿宋" w:hAnsi="仿宋" w:eastAsia="仿宋" w:cs="仿宋"/>
          <w:bCs/>
          <w:color w:val="auto"/>
          <w:sz w:val="21"/>
          <w:szCs w:val="21"/>
          <w:highlight w:val="none"/>
        </w:rPr>
        <w:t>mm和2</w:t>
      </w:r>
      <w:r>
        <w:rPr>
          <w:rFonts w:ascii="仿宋" w:hAnsi="仿宋" w:eastAsia="仿宋" w:cs="仿宋"/>
          <w:bCs/>
          <w:color w:val="auto"/>
          <w:sz w:val="21"/>
          <w:szCs w:val="21"/>
          <w:highlight w:val="none"/>
        </w:rPr>
        <w:t>2.2</w:t>
      </w:r>
      <w:r>
        <w:rPr>
          <w:rFonts w:hint="eastAsia" w:ascii="仿宋" w:hAnsi="仿宋" w:eastAsia="仿宋" w:cs="仿宋"/>
          <w:bCs/>
          <w:color w:val="auto"/>
          <w:sz w:val="21"/>
          <w:szCs w:val="21"/>
          <w:highlight w:val="none"/>
        </w:rPr>
        <w:t>mm合金铝阶梯下最小单根实芯铜线直径：0.2m/s下：</w:t>
      </w:r>
      <w:r>
        <w:rPr>
          <w:rFonts w:ascii="仿宋" w:hAnsi="仿宋" w:eastAsia="仿宋" w:cs="仿宋"/>
          <w:bCs/>
          <w:color w:val="auto"/>
          <w:sz w:val="21"/>
          <w:szCs w:val="21"/>
          <w:highlight w:val="none"/>
        </w:rPr>
        <w:t>上通道</w:t>
      </w:r>
      <w:r>
        <w:rPr>
          <w:rFonts w:hint="eastAsia" w:ascii="仿宋" w:hAnsi="仿宋" w:eastAsia="仿宋" w:cs="仿宋"/>
          <w:bCs/>
          <w:color w:val="auto"/>
          <w:sz w:val="21"/>
          <w:szCs w:val="21"/>
          <w:highlight w:val="none"/>
        </w:rPr>
        <w:t>≤φ</w:t>
      </w:r>
      <w:r>
        <w:rPr>
          <w:rFonts w:ascii="仿宋" w:hAnsi="仿宋" w:eastAsia="仿宋" w:cs="仿宋"/>
          <w:bCs/>
          <w:color w:val="auto"/>
          <w:sz w:val="21"/>
          <w:szCs w:val="21"/>
          <w:highlight w:val="none"/>
        </w:rPr>
        <w:t>0.16mm(AWG34)Ⅱ级</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下通道</w:t>
      </w:r>
      <w:r>
        <w:rPr>
          <w:rFonts w:hint="eastAsia" w:ascii="仿宋" w:hAnsi="仿宋" w:eastAsia="仿宋" w:cs="仿宋"/>
          <w:bCs/>
          <w:color w:val="auto"/>
          <w:sz w:val="21"/>
          <w:szCs w:val="21"/>
          <w:highlight w:val="none"/>
        </w:rPr>
        <w:t>≤φ</w:t>
      </w:r>
      <w:r>
        <w:rPr>
          <w:rFonts w:ascii="仿宋" w:hAnsi="仿宋" w:eastAsia="仿宋" w:cs="仿宋"/>
          <w:bCs/>
          <w:color w:val="auto"/>
          <w:sz w:val="21"/>
          <w:szCs w:val="21"/>
          <w:highlight w:val="none"/>
        </w:rPr>
        <w:t>0.16mm(AWG34)Ⅱ级。</w:t>
      </w:r>
    </w:p>
    <w:p w14:paraId="31AF7E85">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3.16.</w:t>
      </w:r>
      <w:r>
        <w:rPr>
          <w:rFonts w:ascii="仿宋" w:hAnsi="仿宋" w:eastAsia="仿宋" w:cs="仿宋"/>
          <w:bCs/>
          <w:color w:val="auto"/>
          <w:sz w:val="21"/>
          <w:szCs w:val="21"/>
          <w:highlight w:val="none"/>
        </w:rPr>
        <w:t>空间分辨力：</w:t>
      </w:r>
      <w:r>
        <w:rPr>
          <w:rFonts w:hint="eastAsia" w:ascii="仿宋" w:hAnsi="仿宋" w:eastAsia="仿宋" w:cs="仿宋"/>
          <w:bCs/>
          <w:color w:val="auto"/>
          <w:sz w:val="21"/>
          <w:szCs w:val="21"/>
          <w:highlight w:val="none"/>
        </w:rPr>
        <w:t>设备应能分辨最小线对直径：0.2m/s下：</w:t>
      </w:r>
      <w:r>
        <w:rPr>
          <w:rFonts w:ascii="仿宋" w:hAnsi="仿宋" w:eastAsia="仿宋" w:cs="仿宋"/>
          <w:bCs/>
          <w:color w:val="auto"/>
          <w:sz w:val="21"/>
          <w:szCs w:val="21"/>
          <w:highlight w:val="none"/>
        </w:rPr>
        <w:t>上通道:</w:t>
      </w:r>
      <w:r>
        <w:rPr>
          <w:rFonts w:hint="eastAsia" w:ascii="仿宋" w:hAnsi="仿宋" w:eastAsia="仿宋" w:cs="仿宋"/>
          <w:bCs/>
          <w:color w:val="auto"/>
          <w:sz w:val="21"/>
          <w:szCs w:val="21"/>
          <w:highlight w:val="none"/>
        </w:rPr>
        <w:t>≤φ</w:t>
      </w:r>
      <w:r>
        <w:rPr>
          <w:rFonts w:ascii="仿宋" w:hAnsi="仿宋" w:eastAsia="仿宋" w:cs="仿宋"/>
          <w:bCs/>
          <w:color w:val="auto"/>
          <w:sz w:val="21"/>
          <w:szCs w:val="21"/>
          <w:highlight w:val="none"/>
        </w:rPr>
        <w:t>0.8mmⅡ级</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下通道:</w:t>
      </w:r>
      <w:r>
        <w:rPr>
          <w:rFonts w:hint="eastAsia" w:ascii="仿宋" w:hAnsi="仿宋" w:eastAsia="仿宋" w:cs="仿宋"/>
          <w:bCs/>
          <w:color w:val="auto"/>
          <w:sz w:val="21"/>
          <w:szCs w:val="21"/>
          <w:highlight w:val="none"/>
        </w:rPr>
        <w:t>≤φ</w:t>
      </w:r>
      <w:r>
        <w:rPr>
          <w:rFonts w:ascii="仿宋" w:hAnsi="仿宋" w:eastAsia="仿宋" w:cs="仿宋"/>
          <w:bCs/>
          <w:color w:val="auto"/>
          <w:sz w:val="21"/>
          <w:szCs w:val="21"/>
          <w:highlight w:val="none"/>
        </w:rPr>
        <w:t>0.8mmⅡ级。</w:t>
      </w:r>
    </w:p>
    <w:p w14:paraId="31B05339">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3.17.</w:t>
      </w:r>
      <w:r>
        <w:rPr>
          <w:rFonts w:ascii="仿宋" w:hAnsi="仿宋" w:eastAsia="仿宋" w:cs="仿宋"/>
          <w:bCs/>
          <w:color w:val="auto"/>
          <w:sz w:val="21"/>
          <w:szCs w:val="21"/>
          <w:highlight w:val="none"/>
        </w:rPr>
        <w:t>穿透力：设备应能穿透最厚钢板的厚度</w:t>
      </w:r>
      <w:r>
        <w:rPr>
          <w:rFonts w:hint="eastAsia" w:ascii="仿宋" w:hAnsi="仿宋" w:eastAsia="仿宋" w:cs="仿宋"/>
          <w:bCs/>
          <w:color w:val="auto"/>
          <w:sz w:val="21"/>
          <w:szCs w:val="21"/>
          <w:highlight w:val="none"/>
        </w:rPr>
        <w:t>：0.2m/s下：</w:t>
      </w:r>
      <w:r>
        <w:rPr>
          <w:rFonts w:ascii="仿宋" w:hAnsi="仿宋" w:eastAsia="仿宋" w:cs="仿宋"/>
          <w:bCs/>
          <w:color w:val="auto"/>
          <w:sz w:val="21"/>
          <w:szCs w:val="21"/>
          <w:highlight w:val="none"/>
        </w:rPr>
        <w:t>上通道：SP</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44mm III级</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下通道：SP</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44mm III级。</w:t>
      </w:r>
    </w:p>
    <w:p w14:paraId="20CD4DC8">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3.18.</w:t>
      </w:r>
      <w:r>
        <w:rPr>
          <w:rFonts w:ascii="仿宋" w:hAnsi="仿宋" w:eastAsia="仿宋" w:cs="仿宋"/>
          <w:bCs/>
          <w:color w:val="auto"/>
          <w:sz w:val="21"/>
          <w:szCs w:val="21"/>
          <w:highlight w:val="none"/>
        </w:rPr>
        <w:t>有机物分辨：设备应能分辨厚度范围为1mm~120mm的有机物阶梯,并赋予不同饱和度的橙色。</w:t>
      </w:r>
    </w:p>
    <w:p w14:paraId="1C664C4E">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3.19.</w:t>
      </w:r>
      <w:r>
        <w:rPr>
          <w:rFonts w:ascii="仿宋" w:hAnsi="仿宋" w:eastAsia="仿宋" w:cs="仿宋"/>
          <w:bCs/>
          <w:color w:val="auto"/>
          <w:sz w:val="21"/>
          <w:szCs w:val="21"/>
          <w:highlight w:val="none"/>
        </w:rPr>
        <w:t>灰度分辨：设备应能分辨厚度范围为1mm~60mm,厚度差</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1mm的合金铝阶梯。</w:t>
      </w:r>
    </w:p>
    <w:p w14:paraId="29D01D77">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3.20.</w:t>
      </w:r>
      <w:r>
        <w:rPr>
          <w:rFonts w:ascii="仿宋" w:hAnsi="仿宋" w:eastAsia="仿宋" w:cs="仿宋"/>
          <w:bCs/>
          <w:color w:val="auto"/>
          <w:sz w:val="21"/>
          <w:szCs w:val="21"/>
          <w:highlight w:val="none"/>
        </w:rPr>
        <w:t>混合物分辨：设备应能分辨厚度范围为1mm~60mm的合金铝阶梯，并赋予不同饱和度的绿色。</w:t>
      </w:r>
    </w:p>
    <w:p w14:paraId="5CDAEEC2">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3.21.</w:t>
      </w:r>
      <w:r>
        <w:rPr>
          <w:rFonts w:ascii="仿宋" w:hAnsi="仿宋" w:eastAsia="仿宋" w:cs="仿宋"/>
          <w:bCs/>
          <w:color w:val="auto"/>
          <w:sz w:val="21"/>
          <w:szCs w:val="21"/>
          <w:highlight w:val="none"/>
        </w:rPr>
        <w:t>无机物分辨：设备应能分辨厚度范围为0.2mm~14mm的钢阶梯，并赋予不同饱和度的蓝色。</w:t>
      </w:r>
    </w:p>
    <w:p w14:paraId="264A2D20">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3.22.</w:t>
      </w:r>
      <w:r>
        <w:rPr>
          <w:rFonts w:ascii="仿宋" w:hAnsi="仿宋" w:eastAsia="仿宋" w:cs="仿宋"/>
          <w:bCs/>
          <w:color w:val="auto"/>
          <w:sz w:val="21"/>
          <w:szCs w:val="21"/>
          <w:highlight w:val="none"/>
        </w:rPr>
        <w:t>材料分辨：设备应能分辨具有不同等效原子序数的三种材料样本，并赋予PVC板绿色，赋予模拟物板和尼龙板橙色。</w:t>
      </w:r>
    </w:p>
    <w:p w14:paraId="5B04E99E">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3.23.</w:t>
      </w:r>
      <w:r>
        <w:rPr>
          <w:rFonts w:ascii="仿宋" w:hAnsi="仿宋" w:eastAsia="仿宋" w:cs="仿宋"/>
          <w:bCs/>
          <w:color w:val="auto"/>
          <w:sz w:val="21"/>
          <w:szCs w:val="21"/>
          <w:highlight w:val="none"/>
        </w:rPr>
        <w:t>有效材料分辨：设备应能分辨1.5mm、2.0mm和2.5mm三种厚度钢板后面的、具有不同等效原子序数的三种材料样本，并分别赋予绿色和蓝色；应能分辨GB15208.2-2018附录A中的测试体B中测试卡10中9个区域中的6个区域。</w:t>
      </w:r>
    </w:p>
    <w:p w14:paraId="45BE1FE6">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3.24.</w:t>
      </w:r>
      <w:r>
        <w:rPr>
          <w:rFonts w:ascii="仿宋" w:hAnsi="仿宋" w:eastAsia="仿宋" w:cs="仿宋"/>
          <w:bCs/>
          <w:color w:val="auto"/>
          <w:sz w:val="21"/>
          <w:szCs w:val="21"/>
          <w:highlight w:val="none"/>
        </w:rPr>
        <w:t>单次检查剂量：有多个X射线产生装置的设备单次检查剂量应</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2μGy。</w:t>
      </w:r>
    </w:p>
    <w:p w14:paraId="32CFD62D">
      <w:pPr>
        <w:pStyle w:val="2"/>
        <w:spacing w:line="360" w:lineRule="auto"/>
        <w:contextualSpacing/>
        <w:rPr>
          <w:rFonts w:ascii="仿宋" w:hAnsi="仿宋" w:eastAsia="仿宋" w:cs="仿宋"/>
          <w:bCs/>
          <w:color w:val="auto"/>
          <w:sz w:val="21"/>
          <w:szCs w:val="21"/>
          <w:highlight w:val="none"/>
        </w:rPr>
      </w:pPr>
      <w:r>
        <w:rPr>
          <w:rFonts w:ascii="仿宋" w:hAnsi="仿宋" w:eastAsia="仿宋" w:cs="仿宋"/>
          <w:bCs/>
          <w:color w:val="auto"/>
          <w:sz w:val="21"/>
          <w:szCs w:val="21"/>
          <w:highlight w:val="none"/>
        </w:rPr>
        <w:t>▲</w:t>
      </w:r>
      <w:r>
        <w:rPr>
          <w:rFonts w:hint="eastAsia" w:ascii="仿宋" w:hAnsi="仿宋" w:eastAsia="仿宋" w:cs="仿宋"/>
          <w:bCs/>
          <w:color w:val="auto"/>
          <w:sz w:val="21"/>
          <w:szCs w:val="21"/>
          <w:highlight w:val="none"/>
        </w:rPr>
        <w:t>3.25.</w:t>
      </w:r>
      <w:r>
        <w:rPr>
          <w:rFonts w:ascii="仿宋" w:hAnsi="仿宋" w:eastAsia="仿宋" w:cs="仿宋"/>
          <w:bCs/>
          <w:color w:val="auto"/>
          <w:sz w:val="21"/>
          <w:szCs w:val="21"/>
          <w:highlight w:val="none"/>
        </w:rPr>
        <w:t>周围剂量当量率：设备正常工作时，封闭式设备在距设备的任何可达表面0.1m处（包括设备的入口、出口处）周围剂量当量率应</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0.2μSv/h。工作人员位置的周围剂量当量率应</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0.2</w:t>
      </w:r>
      <w:r>
        <w:rPr>
          <w:rFonts w:hint="eastAsia" w:hAnsi="宋体" w:cs="宋体"/>
          <w:bCs/>
          <w:color w:val="auto"/>
          <w:sz w:val="21"/>
          <w:szCs w:val="21"/>
          <w:highlight w:val="none"/>
        </w:rPr>
        <w:t>µ</w:t>
      </w:r>
      <w:r>
        <w:rPr>
          <w:rFonts w:ascii="仿宋" w:hAnsi="仿宋" w:eastAsia="仿宋" w:cs="仿宋"/>
          <w:bCs/>
          <w:color w:val="auto"/>
          <w:sz w:val="21"/>
          <w:szCs w:val="21"/>
          <w:highlight w:val="none"/>
        </w:rPr>
        <w:t>Sv/h。</w:t>
      </w:r>
    </w:p>
    <w:p w14:paraId="57AE41E2">
      <w:pPr>
        <w:pStyle w:val="2"/>
        <w:spacing w:line="360" w:lineRule="auto"/>
        <w:ind w:firstLine="422" w:firstLineChars="200"/>
        <w:contextualSpacing/>
        <w:rPr>
          <w:rFonts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注：</w:t>
      </w:r>
      <w:r>
        <w:rPr>
          <w:rFonts w:ascii="仿宋" w:hAnsi="仿宋" w:eastAsia="仿宋" w:cs="仿宋"/>
          <w:b/>
          <w:bCs/>
          <w:color w:val="auto"/>
          <w:sz w:val="21"/>
          <w:szCs w:val="21"/>
          <w:highlight w:val="none"/>
        </w:rPr>
        <w:t>以上▲号条款</w:t>
      </w:r>
      <w:bookmarkStart w:id="9" w:name="OLE_LINK31"/>
      <w:bookmarkStart w:id="10" w:name="OLE_LINK35"/>
      <w:bookmarkStart w:id="11" w:name="OLE_LINK32"/>
      <w:r>
        <w:rPr>
          <w:rFonts w:ascii="仿宋" w:hAnsi="仿宋" w:eastAsia="仿宋" w:cs="仿宋"/>
          <w:b/>
          <w:bCs/>
          <w:color w:val="auto"/>
          <w:sz w:val="21"/>
          <w:szCs w:val="21"/>
          <w:highlight w:val="none"/>
        </w:rPr>
        <w:t>需</w:t>
      </w:r>
      <w:bookmarkStart w:id="12" w:name="OLE_LINK4"/>
      <w:bookmarkStart w:id="13" w:name="OLE_LINK5"/>
      <w:r>
        <w:rPr>
          <w:rFonts w:hint="eastAsia" w:ascii="仿宋" w:hAnsi="仿宋" w:eastAsia="仿宋" w:cs="仿宋"/>
          <w:b/>
          <w:bCs/>
          <w:color w:val="auto"/>
          <w:sz w:val="21"/>
          <w:szCs w:val="21"/>
          <w:highlight w:val="none"/>
        </w:rPr>
        <w:t>提供具备CMA资质的第三方检测报告</w:t>
      </w:r>
      <w:bookmarkEnd w:id="12"/>
      <w:bookmarkEnd w:id="13"/>
      <w:r>
        <w:rPr>
          <w:rFonts w:ascii="仿宋" w:hAnsi="仿宋" w:eastAsia="仿宋" w:cs="仿宋"/>
          <w:b/>
          <w:bCs/>
          <w:color w:val="auto"/>
          <w:sz w:val="21"/>
          <w:szCs w:val="21"/>
          <w:highlight w:val="none"/>
        </w:rPr>
        <w:t>复印件作为</w:t>
      </w:r>
      <w:r>
        <w:rPr>
          <w:rFonts w:hint="eastAsia" w:ascii="仿宋" w:hAnsi="仿宋" w:eastAsia="仿宋" w:cs="仿宋"/>
          <w:b/>
          <w:bCs/>
          <w:color w:val="auto"/>
          <w:sz w:val="21"/>
          <w:szCs w:val="21"/>
          <w:highlight w:val="none"/>
        </w:rPr>
        <w:t>证明</w:t>
      </w:r>
      <w:r>
        <w:rPr>
          <w:rFonts w:ascii="仿宋" w:hAnsi="仿宋" w:eastAsia="仿宋" w:cs="仿宋"/>
          <w:b/>
          <w:bCs/>
          <w:color w:val="auto"/>
          <w:sz w:val="21"/>
          <w:szCs w:val="21"/>
          <w:highlight w:val="none"/>
        </w:rPr>
        <w:t>材料</w:t>
      </w:r>
      <w:r>
        <w:rPr>
          <w:rFonts w:hint="eastAsia" w:ascii="仿宋" w:hAnsi="仿宋" w:eastAsia="仿宋" w:cs="仿宋"/>
          <w:b/>
          <w:bCs/>
          <w:color w:val="auto"/>
          <w:sz w:val="21"/>
          <w:szCs w:val="21"/>
          <w:highlight w:val="none"/>
        </w:rPr>
        <w:t>（原件备查）</w:t>
      </w:r>
      <w:r>
        <w:rPr>
          <w:rFonts w:ascii="仿宋" w:hAnsi="仿宋" w:eastAsia="仿宋" w:cs="仿宋"/>
          <w:b/>
          <w:bCs/>
          <w:color w:val="auto"/>
          <w:sz w:val="21"/>
          <w:szCs w:val="21"/>
          <w:highlight w:val="none"/>
        </w:rPr>
        <w:t>，否则视作不满足</w:t>
      </w:r>
      <w:bookmarkEnd w:id="9"/>
      <w:bookmarkEnd w:id="10"/>
      <w:bookmarkEnd w:id="11"/>
      <w:r>
        <w:rPr>
          <w:rFonts w:ascii="仿宋" w:hAnsi="仿宋" w:eastAsia="仿宋" w:cs="仿宋"/>
          <w:b/>
          <w:bCs/>
          <w:color w:val="auto"/>
          <w:sz w:val="21"/>
          <w:szCs w:val="21"/>
          <w:highlight w:val="none"/>
        </w:rPr>
        <w:t>。</w:t>
      </w:r>
    </w:p>
    <w:p w14:paraId="36F4F4E2">
      <w:pPr>
        <w:pStyle w:val="2"/>
        <w:spacing w:line="360" w:lineRule="auto"/>
        <w:contextualSpacing/>
        <w:rPr>
          <w:rFonts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（二）品目1-</w:t>
      </w:r>
      <w:r>
        <w:rPr>
          <w:rFonts w:ascii="仿宋" w:hAnsi="仿宋" w:eastAsia="仿宋" w:cs="仿宋"/>
          <w:b/>
          <w:bCs/>
          <w:color w:val="auto"/>
          <w:sz w:val="21"/>
          <w:szCs w:val="21"/>
          <w:highlight w:val="none"/>
        </w:rPr>
        <w:t>2快速单通道中型安检机</w:t>
      </w:r>
    </w:p>
    <w:p w14:paraId="47D56F8C">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w:t>
      </w:r>
      <w:r>
        <w:rPr>
          <w:rFonts w:ascii="仿宋" w:hAnsi="仿宋" w:eastAsia="仿宋" w:cs="仿宋"/>
          <w:bCs/>
          <w:color w:val="auto"/>
          <w:sz w:val="21"/>
          <w:szCs w:val="21"/>
          <w:highlight w:val="none"/>
        </w:rPr>
        <w:t>数量：</w:t>
      </w:r>
      <w:r>
        <w:rPr>
          <w:rFonts w:hint="eastAsia" w:ascii="仿宋" w:hAnsi="仿宋" w:eastAsia="仿宋" w:cs="仿宋"/>
          <w:bCs/>
          <w:color w:val="auto"/>
          <w:sz w:val="21"/>
          <w:szCs w:val="21"/>
          <w:highlight w:val="none"/>
        </w:rPr>
        <w:t>12台。</w:t>
      </w:r>
    </w:p>
    <w:p w14:paraId="37CECF12">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w:t>
      </w:r>
      <w:r>
        <w:rPr>
          <w:rFonts w:ascii="仿宋" w:hAnsi="仿宋" w:eastAsia="仿宋" w:cs="仿宋"/>
          <w:bCs/>
          <w:color w:val="auto"/>
          <w:sz w:val="21"/>
          <w:szCs w:val="21"/>
          <w:highlight w:val="none"/>
        </w:rPr>
        <w:t>用途：用于随身包裹安全检查。</w:t>
      </w:r>
    </w:p>
    <w:p w14:paraId="73F6F136">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3.技术参数及基本要求：</w:t>
      </w:r>
    </w:p>
    <w:p w14:paraId="148F3A2C">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3.1.通道尺寸：≥650mm×500mm。</w:t>
      </w:r>
    </w:p>
    <w:p w14:paraId="7E1A02E2">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3.2.带速：≥0.2m/s。</w:t>
      </w:r>
    </w:p>
    <w:p w14:paraId="62307793">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3.3.线分辨力：设备应能分辨最小单根实芯铜线直径（</w:t>
      </w:r>
      <w:r>
        <w:rPr>
          <w:rFonts w:ascii="仿宋" w:hAnsi="仿宋" w:eastAsia="仿宋" w:cs="仿宋"/>
          <w:bCs/>
          <w:color w:val="auto"/>
          <w:sz w:val="21"/>
          <w:szCs w:val="21"/>
          <w:highlight w:val="none"/>
        </w:rPr>
        <w:t>0.2m/s</w:t>
      </w:r>
      <w:r>
        <w:rPr>
          <w:rFonts w:hint="eastAsia" w:ascii="仿宋" w:hAnsi="仿宋" w:eastAsia="仿宋" w:cs="仿宋"/>
          <w:bCs/>
          <w:color w:val="auto"/>
          <w:sz w:val="21"/>
          <w:szCs w:val="21"/>
          <w:highlight w:val="none"/>
        </w:rPr>
        <w:t>下）：底照视角：≤φ0.08mm；侧照视角：≤φ0.08mm。</w:t>
      </w:r>
    </w:p>
    <w:p w14:paraId="66F30685">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3.4.穿透分辨力：设备应能分辨厚度为9.5mm、15.9mm和22.2mm合金铝阶梯下最小单根实芯铜线直径（</w:t>
      </w:r>
      <w:r>
        <w:rPr>
          <w:rFonts w:ascii="仿宋" w:hAnsi="仿宋" w:eastAsia="仿宋" w:cs="仿宋"/>
          <w:bCs/>
          <w:color w:val="auto"/>
          <w:sz w:val="21"/>
          <w:szCs w:val="21"/>
          <w:highlight w:val="none"/>
        </w:rPr>
        <w:t>0.2m/s</w:t>
      </w:r>
      <w:r>
        <w:rPr>
          <w:rFonts w:hint="eastAsia" w:ascii="仿宋" w:hAnsi="仿宋" w:eastAsia="仿宋" w:cs="仿宋"/>
          <w:bCs/>
          <w:color w:val="auto"/>
          <w:sz w:val="21"/>
          <w:szCs w:val="21"/>
          <w:highlight w:val="none"/>
        </w:rPr>
        <w:t>下）：底照视角：≤φ0.16mm；侧照视角：≤φ0.16mm。</w:t>
      </w:r>
    </w:p>
    <w:p w14:paraId="4D4F817E">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3.5.空间分辨力：设备应能分辨最小线对直径（</w:t>
      </w:r>
      <w:r>
        <w:rPr>
          <w:rFonts w:ascii="仿宋" w:hAnsi="仿宋" w:eastAsia="仿宋" w:cs="仿宋"/>
          <w:bCs/>
          <w:color w:val="auto"/>
          <w:sz w:val="21"/>
          <w:szCs w:val="21"/>
          <w:highlight w:val="none"/>
        </w:rPr>
        <w:t>0.2m/s</w:t>
      </w:r>
      <w:r>
        <w:rPr>
          <w:rFonts w:hint="eastAsia" w:ascii="仿宋" w:hAnsi="仿宋" w:eastAsia="仿宋" w:cs="仿宋"/>
          <w:bCs/>
          <w:color w:val="auto"/>
          <w:sz w:val="21"/>
          <w:szCs w:val="21"/>
          <w:highlight w:val="none"/>
        </w:rPr>
        <w:t>下）：底照视角：水平方向：≤φ0.8mm；垂直方向：≤φ0.8mm。侧照视角：水平方向：≤φ0.8mm；垂直方向：≤φ0.8mm。</w:t>
      </w:r>
    </w:p>
    <w:p w14:paraId="121EEF67">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▲3.6.穿透力：设备应能穿透最厚钢板的厚度（</w:t>
      </w:r>
      <w:r>
        <w:rPr>
          <w:rFonts w:ascii="仿宋" w:hAnsi="仿宋" w:eastAsia="仿宋" w:cs="仿宋"/>
          <w:bCs/>
          <w:color w:val="auto"/>
          <w:sz w:val="21"/>
          <w:szCs w:val="21"/>
          <w:highlight w:val="none"/>
        </w:rPr>
        <w:t>0.2m/s</w:t>
      </w:r>
      <w:r>
        <w:rPr>
          <w:rFonts w:hint="eastAsia" w:ascii="仿宋" w:hAnsi="仿宋" w:eastAsia="仿宋" w:cs="仿宋"/>
          <w:bCs/>
          <w:color w:val="auto"/>
          <w:sz w:val="21"/>
          <w:szCs w:val="21"/>
          <w:highlight w:val="none"/>
        </w:rPr>
        <w:t>下）：底照视角：≥44mm；侧照视角：≥44mm。</w:t>
      </w:r>
    </w:p>
    <w:p w14:paraId="44DFD0F6">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3.7.图像显示功能：X射线图像应能完整显示被检对象及内部物体的整体轮廓。具备输送装置控制功能的单视角、双视角透射式设备，被检对象停在通道内任意位置，再次启动输送装置应保证X射线图像完整。</w:t>
      </w:r>
    </w:p>
    <w:p w14:paraId="2100419F">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3.8.图像增强功能：增强显示图像局部细节。</w:t>
      </w:r>
    </w:p>
    <w:p w14:paraId="3A5F5BA1">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3.9.有机物和无机物剔除功能：有机物和无机物剔除功能（多能谱型适用）：有机物剔除时，剔除图像中的等效有机物，显示剩余物质的颜色；无机物剔除时，剔除图像中的等效无机物，显示剩余物质的颜色。</w:t>
      </w:r>
    </w:p>
    <w:p w14:paraId="3F0DB573">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3.10.图像放大功能：放大显示所选中区域的物体图像。任意区域放大应≥60倍。</w:t>
      </w:r>
    </w:p>
    <w:p w14:paraId="7F91E294">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3.11.图像回拉功能：应能按图像生产顺序连续回调出≥150幅的过检图像。</w:t>
      </w:r>
    </w:p>
    <w:p w14:paraId="37DC1ABF">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3.12.人机交互功能：设备键盘上各按键及指示灯应工作正常。设备操作面板和屏幕文本信息应为图标或中文界面。</w:t>
      </w:r>
    </w:p>
    <w:p w14:paraId="63B0FBCF">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3.13.图像存储功能：所有图像应自动存储。图像存储容量：可存储≥100万幅被检图像。图像存储格式：应能通道生产厂家专用软件以离线方式再现图像，图像处理功能与设备功能相同；应能将图像的原始数据转换成通用的图像格式。</w:t>
      </w:r>
    </w:p>
    <w:p w14:paraId="4AD2AE5D">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3.14.设备自诊断功能：设备应具备自诊断功能，并生成至少包括X射线产生装置、X射线探测器、控制器等主要功能部件运行状态的诊断报告。</w:t>
      </w:r>
    </w:p>
    <w:p w14:paraId="1AFE9DF0">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3.15.单次检查剂量：有2个X射线产生装置的设备单次检查剂量应≤3μGy。</w:t>
      </w:r>
    </w:p>
    <w:p w14:paraId="70446437">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3.16.周围剂量当量率：设备正常工作时，封闭式设备在距设备的任何可达表面0.1m处（包括设备的入口、出口处）周围剂量当量率应≤0.2μSv/h。工作人员位置的周围剂量当量率应≤0.2</w:t>
      </w:r>
      <w:r>
        <w:rPr>
          <w:rFonts w:hint="eastAsia" w:hAnsi="宋体" w:cs="宋体"/>
          <w:bCs/>
          <w:color w:val="auto"/>
          <w:sz w:val="21"/>
          <w:szCs w:val="21"/>
          <w:highlight w:val="none"/>
        </w:rPr>
        <w:t>µ</w:t>
      </w:r>
      <w:r>
        <w:rPr>
          <w:rFonts w:hint="eastAsia" w:ascii="仿宋" w:hAnsi="仿宋" w:eastAsia="仿宋" w:cs="仿宋"/>
          <w:bCs/>
          <w:color w:val="auto"/>
          <w:sz w:val="21"/>
          <w:szCs w:val="21"/>
          <w:highlight w:val="none"/>
        </w:rPr>
        <w:t>Sv/h。</w:t>
      </w:r>
    </w:p>
    <w:p w14:paraId="4EB759AC">
      <w:pPr>
        <w:pStyle w:val="2"/>
        <w:spacing w:line="360" w:lineRule="auto"/>
        <w:ind w:firstLineChars="200"/>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3.17.图像拼接：扫描图像在传输过程中，如出现暂停在再运行情况，应保持图像的完整。</w:t>
      </w:r>
    </w:p>
    <w:p w14:paraId="66E2CE1A">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3.18.LED语音显示屏：设备应支持配置LED语音显示屏，显示屏应可在显示滚动文字的同时以语音的形式播放文字内容。用户应可自行设置屏幕显示文字的内容、大小、文字滚动播放速度以及语音声音大小。</w:t>
      </w:r>
    </w:p>
    <w:p w14:paraId="35F71DEA">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3.19.一键开关机：设备应能通过直接关闭钥匙开关的方式实现一健关机。</w:t>
      </w:r>
    </w:p>
    <w:p w14:paraId="795E0A8C">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3.20.启动时间：设备的启动时间应≤58s。</w:t>
      </w:r>
    </w:p>
    <w:p w14:paraId="0A9D04CF">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3.21.超薄物体检测：具有连续扫描功能：对于光障检测不到的薄形物体，提供X射线连续扫描功能设备开启强制扫描模式后，应能对0.05mm的标准塞尺进行扫描并成像。</w:t>
      </w:r>
    </w:p>
    <w:p w14:paraId="68EF641F">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3.22.节能环保：设备应节能环保。当在设定的时间后无行李物品放置在传送带上时，设备的传送装置应自动停止；当行李物品放上传送带时，设备的传送装置应自动运行。</w:t>
      </w:r>
    </w:p>
    <w:p w14:paraId="3FD0EBBA">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3.23.穿不透报警：当设备检测到穿不透区域时，应能进行画框闪烁报警。</w:t>
      </w:r>
    </w:p>
    <w:p w14:paraId="4D561E10">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▲3.24.诊断功能：设备应能对射线源、探测器阵列、操作键盘、光障(红外传感器)等关键部件的测试诊断功能。</w:t>
      </w:r>
    </w:p>
    <w:p w14:paraId="7073CE9B">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3.25.图像存储：设备存储的图像应包含图像生成日期、时间、图像序列号等信息。当图像数据量达到设定的磁盘空间限值时，应能够按照“先入先出”原则自动删除已保存的图像。</w:t>
      </w:r>
    </w:p>
    <w:p w14:paraId="12D34A7B">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▲3.26危险品图像插入(TIP)：设备应能在正常扫描生成的过包图像中随机插入危险物品或包裹图像。</w:t>
      </w:r>
    </w:p>
    <w:p w14:paraId="102D0618">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▲3.27.智能识别：可对X光机检测图像实时显示，并对管制刀具、枪支、可疑液体、烟花爆竹等禁带品自动标识，以不同颜色方框标记告警。</w:t>
      </w:r>
    </w:p>
    <w:p w14:paraId="0331AEAB">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
          <w:bCs/>
          <w:color w:val="auto"/>
          <w:sz w:val="21"/>
          <w:szCs w:val="21"/>
          <w:highlight w:val="none"/>
        </w:rPr>
        <w:t>注：</w:t>
      </w:r>
      <w:bookmarkStart w:id="14" w:name="OLE_LINK8"/>
      <w:r>
        <w:rPr>
          <w:rFonts w:hint="eastAsia" w:ascii="仿宋" w:hAnsi="仿宋" w:eastAsia="仿宋" w:cs="仿宋"/>
          <w:b/>
          <w:bCs/>
          <w:color w:val="auto"/>
          <w:sz w:val="21"/>
          <w:szCs w:val="21"/>
          <w:highlight w:val="none"/>
        </w:rPr>
        <w:t>以上▲号条款</w:t>
      </w:r>
      <w:bookmarkStart w:id="15" w:name="OLE_LINK7"/>
      <w:bookmarkStart w:id="16" w:name="OLE_LINK6"/>
      <w:r>
        <w:rPr>
          <w:rFonts w:hint="eastAsia" w:ascii="仿宋" w:hAnsi="仿宋" w:eastAsia="仿宋" w:cs="仿宋"/>
          <w:b/>
          <w:bCs/>
          <w:color w:val="auto"/>
          <w:sz w:val="21"/>
          <w:szCs w:val="21"/>
          <w:highlight w:val="none"/>
        </w:rPr>
        <w:t>需提供具备CMA资质的第三方检测报告复印件作为证明材料（原件备查）</w:t>
      </w:r>
      <w:bookmarkEnd w:id="15"/>
      <w:bookmarkEnd w:id="16"/>
      <w:r>
        <w:rPr>
          <w:rFonts w:hint="eastAsia" w:ascii="仿宋" w:hAnsi="仿宋" w:eastAsia="仿宋" w:cs="仿宋"/>
          <w:b/>
          <w:bCs/>
          <w:color w:val="auto"/>
          <w:sz w:val="21"/>
          <w:szCs w:val="21"/>
          <w:highlight w:val="none"/>
        </w:rPr>
        <w:t>，否则视作不满足</w:t>
      </w:r>
      <w:bookmarkEnd w:id="14"/>
      <w:r>
        <w:rPr>
          <w:rFonts w:ascii="仿宋" w:hAnsi="仿宋" w:eastAsia="仿宋" w:cs="仿宋"/>
          <w:b/>
          <w:bCs/>
          <w:color w:val="auto"/>
          <w:sz w:val="21"/>
          <w:szCs w:val="21"/>
          <w:highlight w:val="none"/>
        </w:rPr>
        <w:t>。</w:t>
      </w:r>
    </w:p>
    <w:p w14:paraId="70939848">
      <w:pPr>
        <w:pStyle w:val="2"/>
        <w:spacing w:line="360" w:lineRule="auto"/>
        <w:contextualSpacing/>
        <w:rPr>
          <w:rFonts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（三）品目1-3</w:t>
      </w:r>
      <w:r>
        <w:rPr>
          <w:rFonts w:ascii="仿宋" w:hAnsi="仿宋" w:eastAsia="仿宋" w:cs="仿宋"/>
          <w:b/>
          <w:bCs/>
          <w:color w:val="auto"/>
          <w:sz w:val="21"/>
          <w:szCs w:val="21"/>
          <w:highlight w:val="none"/>
        </w:rPr>
        <w:t>快速单通道小型安检机</w:t>
      </w:r>
    </w:p>
    <w:p w14:paraId="0E3EF947">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w:t>
      </w:r>
      <w:r>
        <w:rPr>
          <w:rFonts w:ascii="仿宋" w:hAnsi="仿宋" w:eastAsia="仿宋" w:cs="仿宋"/>
          <w:bCs/>
          <w:color w:val="auto"/>
          <w:sz w:val="21"/>
          <w:szCs w:val="21"/>
          <w:highlight w:val="none"/>
        </w:rPr>
        <w:t>数量：</w:t>
      </w:r>
      <w:r>
        <w:rPr>
          <w:rFonts w:hint="eastAsia" w:ascii="仿宋" w:hAnsi="仿宋" w:eastAsia="仿宋" w:cs="仿宋"/>
          <w:bCs/>
          <w:color w:val="auto"/>
          <w:sz w:val="21"/>
          <w:szCs w:val="21"/>
          <w:highlight w:val="none"/>
        </w:rPr>
        <w:t>1台。</w:t>
      </w:r>
    </w:p>
    <w:p w14:paraId="5902202A">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w:t>
      </w:r>
      <w:r>
        <w:rPr>
          <w:rFonts w:ascii="仿宋" w:hAnsi="仿宋" w:eastAsia="仿宋" w:cs="仿宋"/>
          <w:bCs/>
          <w:color w:val="auto"/>
          <w:sz w:val="21"/>
          <w:szCs w:val="21"/>
          <w:highlight w:val="none"/>
        </w:rPr>
        <w:t>用途：用于随身包裹安全检查。</w:t>
      </w:r>
    </w:p>
    <w:p w14:paraId="2A09F7F1">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3.技术参数及基本要求：</w:t>
      </w:r>
    </w:p>
    <w:p w14:paraId="42857D58">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3.1.通道尺寸：≥500mm×300mm。</w:t>
      </w:r>
    </w:p>
    <w:p w14:paraId="36C3FCA1">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3.2.带速：≥0.2m/s。</w:t>
      </w:r>
    </w:p>
    <w:p w14:paraId="6EDC9926">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3.3.图像放大功能：放大显示所选中区域的物体图像。任意区域放大应≥60倍。</w:t>
      </w:r>
    </w:p>
    <w:p w14:paraId="097E822D">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3.4.</w:t>
      </w:r>
      <w:r>
        <w:rPr>
          <w:rFonts w:ascii="仿宋" w:hAnsi="仿宋" w:eastAsia="仿宋" w:cs="仿宋"/>
          <w:bCs/>
          <w:color w:val="auto"/>
          <w:sz w:val="21"/>
          <w:szCs w:val="21"/>
          <w:highlight w:val="none"/>
        </w:rPr>
        <w:t>图像回拉功能：应能按图像生产顺序连续回调出</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60幅的过检图像。</w:t>
      </w:r>
    </w:p>
    <w:p w14:paraId="18A5C440">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3.5.</w:t>
      </w:r>
      <w:r>
        <w:rPr>
          <w:rFonts w:ascii="仿宋" w:hAnsi="仿宋" w:eastAsia="仿宋" w:cs="仿宋"/>
          <w:bCs/>
          <w:color w:val="auto"/>
          <w:sz w:val="21"/>
          <w:szCs w:val="21"/>
          <w:highlight w:val="none"/>
        </w:rPr>
        <w:t>图像存储容量：可存储</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40万幅被检图像。</w:t>
      </w:r>
    </w:p>
    <w:p w14:paraId="48195D25">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3.6.</w:t>
      </w:r>
      <w:r>
        <w:rPr>
          <w:rFonts w:ascii="仿宋" w:hAnsi="仿宋" w:eastAsia="仿宋" w:cs="仿宋"/>
          <w:bCs/>
          <w:color w:val="auto"/>
          <w:sz w:val="21"/>
          <w:szCs w:val="21"/>
          <w:highlight w:val="none"/>
        </w:rPr>
        <w:t>分辨力：设备应能分辨最小单根实芯铜线直经</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0.2m/s</w:t>
      </w:r>
      <w:r>
        <w:rPr>
          <w:rFonts w:hint="eastAsia" w:ascii="仿宋" w:hAnsi="仿宋" w:eastAsia="仿宋" w:cs="仿宋"/>
          <w:bCs/>
          <w:color w:val="auto"/>
          <w:sz w:val="21"/>
          <w:szCs w:val="21"/>
          <w:highlight w:val="none"/>
        </w:rPr>
        <w:t>下）</w:t>
      </w:r>
      <w:r>
        <w:rPr>
          <w:rFonts w:ascii="仿宋" w:hAnsi="仿宋" w:eastAsia="仿宋" w:cs="仿宋"/>
          <w:bCs/>
          <w:color w:val="auto"/>
          <w:sz w:val="21"/>
          <w:szCs w:val="21"/>
          <w:highlight w:val="none"/>
        </w:rPr>
        <w:t>：</w:t>
      </w:r>
      <w:r>
        <w:rPr>
          <w:rFonts w:hint="eastAsia" w:ascii="仿宋" w:hAnsi="仿宋" w:eastAsia="仿宋" w:cs="仿宋"/>
          <w:bCs/>
          <w:color w:val="auto"/>
          <w:sz w:val="21"/>
          <w:szCs w:val="21"/>
          <w:highlight w:val="none"/>
        </w:rPr>
        <w:t>≤φ</w:t>
      </w:r>
      <w:r>
        <w:rPr>
          <w:rFonts w:ascii="仿宋" w:hAnsi="仿宋" w:eastAsia="仿宋" w:cs="仿宋"/>
          <w:bCs/>
          <w:color w:val="auto"/>
          <w:sz w:val="21"/>
          <w:szCs w:val="21"/>
          <w:highlight w:val="none"/>
        </w:rPr>
        <w:t>0.08mm（AWG40）II级。</w:t>
      </w:r>
    </w:p>
    <w:p w14:paraId="4AB1162B">
      <w:pPr>
        <w:pStyle w:val="2"/>
        <w:spacing w:line="360" w:lineRule="auto"/>
        <w:contextualSpacing/>
        <w:rPr>
          <w:rFonts w:ascii="仿宋" w:hAnsi="仿宋" w:eastAsia="仿宋" w:cs="仿宋"/>
          <w:bCs/>
          <w:color w:val="auto"/>
          <w:sz w:val="21"/>
          <w:szCs w:val="21"/>
          <w:highlight w:val="none"/>
        </w:rPr>
      </w:pPr>
      <w:r>
        <w:rPr>
          <w:rFonts w:ascii="仿宋" w:hAnsi="仿宋" w:eastAsia="仿宋" w:cs="仿宋"/>
          <w:bCs/>
          <w:color w:val="auto"/>
          <w:sz w:val="21"/>
          <w:szCs w:val="21"/>
          <w:highlight w:val="none"/>
        </w:rPr>
        <w:t>▲</w:t>
      </w:r>
      <w:r>
        <w:rPr>
          <w:rFonts w:hint="eastAsia" w:ascii="仿宋" w:hAnsi="仿宋" w:eastAsia="仿宋" w:cs="仿宋"/>
          <w:bCs/>
          <w:color w:val="auto"/>
          <w:sz w:val="21"/>
          <w:szCs w:val="21"/>
          <w:highlight w:val="none"/>
        </w:rPr>
        <w:t>3.7.</w:t>
      </w:r>
      <w:r>
        <w:rPr>
          <w:rFonts w:ascii="仿宋" w:hAnsi="仿宋" w:eastAsia="仿宋" w:cs="仿宋"/>
          <w:bCs/>
          <w:color w:val="auto"/>
          <w:sz w:val="21"/>
          <w:szCs w:val="21"/>
          <w:highlight w:val="none"/>
        </w:rPr>
        <w:t>穿透分辨力：设备应能分辨率厚度为9.5mm、15.9mm和22.2mm合金铝阶梯下最小单根实芯铜线直径</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0.2m/s</w:t>
      </w:r>
      <w:r>
        <w:rPr>
          <w:rFonts w:hint="eastAsia" w:ascii="仿宋" w:hAnsi="仿宋" w:eastAsia="仿宋" w:cs="仿宋"/>
          <w:bCs/>
          <w:color w:val="auto"/>
          <w:sz w:val="21"/>
          <w:szCs w:val="21"/>
          <w:highlight w:val="none"/>
        </w:rPr>
        <w:t>下）：≤φ</w:t>
      </w:r>
      <w:r>
        <w:rPr>
          <w:rFonts w:ascii="仿宋" w:hAnsi="仿宋" w:eastAsia="仿宋" w:cs="仿宋"/>
          <w:bCs/>
          <w:color w:val="auto"/>
          <w:sz w:val="21"/>
          <w:szCs w:val="21"/>
          <w:highlight w:val="none"/>
        </w:rPr>
        <w:t>0.127mm（AWG36）II级。</w:t>
      </w:r>
    </w:p>
    <w:p w14:paraId="4E7C6F43">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3.8.</w:t>
      </w:r>
      <w:r>
        <w:rPr>
          <w:rFonts w:ascii="仿宋" w:hAnsi="仿宋" w:eastAsia="仿宋" w:cs="仿宋"/>
          <w:bCs/>
          <w:color w:val="auto"/>
          <w:sz w:val="21"/>
          <w:szCs w:val="21"/>
          <w:highlight w:val="none"/>
        </w:rPr>
        <w:t>空间分辨力：设备应能分辨最小线对直径</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0.2m/s</w:t>
      </w:r>
      <w:r>
        <w:rPr>
          <w:rFonts w:hint="eastAsia" w:ascii="仿宋" w:hAnsi="仿宋" w:eastAsia="仿宋" w:cs="仿宋"/>
          <w:bCs/>
          <w:color w:val="auto"/>
          <w:sz w:val="21"/>
          <w:szCs w:val="21"/>
          <w:highlight w:val="none"/>
        </w:rPr>
        <w:t>下）</w:t>
      </w:r>
      <w:r>
        <w:rPr>
          <w:rFonts w:ascii="仿宋" w:hAnsi="仿宋" w:eastAsia="仿宋" w:cs="仿宋"/>
          <w:bCs/>
          <w:color w:val="auto"/>
          <w:sz w:val="21"/>
          <w:szCs w:val="21"/>
          <w:highlight w:val="none"/>
        </w:rPr>
        <w:t>：I级：</w:t>
      </w:r>
      <w:r>
        <w:rPr>
          <w:rFonts w:hint="eastAsia" w:ascii="仿宋" w:hAnsi="仿宋" w:eastAsia="仿宋" w:cs="仿宋"/>
          <w:bCs/>
          <w:color w:val="auto"/>
          <w:sz w:val="21"/>
          <w:szCs w:val="21"/>
          <w:highlight w:val="none"/>
        </w:rPr>
        <w:t>≤φ</w:t>
      </w:r>
      <w:r>
        <w:rPr>
          <w:rFonts w:ascii="仿宋" w:hAnsi="仿宋" w:eastAsia="仿宋" w:cs="仿宋"/>
          <w:bCs/>
          <w:color w:val="auto"/>
          <w:sz w:val="21"/>
          <w:szCs w:val="21"/>
          <w:highlight w:val="none"/>
        </w:rPr>
        <w:t>1.0mm；II级：</w:t>
      </w:r>
      <w:r>
        <w:rPr>
          <w:rFonts w:hint="eastAsia" w:ascii="仿宋" w:hAnsi="仿宋" w:eastAsia="仿宋" w:cs="仿宋"/>
          <w:bCs/>
          <w:color w:val="auto"/>
          <w:sz w:val="21"/>
          <w:szCs w:val="21"/>
          <w:highlight w:val="none"/>
        </w:rPr>
        <w:t>≤φ</w:t>
      </w:r>
      <w:r>
        <w:rPr>
          <w:rFonts w:ascii="仿宋" w:hAnsi="仿宋" w:eastAsia="仿宋" w:cs="仿宋"/>
          <w:bCs/>
          <w:color w:val="auto"/>
          <w:sz w:val="21"/>
          <w:szCs w:val="21"/>
          <w:highlight w:val="none"/>
        </w:rPr>
        <w:t>1.0mm。</w:t>
      </w:r>
    </w:p>
    <w:p w14:paraId="4B687B3F">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3.9.</w:t>
      </w:r>
      <w:r>
        <w:rPr>
          <w:rFonts w:ascii="仿宋" w:hAnsi="仿宋" w:eastAsia="仿宋" w:cs="仿宋"/>
          <w:bCs/>
          <w:color w:val="auto"/>
          <w:sz w:val="21"/>
          <w:szCs w:val="21"/>
          <w:highlight w:val="none"/>
        </w:rPr>
        <w:t>穿透力：设备应能穿透最</w:t>
      </w:r>
      <w:r>
        <w:rPr>
          <w:rFonts w:hint="eastAsia" w:ascii="仿宋" w:hAnsi="仿宋" w:eastAsia="仿宋" w:cs="仿宋"/>
          <w:bCs/>
          <w:color w:val="auto"/>
          <w:sz w:val="21"/>
          <w:szCs w:val="21"/>
          <w:highlight w:val="none"/>
        </w:rPr>
        <w:t>厚</w:t>
      </w:r>
      <w:r>
        <w:rPr>
          <w:rFonts w:ascii="仿宋" w:hAnsi="仿宋" w:eastAsia="仿宋" w:cs="仿宋"/>
          <w:bCs/>
          <w:color w:val="auto"/>
          <w:sz w:val="21"/>
          <w:szCs w:val="21"/>
          <w:highlight w:val="none"/>
        </w:rPr>
        <w:t>钢板的厚度</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0.2m/s</w:t>
      </w:r>
      <w:r>
        <w:rPr>
          <w:rFonts w:hint="eastAsia" w:ascii="仿宋" w:hAnsi="仿宋" w:eastAsia="仿宋" w:cs="仿宋"/>
          <w:bCs/>
          <w:color w:val="auto"/>
          <w:sz w:val="21"/>
          <w:szCs w:val="21"/>
          <w:highlight w:val="none"/>
        </w:rPr>
        <w:t>下）≥</w:t>
      </w:r>
      <w:r>
        <w:rPr>
          <w:rFonts w:ascii="仿宋" w:hAnsi="仿宋" w:eastAsia="仿宋" w:cs="仿宋"/>
          <w:bCs/>
          <w:color w:val="auto"/>
          <w:sz w:val="21"/>
          <w:szCs w:val="21"/>
          <w:highlight w:val="none"/>
        </w:rPr>
        <w:t>SP=44mm III级。</w:t>
      </w:r>
    </w:p>
    <w:p w14:paraId="0840FAE9">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3.10.</w:t>
      </w:r>
      <w:r>
        <w:rPr>
          <w:rFonts w:ascii="仿宋" w:hAnsi="仿宋" w:eastAsia="仿宋" w:cs="仿宋"/>
          <w:bCs/>
          <w:color w:val="auto"/>
          <w:sz w:val="21"/>
          <w:szCs w:val="21"/>
          <w:highlight w:val="none"/>
        </w:rPr>
        <w:t>单次检查剂量：仅有一个X射线产生装置的设备单次检查剂量应</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2μGy。</w:t>
      </w:r>
    </w:p>
    <w:p w14:paraId="47728997">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3.11.</w:t>
      </w:r>
      <w:r>
        <w:rPr>
          <w:rFonts w:ascii="仿宋" w:hAnsi="仿宋" w:eastAsia="仿宋" w:cs="仿宋"/>
          <w:bCs/>
          <w:color w:val="auto"/>
          <w:sz w:val="21"/>
          <w:szCs w:val="21"/>
          <w:highlight w:val="none"/>
        </w:rPr>
        <w:t>周围剂量当量率：设备正常工作时，封闭式设备在距设备的任何可达表面0.1m处（包括设备的入口、出口处）周围剂量当量率应</w:t>
      </w:r>
      <w:r>
        <w:rPr>
          <w:rFonts w:hint="eastAsia" w:ascii="仿宋" w:hAnsi="仿宋" w:eastAsia="仿宋" w:cs="仿宋"/>
          <w:bCs/>
          <w:color w:val="auto"/>
          <w:sz w:val="21"/>
          <w:szCs w:val="21"/>
          <w:highlight w:val="none"/>
        </w:rPr>
        <w:t>≤0.2</w:t>
      </w:r>
      <w:r>
        <w:rPr>
          <w:rFonts w:ascii="仿宋" w:hAnsi="仿宋" w:eastAsia="仿宋" w:cs="仿宋"/>
          <w:bCs/>
          <w:color w:val="auto"/>
          <w:sz w:val="21"/>
          <w:szCs w:val="21"/>
          <w:highlight w:val="none"/>
        </w:rPr>
        <w:t>μSv/h</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工作人员位置的周围剂量当量率应</w:t>
      </w:r>
      <w:r>
        <w:rPr>
          <w:rFonts w:hint="eastAsia" w:ascii="仿宋" w:hAnsi="仿宋" w:eastAsia="仿宋" w:cs="仿宋"/>
          <w:bCs/>
          <w:color w:val="auto"/>
          <w:sz w:val="21"/>
          <w:szCs w:val="21"/>
          <w:highlight w:val="none"/>
        </w:rPr>
        <w:t>≤0.2</w:t>
      </w:r>
      <w:r>
        <w:rPr>
          <w:rFonts w:hint="eastAsia" w:hAnsi="宋体" w:cs="宋体"/>
          <w:bCs/>
          <w:color w:val="auto"/>
          <w:sz w:val="21"/>
          <w:szCs w:val="21"/>
          <w:highlight w:val="none"/>
        </w:rPr>
        <w:t>µ</w:t>
      </w:r>
      <w:r>
        <w:rPr>
          <w:rFonts w:ascii="仿宋" w:hAnsi="仿宋" w:eastAsia="仿宋" w:cs="仿宋"/>
          <w:bCs/>
          <w:color w:val="auto"/>
          <w:sz w:val="21"/>
          <w:szCs w:val="21"/>
          <w:highlight w:val="none"/>
        </w:rPr>
        <w:t>Sv/h。</w:t>
      </w:r>
    </w:p>
    <w:p w14:paraId="6326F222">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3.12</w:t>
      </w:r>
      <w:r>
        <w:rPr>
          <w:rFonts w:ascii="仿宋" w:hAnsi="仿宋" w:eastAsia="仿宋" w:cs="仿宋"/>
          <w:bCs/>
          <w:color w:val="auto"/>
          <w:sz w:val="21"/>
          <w:szCs w:val="21"/>
          <w:highlight w:val="none"/>
        </w:rPr>
        <w:t>.超薄物体检测功能试验：当被测物薄而无法遮挡光障时，人工按下操作</w:t>
      </w:r>
      <w:r>
        <w:rPr>
          <w:rFonts w:hint="eastAsia" w:ascii="仿宋" w:hAnsi="仿宋" w:eastAsia="仿宋" w:cs="仿宋"/>
          <w:bCs/>
          <w:color w:val="auto"/>
          <w:sz w:val="21"/>
          <w:szCs w:val="21"/>
          <w:highlight w:val="none"/>
        </w:rPr>
        <w:t>台</w:t>
      </w:r>
      <w:r>
        <w:rPr>
          <w:rFonts w:ascii="仿宋" w:hAnsi="仿宋" w:eastAsia="仿宋" w:cs="仿宋"/>
          <w:bCs/>
          <w:color w:val="auto"/>
          <w:sz w:val="21"/>
          <w:szCs w:val="21"/>
          <w:highlight w:val="none"/>
        </w:rPr>
        <w:t>上的相应功能键启动强制扫描模式，设备应能检测出厚度</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1mm的超薄刀片。</w:t>
      </w:r>
    </w:p>
    <w:p w14:paraId="7082D3C4">
      <w:pPr>
        <w:pStyle w:val="2"/>
        <w:spacing w:line="360" w:lineRule="auto"/>
        <w:contextualSpacing/>
        <w:rPr>
          <w:rFonts w:ascii="仿宋" w:hAnsi="仿宋" w:eastAsia="仿宋" w:cs="仿宋"/>
          <w:bCs/>
          <w:color w:val="auto"/>
          <w:sz w:val="21"/>
          <w:szCs w:val="21"/>
          <w:highlight w:val="none"/>
        </w:rPr>
      </w:pPr>
      <w:r>
        <w:rPr>
          <w:rFonts w:ascii="仿宋" w:hAnsi="仿宋" w:eastAsia="仿宋" w:cs="仿宋"/>
          <w:bCs/>
          <w:color w:val="auto"/>
          <w:sz w:val="21"/>
          <w:szCs w:val="21"/>
          <w:highlight w:val="none"/>
        </w:rPr>
        <w:t>▲</w:t>
      </w:r>
      <w:r>
        <w:rPr>
          <w:rFonts w:hint="eastAsia" w:ascii="仿宋" w:hAnsi="仿宋" w:eastAsia="仿宋" w:cs="仿宋"/>
          <w:bCs/>
          <w:color w:val="auto"/>
          <w:sz w:val="21"/>
          <w:szCs w:val="21"/>
          <w:highlight w:val="none"/>
        </w:rPr>
        <w:t>3.13</w:t>
      </w:r>
      <w:r>
        <w:rPr>
          <w:rFonts w:ascii="仿宋" w:hAnsi="仿宋" w:eastAsia="仿宋" w:cs="仿宋"/>
          <w:bCs/>
          <w:color w:val="auto"/>
          <w:sz w:val="21"/>
          <w:szCs w:val="21"/>
          <w:highlight w:val="none"/>
        </w:rPr>
        <w:t>.同屏双显功能试验：设备应能在一个显示器画面内同时显示彩色与黑白的X射线扫描图像。</w:t>
      </w:r>
    </w:p>
    <w:p w14:paraId="75B22279">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3.14</w:t>
      </w:r>
      <w:r>
        <w:rPr>
          <w:rFonts w:ascii="仿宋" w:hAnsi="仿宋" w:eastAsia="仿宋" w:cs="仿宋"/>
          <w:bCs/>
          <w:color w:val="auto"/>
          <w:sz w:val="21"/>
          <w:szCs w:val="21"/>
          <w:highlight w:val="none"/>
        </w:rPr>
        <w:t>.泄漏辐射剂量率检测功能：设备应在侧壁上安装小型剂量当量仪，当检测到安装点位的辐射剂量当量率超过设定阈值时，小型剂量当量仪应产生声光报警。</w:t>
      </w:r>
    </w:p>
    <w:p w14:paraId="23958F68">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3.15</w:t>
      </w:r>
      <w:r>
        <w:rPr>
          <w:rFonts w:ascii="仿宋" w:hAnsi="仿宋" w:eastAsia="仿宋" w:cs="仿宋"/>
          <w:bCs/>
          <w:color w:val="auto"/>
          <w:sz w:val="21"/>
          <w:szCs w:val="21"/>
          <w:highlight w:val="none"/>
        </w:rPr>
        <w:t>.节能环保检查：设备应节能环保。当传送带上无行李物品时，设备的传送装置应自动停止；当行李物品放上传送带时，设备的传送装置应自动运行。</w:t>
      </w:r>
    </w:p>
    <w:p w14:paraId="39FC69A0">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3.16</w:t>
      </w:r>
      <w:r>
        <w:rPr>
          <w:rFonts w:ascii="仿宋" w:hAnsi="仿宋" w:eastAsia="仿宋" w:cs="仿宋"/>
          <w:bCs/>
          <w:color w:val="auto"/>
          <w:sz w:val="21"/>
          <w:szCs w:val="21"/>
          <w:highlight w:val="none"/>
        </w:rPr>
        <w:t>.维护诊断功能：设备应能对X射线源、探测器、操作键盘、出入口光障、电器控制主板及电动滚筒等工作部件进行诊断。诊断后应形成诊断报告，并能查看X射线发生器的阳极电压和束流值。</w:t>
      </w:r>
    </w:p>
    <w:p w14:paraId="0B730E6D">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3.17</w:t>
      </w:r>
      <w:r>
        <w:rPr>
          <w:rFonts w:ascii="仿宋" w:hAnsi="仿宋" w:eastAsia="仿宋" w:cs="仿宋"/>
          <w:bCs/>
          <w:color w:val="auto"/>
          <w:sz w:val="21"/>
          <w:szCs w:val="21"/>
          <w:highlight w:val="none"/>
        </w:rPr>
        <w:t>.图像存储及检索功能：设备存储的图像应包含图像生成时间、操作员ID、设备识别码等信息，并应支持根据生成时间、操作员ID等事件或事件组合进行图像检索</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设备应可设置图像保存时间，当图像存储时间达到设定时间时，设备应自动删除图像数据。</w:t>
      </w:r>
    </w:p>
    <w:p w14:paraId="5A6A2ED2">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3.18</w:t>
      </w:r>
      <w:r>
        <w:rPr>
          <w:rFonts w:ascii="仿宋" w:hAnsi="仿宋" w:eastAsia="仿宋" w:cs="仿宋"/>
          <w:bCs/>
          <w:color w:val="auto"/>
          <w:sz w:val="21"/>
          <w:szCs w:val="21"/>
          <w:highlight w:val="none"/>
        </w:rPr>
        <w:t>.危险品图像插入（TIP）功能：设备应能在正常扫描生成的过包图像中随机插入预先设定的危险物品的图像，并应能设置插入图像的频率、各类危险品图像插入比例、开始时间及持续时间。</w:t>
      </w:r>
    </w:p>
    <w:p w14:paraId="60D70916">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3.19</w:t>
      </w:r>
      <w:r>
        <w:rPr>
          <w:rFonts w:ascii="仿宋" w:hAnsi="仿宋" w:eastAsia="仿宋" w:cs="仿宋"/>
          <w:bCs/>
          <w:color w:val="auto"/>
          <w:sz w:val="21"/>
          <w:szCs w:val="21"/>
          <w:highlight w:val="none"/>
        </w:rPr>
        <w:t>.快捷操作功能：设备应能通过鼠标操作显示屏的快捷功能键区控制安检机传送带正转、反转、停止。</w:t>
      </w:r>
    </w:p>
    <w:p w14:paraId="5E4CCD68">
      <w:pPr>
        <w:pStyle w:val="2"/>
        <w:spacing w:line="360" w:lineRule="auto"/>
        <w:contextualSpacing/>
        <w:rPr>
          <w:rFonts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注：</w:t>
      </w:r>
      <w:bookmarkStart w:id="17" w:name="OLE_LINK13"/>
      <w:bookmarkStart w:id="18" w:name="OLE_LINK17"/>
      <w:bookmarkStart w:id="19" w:name="OLE_LINK16"/>
      <w:r>
        <w:rPr>
          <w:rFonts w:hint="eastAsia" w:ascii="仿宋" w:hAnsi="仿宋" w:eastAsia="仿宋" w:cs="仿宋"/>
          <w:b/>
          <w:bCs/>
          <w:color w:val="auto"/>
          <w:sz w:val="21"/>
          <w:szCs w:val="21"/>
          <w:highlight w:val="none"/>
        </w:rPr>
        <w:t>以上▲号条款需提供具备CMA资质的第三方检测报告复印件作为证明材料（原件备查），否则视作不满足</w:t>
      </w:r>
      <w:bookmarkEnd w:id="17"/>
      <w:bookmarkEnd w:id="18"/>
      <w:bookmarkEnd w:id="19"/>
      <w:r>
        <w:rPr>
          <w:rFonts w:ascii="仿宋" w:hAnsi="仿宋" w:eastAsia="仿宋" w:cs="仿宋"/>
          <w:b/>
          <w:bCs/>
          <w:color w:val="auto"/>
          <w:sz w:val="21"/>
          <w:szCs w:val="21"/>
          <w:highlight w:val="none"/>
        </w:rPr>
        <w:t>。</w:t>
      </w:r>
    </w:p>
    <w:p w14:paraId="70AB1EEB">
      <w:pPr>
        <w:pStyle w:val="2"/>
        <w:spacing w:line="360" w:lineRule="auto"/>
        <w:contextualSpacing/>
        <w:rPr>
          <w:rFonts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（四）品目1-4</w:t>
      </w:r>
      <w:r>
        <w:rPr>
          <w:rFonts w:ascii="仿宋" w:hAnsi="仿宋" w:eastAsia="仿宋" w:cs="仿宋"/>
          <w:b/>
          <w:bCs/>
          <w:color w:val="auto"/>
          <w:sz w:val="21"/>
          <w:szCs w:val="21"/>
          <w:highlight w:val="none"/>
        </w:rPr>
        <w:t>禁带品智能识别机</w:t>
      </w:r>
    </w:p>
    <w:p w14:paraId="75D50224">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w:t>
      </w:r>
      <w:r>
        <w:rPr>
          <w:rFonts w:ascii="仿宋" w:hAnsi="仿宋" w:eastAsia="仿宋" w:cs="仿宋"/>
          <w:bCs/>
          <w:color w:val="auto"/>
          <w:sz w:val="21"/>
          <w:szCs w:val="21"/>
          <w:highlight w:val="none"/>
        </w:rPr>
        <w:t>数量：</w:t>
      </w:r>
      <w:r>
        <w:rPr>
          <w:rFonts w:hint="eastAsia" w:ascii="仿宋" w:hAnsi="仿宋" w:eastAsia="仿宋" w:cs="仿宋"/>
          <w:bCs/>
          <w:color w:val="auto"/>
          <w:sz w:val="21"/>
          <w:szCs w:val="21"/>
          <w:highlight w:val="none"/>
        </w:rPr>
        <w:t>14台。</w:t>
      </w:r>
    </w:p>
    <w:p w14:paraId="4A60737D">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w:t>
      </w:r>
      <w:r>
        <w:rPr>
          <w:rFonts w:ascii="仿宋" w:hAnsi="仿宋" w:eastAsia="仿宋" w:cs="仿宋"/>
          <w:bCs/>
          <w:color w:val="auto"/>
          <w:sz w:val="21"/>
          <w:szCs w:val="21"/>
          <w:highlight w:val="none"/>
        </w:rPr>
        <w:t>用途：用于禁带品智能识别。</w:t>
      </w:r>
    </w:p>
    <w:p w14:paraId="6F075EA1">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3.技术参数及要求：</w:t>
      </w:r>
    </w:p>
    <w:p w14:paraId="699DAAC6">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w:t>
      </w:r>
      <w:r>
        <w:rPr>
          <w:rFonts w:ascii="仿宋" w:hAnsi="仿宋" w:eastAsia="仿宋" w:cs="仿宋"/>
          <w:bCs/>
          <w:color w:val="auto"/>
          <w:sz w:val="21"/>
          <w:szCs w:val="21"/>
          <w:highlight w:val="none"/>
        </w:rPr>
        <w:t>禁带品智能识别机通过网络接口与通道式X射线安全检查设备通讯，实时接收通道式X射线的辐射图像，通过智能识别算法对安检图像进行图像处理识别，并将结果显示在判图员操作工作站上。</w:t>
      </w:r>
    </w:p>
    <w:p w14:paraId="79E7C798">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3.2.</w:t>
      </w:r>
      <w:r>
        <w:rPr>
          <w:rFonts w:ascii="仿宋" w:hAnsi="仿宋" w:eastAsia="仿宋" w:cs="仿宋"/>
          <w:bCs/>
          <w:color w:val="auto"/>
          <w:sz w:val="21"/>
          <w:szCs w:val="21"/>
          <w:highlight w:val="none"/>
        </w:rPr>
        <w:t>禁带品智能识别机具有违禁品提示功能，对DB11/646.6-2016中的危险物品自动标识。</w:t>
      </w:r>
    </w:p>
    <w:p w14:paraId="7C380C21">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3.3.</w:t>
      </w:r>
      <w:r>
        <w:rPr>
          <w:rFonts w:ascii="仿宋" w:hAnsi="仿宋" w:eastAsia="仿宋" w:cs="仿宋"/>
          <w:bCs/>
          <w:color w:val="auto"/>
          <w:sz w:val="21"/>
          <w:szCs w:val="21"/>
          <w:highlight w:val="none"/>
        </w:rPr>
        <w:t>X射线安全检查设备的显示终端显示判别结果时，值机员可在阅图操作工作站上对智能判图功能判别过的图像进行修正和增加提示，并将最终人工判定后的结果发送至开包台显示终端。</w:t>
      </w:r>
    </w:p>
    <w:p w14:paraId="5ACDFA66">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3.4.</w:t>
      </w:r>
      <w:r>
        <w:rPr>
          <w:rFonts w:ascii="仿宋" w:hAnsi="仿宋" w:eastAsia="仿宋" w:cs="仿宋"/>
          <w:bCs/>
          <w:color w:val="auto"/>
          <w:sz w:val="21"/>
          <w:szCs w:val="21"/>
          <w:highlight w:val="none"/>
        </w:rPr>
        <w:t>禁带品智能识别机具备独立的图像处理单元，辅助识别时间</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200ms，小于行包传送时间，并满足判图人员的判图时间需求和操作时间需求，在包裹连续时，可自动切图识别。</w:t>
      </w:r>
    </w:p>
    <w:p w14:paraId="5373C160">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3.5.</w:t>
      </w:r>
      <w:r>
        <w:rPr>
          <w:rFonts w:ascii="仿宋" w:hAnsi="仿宋" w:eastAsia="仿宋" w:cs="仿宋"/>
          <w:bCs/>
          <w:color w:val="auto"/>
          <w:sz w:val="21"/>
          <w:szCs w:val="21"/>
          <w:highlight w:val="none"/>
        </w:rPr>
        <w:t>禁带品智能识别机可通过网络接口或VGA接口实时接收并判别X射线安全检查设备输出的辐射图片（在X射线安全检查设备和禁带品智能识别机支持接口协议互通的情况下，智能识别机通过网口获取X射线安检设备的图像信息；在双方设备没有实现接口协议互通的情况下，智能识别机可通过VGA接口获取图像进行处理，禁带品智能识别机通过安装在设备内的危险物品深度学习识别模型对X射线成像图片进行运算，如果判断出有疑似危险物品，将识别结果返回至双源双视角可调速通道式X射线安全检查设备显示。</w:t>
      </w:r>
    </w:p>
    <w:p w14:paraId="1BA63662">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3.6.</w:t>
      </w:r>
      <w:r>
        <w:rPr>
          <w:rFonts w:ascii="仿宋" w:hAnsi="仿宋" w:eastAsia="仿宋" w:cs="仿宋"/>
          <w:bCs/>
          <w:color w:val="auto"/>
          <w:sz w:val="21"/>
          <w:szCs w:val="21"/>
          <w:highlight w:val="none"/>
        </w:rPr>
        <w:t>判别过的图像与X射线安全检查装置图片同步存储，同时可检索存储图像和报警图像的历史记录。</w:t>
      </w:r>
    </w:p>
    <w:p w14:paraId="20449371">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3.7.</w:t>
      </w:r>
      <w:r>
        <w:rPr>
          <w:rFonts w:ascii="仿宋" w:hAnsi="仿宋" w:eastAsia="仿宋" w:cs="仿宋"/>
          <w:bCs/>
          <w:color w:val="auto"/>
          <w:sz w:val="21"/>
          <w:szCs w:val="21"/>
          <w:highlight w:val="none"/>
        </w:rPr>
        <w:t>可对X光机检测图像实时显示，并对管制刀具、枪支、可疑液体、烟花爆竹等禁带品自动识别，以不同颜色方框标记告警，禁带品样品包括：水果刀、陶瓷刀、折叠刀、弹簧刀、康巴藏刀、自锁刀、佩剑、手枪模拟物、步枪模拟物、瓶装发胶、瓶装打火机油、铝制保温瓶、纸盒装液体、塑料瓶装水、铁质易拉罐、手铐模拟物、手雷模拟物、烟花、电击器、甩棍。</w:t>
      </w:r>
    </w:p>
    <w:p w14:paraId="4FBABFF6">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3.8.</w:t>
      </w:r>
      <w:r>
        <w:rPr>
          <w:rFonts w:ascii="仿宋" w:hAnsi="仿宋" w:eastAsia="仿宋" w:cs="仿宋"/>
          <w:bCs/>
          <w:color w:val="auto"/>
          <w:sz w:val="21"/>
          <w:szCs w:val="21"/>
          <w:highlight w:val="none"/>
        </w:rPr>
        <w:t>在干扰物存在的条件下，对管制刀具、枪支、可疑液体、烟花爆竹等禁带品自动标识，以不同颜色方框标记告警。</w:t>
      </w:r>
    </w:p>
    <w:p w14:paraId="35250755">
      <w:pPr>
        <w:pStyle w:val="2"/>
        <w:spacing w:line="360" w:lineRule="auto"/>
        <w:contextualSpacing/>
        <w:rPr>
          <w:rFonts w:ascii="仿宋" w:hAnsi="仿宋" w:eastAsia="仿宋" w:cs="仿宋"/>
          <w:bCs/>
          <w:color w:val="auto"/>
          <w:sz w:val="21"/>
          <w:szCs w:val="21"/>
          <w:highlight w:val="none"/>
        </w:rPr>
      </w:pPr>
      <w:bookmarkStart w:id="20" w:name="OLE_LINK12"/>
      <w:r>
        <w:rPr>
          <w:rFonts w:ascii="仿宋" w:hAnsi="仿宋" w:eastAsia="仿宋" w:cs="仿宋"/>
          <w:b/>
          <w:bCs/>
          <w:color w:val="auto"/>
          <w:sz w:val="21"/>
          <w:szCs w:val="21"/>
          <w:highlight w:val="none"/>
        </w:rPr>
        <w:t>注：</w:t>
      </w:r>
      <w:r>
        <w:rPr>
          <w:rFonts w:hint="eastAsia" w:ascii="仿宋" w:hAnsi="仿宋" w:eastAsia="仿宋" w:cs="仿宋"/>
          <w:b/>
          <w:bCs/>
          <w:color w:val="auto"/>
          <w:sz w:val="21"/>
          <w:szCs w:val="21"/>
          <w:highlight w:val="none"/>
        </w:rPr>
        <w:t>需提供具备CMA资质的第三方检测报告复印件（原件备查）</w:t>
      </w:r>
      <w:bookmarkStart w:id="21" w:name="OLE_LINK22"/>
      <w:bookmarkStart w:id="22" w:name="OLE_LINK23"/>
      <w:r>
        <w:rPr>
          <w:rFonts w:hint="eastAsia" w:ascii="仿宋" w:hAnsi="仿宋" w:eastAsia="仿宋" w:cs="仿宋"/>
          <w:b/>
          <w:bCs/>
          <w:color w:val="auto"/>
          <w:sz w:val="21"/>
          <w:szCs w:val="21"/>
          <w:highlight w:val="none"/>
        </w:rPr>
        <w:t>或投标人提供相关承诺函并加盖公章</w:t>
      </w:r>
      <w:bookmarkEnd w:id="21"/>
      <w:bookmarkEnd w:id="22"/>
      <w:r>
        <w:rPr>
          <w:rFonts w:ascii="仿宋" w:hAnsi="仿宋" w:eastAsia="仿宋" w:cs="仿宋"/>
          <w:b/>
          <w:bCs/>
          <w:color w:val="auto"/>
          <w:sz w:val="21"/>
          <w:szCs w:val="21"/>
          <w:highlight w:val="none"/>
        </w:rPr>
        <w:t>。</w:t>
      </w:r>
      <w:bookmarkEnd w:id="20"/>
    </w:p>
    <w:p w14:paraId="793ED1BA">
      <w:pPr>
        <w:pStyle w:val="2"/>
        <w:spacing w:line="360" w:lineRule="auto"/>
        <w:contextualSpacing/>
        <w:rPr>
          <w:rFonts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（五）品目1-5</w:t>
      </w:r>
      <w:r>
        <w:rPr>
          <w:rFonts w:ascii="仿宋" w:hAnsi="仿宋" w:eastAsia="仿宋" w:cs="仿宋"/>
          <w:b/>
          <w:bCs/>
          <w:color w:val="auto"/>
          <w:sz w:val="21"/>
          <w:szCs w:val="21"/>
          <w:highlight w:val="none"/>
        </w:rPr>
        <w:t>金属测温安检门</w:t>
      </w:r>
    </w:p>
    <w:p w14:paraId="4AD5A634">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w:t>
      </w:r>
      <w:r>
        <w:rPr>
          <w:rFonts w:ascii="仿宋" w:hAnsi="仿宋" w:eastAsia="仿宋" w:cs="仿宋"/>
          <w:bCs/>
          <w:color w:val="auto"/>
          <w:sz w:val="21"/>
          <w:szCs w:val="21"/>
          <w:highlight w:val="none"/>
        </w:rPr>
        <w:t>数量：1</w:t>
      </w:r>
      <w:r>
        <w:rPr>
          <w:rFonts w:hint="eastAsia" w:ascii="仿宋" w:hAnsi="仿宋" w:eastAsia="仿宋" w:cs="仿宋"/>
          <w:bCs/>
          <w:color w:val="auto"/>
          <w:sz w:val="21"/>
          <w:szCs w:val="21"/>
          <w:highlight w:val="none"/>
        </w:rPr>
        <w:t>6</w:t>
      </w:r>
      <w:r>
        <w:rPr>
          <w:rFonts w:ascii="仿宋" w:hAnsi="仿宋" w:eastAsia="仿宋" w:cs="仿宋"/>
          <w:bCs/>
          <w:color w:val="auto"/>
          <w:sz w:val="21"/>
          <w:szCs w:val="21"/>
          <w:highlight w:val="none"/>
        </w:rPr>
        <w:t>台。</w:t>
      </w:r>
    </w:p>
    <w:p w14:paraId="5723BCE2">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w:t>
      </w:r>
      <w:r>
        <w:rPr>
          <w:rFonts w:ascii="仿宋" w:hAnsi="仿宋" w:eastAsia="仿宋" w:cs="仿宋"/>
          <w:bCs/>
          <w:color w:val="auto"/>
          <w:sz w:val="21"/>
          <w:szCs w:val="21"/>
          <w:highlight w:val="none"/>
        </w:rPr>
        <w:t>用途：用于行人安全检查。</w:t>
      </w:r>
    </w:p>
    <w:p w14:paraId="4E49B243">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技术参数</w:t>
      </w:r>
      <w:r>
        <w:rPr>
          <w:rFonts w:hint="eastAsia" w:ascii="仿宋" w:hAnsi="仿宋" w:eastAsia="仿宋" w:cs="仿宋"/>
          <w:bCs/>
          <w:color w:val="auto"/>
          <w:sz w:val="21"/>
          <w:szCs w:val="21"/>
          <w:highlight w:val="none"/>
        </w:rPr>
        <w:t>及要求：</w:t>
      </w:r>
    </w:p>
    <w:p w14:paraId="50EF3D10">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w:t>
      </w:r>
      <w:r>
        <w:rPr>
          <w:rFonts w:ascii="仿宋" w:hAnsi="仿宋" w:eastAsia="仿宋" w:cs="仿宋"/>
          <w:bCs/>
          <w:color w:val="auto"/>
          <w:sz w:val="21"/>
          <w:szCs w:val="21"/>
          <w:highlight w:val="none"/>
        </w:rPr>
        <w:t>设备立置外形尺寸：高</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1980mm，宽</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710mm，深度</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910mm。</w:t>
      </w:r>
    </w:p>
    <w:p w14:paraId="57687D15">
      <w:pPr>
        <w:pStyle w:val="2"/>
        <w:spacing w:line="360" w:lineRule="auto"/>
        <w:contextualSpacing/>
        <w:rPr>
          <w:rFonts w:ascii="仿宋" w:hAnsi="仿宋" w:eastAsia="仿宋" w:cs="仿宋"/>
          <w:bCs/>
          <w:color w:val="auto"/>
          <w:sz w:val="21"/>
          <w:szCs w:val="21"/>
          <w:highlight w:val="none"/>
        </w:rPr>
      </w:pPr>
      <w:r>
        <w:rPr>
          <w:rFonts w:ascii="仿宋" w:hAnsi="仿宋" w:eastAsia="仿宋" w:cs="仿宋"/>
          <w:bCs/>
          <w:color w:val="auto"/>
          <w:sz w:val="21"/>
          <w:szCs w:val="21"/>
          <w:highlight w:val="none"/>
        </w:rPr>
        <w:t>▲</w:t>
      </w:r>
      <w:r>
        <w:rPr>
          <w:rFonts w:hint="eastAsia" w:ascii="仿宋" w:hAnsi="仿宋" w:eastAsia="仿宋" w:cs="仿宋"/>
          <w:bCs/>
          <w:color w:val="auto"/>
          <w:sz w:val="21"/>
          <w:szCs w:val="21"/>
          <w:highlight w:val="none"/>
        </w:rPr>
        <w:t>3.2</w:t>
      </w:r>
      <w:r>
        <w:rPr>
          <w:rFonts w:ascii="仿宋" w:hAnsi="仿宋" w:eastAsia="仿宋" w:cs="仿宋"/>
          <w:bCs/>
          <w:color w:val="auto"/>
          <w:sz w:val="21"/>
          <w:szCs w:val="21"/>
          <w:highlight w:val="none"/>
        </w:rPr>
        <w:t>.安检门应能在电子产品探测模式、违禁品探测</w:t>
      </w:r>
      <w:r>
        <w:rPr>
          <w:rFonts w:hint="eastAsia" w:ascii="仿宋" w:hAnsi="仿宋" w:eastAsia="仿宋" w:cs="仿宋"/>
          <w:bCs/>
          <w:color w:val="auto"/>
          <w:sz w:val="21"/>
          <w:szCs w:val="21"/>
          <w:highlight w:val="none"/>
        </w:rPr>
        <w:t>模式</w:t>
      </w:r>
      <w:r>
        <w:rPr>
          <w:rFonts w:ascii="仿宋" w:hAnsi="仿宋" w:eastAsia="仿宋" w:cs="仿宋"/>
          <w:bCs/>
          <w:color w:val="auto"/>
          <w:sz w:val="21"/>
          <w:szCs w:val="21"/>
          <w:highlight w:val="none"/>
        </w:rPr>
        <w:t>、电子产品和违禁品探测模式及全金属探测模式间进行切换。</w:t>
      </w:r>
    </w:p>
    <w:p w14:paraId="3B10DC8F">
      <w:pPr>
        <w:pStyle w:val="2"/>
        <w:spacing w:line="360" w:lineRule="auto"/>
        <w:contextualSpacing/>
        <w:rPr>
          <w:rFonts w:ascii="仿宋" w:hAnsi="仿宋" w:eastAsia="仿宋" w:cs="仿宋"/>
          <w:bCs/>
          <w:color w:val="auto"/>
          <w:sz w:val="21"/>
          <w:szCs w:val="21"/>
          <w:highlight w:val="none"/>
        </w:rPr>
      </w:pPr>
      <w:r>
        <w:rPr>
          <w:rFonts w:ascii="仿宋" w:hAnsi="仿宋" w:eastAsia="仿宋" w:cs="仿宋"/>
          <w:bCs/>
          <w:color w:val="auto"/>
          <w:sz w:val="21"/>
          <w:szCs w:val="21"/>
          <w:highlight w:val="none"/>
        </w:rPr>
        <w:t>▲</w:t>
      </w:r>
      <w:r>
        <w:rPr>
          <w:rFonts w:hint="eastAsia" w:ascii="仿宋" w:hAnsi="仿宋" w:eastAsia="仿宋" w:cs="仿宋"/>
          <w:bCs/>
          <w:color w:val="auto"/>
          <w:sz w:val="21"/>
          <w:szCs w:val="21"/>
          <w:highlight w:val="none"/>
        </w:rPr>
        <w:t>3.3</w:t>
      </w:r>
      <w:r>
        <w:rPr>
          <w:rFonts w:ascii="仿宋" w:hAnsi="仿宋" w:eastAsia="仿宋" w:cs="仿宋"/>
          <w:bCs/>
          <w:color w:val="auto"/>
          <w:sz w:val="21"/>
          <w:szCs w:val="21"/>
          <w:highlight w:val="none"/>
        </w:rPr>
        <w:t>.安检门应能从低到高地调节灵敏度，灵敏度调节应</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1000个级别，总区及分区灵敏度均应可调。</w:t>
      </w:r>
    </w:p>
    <w:p w14:paraId="6EBB84A9">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3.4</w:t>
      </w:r>
      <w:r>
        <w:rPr>
          <w:rFonts w:ascii="仿宋" w:hAnsi="仿宋" w:eastAsia="仿宋" w:cs="仿宋"/>
          <w:bCs/>
          <w:color w:val="auto"/>
          <w:sz w:val="21"/>
          <w:szCs w:val="21"/>
          <w:highlight w:val="none"/>
        </w:rPr>
        <w:t>.人员以标准姿势通过安检门时，正常着装上的硬币、钥匙、金属纽扣、皮带扣等小金属及违禁品通过时均应报警并提示违禁品的藏匿位置。</w:t>
      </w:r>
    </w:p>
    <w:p w14:paraId="43422363">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3.5</w:t>
      </w:r>
      <w:r>
        <w:rPr>
          <w:rFonts w:ascii="仿宋" w:hAnsi="仿宋" w:eastAsia="仿宋" w:cs="仿宋"/>
          <w:bCs/>
          <w:color w:val="auto"/>
          <w:sz w:val="21"/>
          <w:szCs w:val="21"/>
          <w:highlight w:val="none"/>
        </w:rPr>
        <w:t>.安检门在电子产品探测模式下进行正常着装小金属误报率、电子产品探测、手机探测成功率、电子产品探测功能等项目测试时，安检门探测灵敏度应保持不变。</w:t>
      </w:r>
    </w:p>
    <w:p w14:paraId="617FF93B">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3.6</w:t>
      </w:r>
      <w:r>
        <w:rPr>
          <w:rFonts w:ascii="仿宋" w:hAnsi="仿宋" w:eastAsia="仿宋" w:cs="仿宋"/>
          <w:bCs/>
          <w:color w:val="auto"/>
          <w:sz w:val="21"/>
          <w:szCs w:val="21"/>
          <w:highlight w:val="none"/>
        </w:rPr>
        <w:t>.电子产品探测模式下，人员以标准姿势通过安检门时，正常着装上的金属纽扣、项链、一次性塑料打火机、钥匙、硬币、皮带扣、圆规、发卡等小金属通过时系统应不报警，误报率应</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5%。</w:t>
      </w:r>
    </w:p>
    <w:p w14:paraId="7E68FD15">
      <w:pPr>
        <w:pStyle w:val="2"/>
        <w:spacing w:line="360" w:lineRule="auto"/>
        <w:contextualSpacing/>
        <w:rPr>
          <w:rFonts w:ascii="仿宋" w:hAnsi="仿宋" w:eastAsia="仿宋" w:cs="仿宋"/>
          <w:bCs/>
          <w:color w:val="auto"/>
          <w:sz w:val="21"/>
          <w:szCs w:val="21"/>
          <w:highlight w:val="none"/>
        </w:rPr>
      </w:pPr>
      <w:r>
        <w:rPr>
          <w:rFonts w:ascii="仿宋" w:hAnsi="仿宋" w:eastAsia="仿宋" w:cs="仿宋"/>
          <w:bCs/>
          <w:color w:val="auto"/>
          <w:sz w:val="21"/>
          <w:szCs w:val="21"/>
          <w:highlight w:val="none"/>
        </w:rPr>
        <w:t>▲</w:t>
      </w:r>
      <w:r>
        <w:rPr>
          <w:rFonts w:hint="eastAsia" w:ascii="仿宋" w:hAnsi="仿宋" w:eastAsia="仿宋" w:cs="仿宋"/>
          <w:bCs/>
          <w:color w:val="auto"/>
          <w:sz w:val="21"/>
          <w:szCs w:val="21"/>
          <w:highlight w:val="none"/>
        </w:rPr>
        <w:t>3.7</w:t>
      </w:r>
      <w:r>
        <w:rPr>
          <w:rFonts w:ascii="仿宋" w:hAnsi="仿宋" w:eastAsia="仿宋" w:cs="仿宋"/>
          <w:bCs/>
          <w:color w:val="auto"/>
          <w:sz w:val="21"/>
          <w:szCs w:val="21"/>
          <w:highlight w:val="none"/>
        </w:rPr>
        <w:t>.人员以标准姿势通过通道内2000mm以下的有效探测区域内，人员正常着装上的金属纽扣、项链、单个一次性塑料打火机、钥匙、硬币、皮带扣、圆规、发卡等日常金属及电子产品通过时应不报警，当携带或夹刀具、金属罐体等违禁品以1m/s的速度通过探测门时，系统应有声光报警并有文字和图像提示，应能提示物品的藏匿位置。</w:t>
      </w:r>
    </w:p>
    <w:p w14:paraId="0BA2EBF4">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3.8</w:t>
      </w:r>
      <w:r>
        <w:rPr>
          <w:rFonts w:ascii="仿宋" w:hAnsi="仿宋" w:eastAsia="仿宋" w:cs="仿宋"/>
          <w:bCs/>
          <w:color w:val="auto"/>
          <w:sz w:val="21"/>
          <w:szCs w:val="21"/>
          <w:highlight w:val="none"/>
        </w:rPr>
        <w:t>.报警声音：应与非报警声有区别，且非报警时警报指示器不应产生任何声音。应能调节音调，以便能明确区别两台相邻探测门的报警。应能从静音到最大声强分档调节，距金属门0.8m处，最大声强应</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100dB。</w:t>
      </w:r>
    </w:p>
    <w:p w14:paraId="65C28764">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3.9</w:t>
      </w:r>
      <w:r>
        <w:rPr>
          <w:rFonts w:ascii="仿宋" w:hAnsi="仿宋" w:eastAsia="仿宋" w:cs="仿宋"/>
          <w:bCs/>
          <w:color w:val="auto"/>
          <w:sz w:val="21"/>
          <w:szCs w:val="21"/>
          <w:highlight w:val="none"/>
        </w:rPr>
        <w:t>.</w:t>
      </w:r>
      <w:r>
        <w:rPr>
          <w:rFonts w:hint="eastAsia" w:ascii="仿宋" w:hAnsi="仿宋" w:eastAsia="仿宋" w:cs="仿宋"/>
          <w:bCs/>
          <w:color w:val="auto"/>
          <w:sz w:val="21"/>
          <w:szCs w:val="21"/>
          <w:highlight w:val="none"/>
        </w:rPr>
        <w:t>当</w:t>
      </w:r>
      <w:r>
        <w:rPr>
          <w:rFonts w:ascii="仿宋" w:hAnsi="仿宋" w:eastAsia="仿宋" w:cs="仿宋"/>
          <w:bCs/>
          <w:color w:val="auto"/>
          <w:sz w:val="21"/>
          <w:szCs w:val="21"/>
          <w:highlight w:val="none"/>
        </w:rPr>
        <w:t>报警测试物进入探测区1s内，金属门应发出报警指示，此测试物离开探测区后报警指示延续应</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1s。</w:t>
      </w:r>
    </w:p>
    <w:p w14:paraId="3D6FC1DC">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w:t>
      </w:r>
      <w:r>
        <w:rPr>
          <w:rFonts w:hint="eastAsia" w:ascii="仿宋" w:hAnsi="仿宋" w:eastAsia="仿宋" w:cs="仿宋"/>
          <w:bCs/>
          <w:color w:val="auto"/>
          <w:sz w:val="21"/>
          <w:szCs w:val="21"/>
          <w:highlight w:val="none"/>
        </w:rPr>
        <w:t>0</w:t>
      </w:r>
      <w:r>
        <w:rPr>
          <w:rFonts w:ascii="仿宋" w:hAnsi="仿宋" w:eastAsia="仿宋" w:cs="仿宋"/>
          <w:bCs/>
          <w:color w:val="auto"/>
          <w:sz w:val="21"/>
          <w:szCs w:val="21"/>
          <w:highlight w:val="none"/>
        </w:rPr>
        <w:t>.金属门应能记录有效受检人数和发生过报警的人次，并能复位清零。</w:t>
      </w:r>
    </w:p>
    <w:p w14:paraId="62580CAE">
      <w:pPr>
        <w:pStyle w:val="2"/>
        <w:spacing w:line="360" w:lineRule="auto"/>
        <w:contextualSpacing/>
        <w:rPr>
          <w:rFonts w:ascii="仿宋" w:hAnsi="仿宋" w:eastAsia="仿宋" w:cs="仿宋"/>
          <w:bCs/>
          <w:color w:val="auto"/>
          <w:sz w:val="21"/>
          <w:szCs w:val="21"/>
          <w:highlight w:val="none"/>
        </w:rPr>
      </w:pPr>
      <w:r>
        <w:rPr>
          <w:rFonts w:ascii="仿宋" w:hAnsi="仿宋" w:eastAsia="仿宋" w:cs="仿宋"/>
          <w:bCs/>
          <w:color w:val="auto"/>
          <w:sz w:val="21"/>
          <w:szCs w:val="21"/>
          <w:highlight w:val="none"/>
        </w:rPr>
        <w:t>▲</w:t>
      </w: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w:t>
      </w:r>
      <w:r>
        <w:rPr>
          <w:rFonts w:hint="eastAsia" w:ascii="仿宋" w:hAnsi="仿宋" w:eastAsia="仿宋" w:cs="仿宋"/>
          <w:bCs/>
          <w:color w:val="auto"/>
          <w:sz w:val="21"/>
          <w:szCs w:val="21"/>
          <w:highlight w:val="none"/>
        </w:rPr>
        <w:t>1</w:t>
      </w:r>
      <w:r>
        <w:rPr>
          <w:rFonts w:ascii="仿宋" w:hAnsi="仿宋" w:eastAsia="仿宋" w:cs="仿宋"/>
          <w:bCs/>
          <w:color w:val="auto"/>
          <w:sz w:val="21"/>
          <w:szCs w:val="21"/>
          <w:highlight w:val="none"/>
        </w:rPr>
        <w:t>.在探测区左右边界各向内150mm的区域中，任意一点的磁感应强度均应</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12μT。</w:t>
      </w:r>
    </w:p>
    <w:p w14:paraId="2DCE2074">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w:t>
      </w:r>
      <w:r>
        <w:rPr>
          <w:rFonts w:hint="eastAsia" w:ascii="仿宋" w:hAnsi="仿宋" w:eastAsia="仿宋" w:cs="仿宋"/>
          <w:bCs/>
          <w:color w:val="auto"/>
          <w:sz w:val="21"/>
          <w:szCs w:val="21"/>
          <w:highlight w:val="none"/>
        </w:rPr>
        <w:t>2</w:t>
      </w:r>
      <w:r>
        <w:rPr>
          <w:rFonts w:ascii="仿宋" w:hAnsi="仿宋" w:eastAsia="仿宋" w:cs="仿宋"/>
          <w:bCs/>
          <w:color w:val="auto"/>
          <w:sz w:val="21"/>
          <w:szCs w:val="21"/>
          <w:highlight w:val="none"/>
        </w:rPr>
        <w:t>.抗周围静止金属物影响：金属门探测性能应不受门体四周10cm范围以外的大静止金属物体的影响。抗地面内部金属结构影响：金属探测门性能应不受地面0.1m以下的金属结构的影响。</w:t>
      </w:r>
    </w:p>
    <w:p w14:paraId="3F9330C3">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w:t>
      </w: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.金属门不应对门体四周1.5m范围以外的运动金属物产生报警信号。</w:t>
      </w:r>
    </w:p>
    <w:p w14:paraId="6EC36D5A">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w:t>
      </w:r>
      <w:r>
        <w:rPr>
          <w:rFonts w:hint="eastAsia" w:ascii="仿宋" w:hAnsi="仿宋" w:eastAsia="仿宋" w:cs="仿宋"/>
          <w:bCs/>
          <w:color w:val="auto"/>
          <w:sz w:val="21"/>
          <w:szCs w:val="21"/>
          <w:highlight w:val="none"/>
        </w:rPr>
        <w:t>4</w:t>
      </w:r>
      <w:r>
        <w:rPr>
          <w:rFonts w:ascii="仿宋" w:hAnsi="仿宋" w:eastAsia="仿宋" w:cs="仿宋"/>
          <w:bCs/>
          <w:color w:val="auto"/>
          <w:sz w:val="21"/>
          <w:szCs w:val="21"/>
          <w:highlight w:val="none"/>
        </w:rPr>
        <w:t>.泄漏电流：正弦波：</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0.5mA,非正弦波</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0.5mA。</w:t>
      </w:r>
    </w:p>
    <w:p w14:paraId="18C8F871">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w:t>
      </w:r>
      <w:r>
        <w:rPr>
          <w:rFonts w:hint="eastAsia" w:ascii="仿宋" w:hAnsi="仿宋" w:eastAsia="仿宋" w:cs="仿宋"/>
          <w:bCs/>
          <w:color w:val="auto"/>
          <w:sz w:val="21"/>
          <w:szCs w:val="21"/>
          <w:highlight w:val="none"/>
        </w:rPr>
        <w:t>5</w:t>
      </w:r>
      <w:r>
        <w:rPr>
          <w:rFonts w:ascii="仿宋" w:hAnsi="仿宋" w:eastAsia="仿宋" w:cs="仿宋"/>
          <w:bCs/>
          <w:color w:val="auto"/>
          <w:sz w:val="21"/>
          <w:szCs w:val="21"/>
          <w:highlight w:val="none"/>
        </w:rPr>
        <w:t>.绝缘电阻：正常条件：</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400MΩ,潮热条件：</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400MΩ。</w:t>
      </w:r>
    </w:p>
    <w:p w14:paraId="4506A944">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w:t>
      </w:r>
      <w:r>
        <w:rPr>
          <w:rFonts w:hint="eastAsia" w:ascii="仿宋" w:hAnsi="仿宋" w:eastAsia="仿宋" w:cs="仿宋"/>
          <w:bCs/>
          <w:color w:val="auto"/>
          <w:sz w:val="21"/>
          <w:szCs w:val="21"/>
          <w:highlight w:val="none"/>
        </w:rPr>
        <w:t>6</w:t>
      </w:r>
      <w:r>
        <w:rPr>
          <w:rFonts w:ascii="仿宋" w:hAnsi="仿宋" w:eastAsia="仿宋" w:cs="仿宋"/>
          <w:bCs/>
          <w:color w:val="auto"/>
          <w:sz w:val="21"/>
          <w:szCs w:val="21"/>
          <w:highlight w:val="none"/>
        </w:rPr>
        <w:t>.在探测区域内，安检门应能对通行速度为0.2m/s～2.0m/s的应报警测试物正确响应并报警，试验100次，探测率应</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95%。</w:t>
      </w:r>
    </w:p>
    <w:p w14:paraId="12AA0C54">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w:t>
      </w:r>
      <w:r>
        <w:rPr>
          <w:rFonts w:hint="eastAsia" w:ascii="仿宋" w:hAnsi="仿宋" w:eastAsia="仿宋" w:cs="仿宋"/>
          <w:bCs/>
          <w:color w:val="auto"/>
          <w:sz w:val="21"/>
          <w:szCs w:val="21"/>
          <w:highlight w:val="none"/>
        </w:rPr>
        <w:t>7</w:t>
      </w:r>
      <w:r>
        <w:rPr>
          <w:rFonts w:ascii="仿宋" w:hAnsi="仿宋" w:eastAsia="仿宋" w:cs="仿宋"/>
          <w:bCs/>
          <w:color w:val="auto"/>
          <w:sz w:val="21"/>
          <w:szCs w:val="21"/>
          <w:highlight w:val="none"/>
        </w:rPr>
        <w:t>.抗相互干扰：以0.1m外沿间距并排安置多台安检门时，各安检门均应能正常工作。</w:t>
      </w:r>
    </w:p>
    <w:p w14:paraId="6A13B1A3">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w:t>
      </w:r>
      <w:r>
        <w:rPr>
          <w:rFonts w:hint="eastAsia" w:ascii="仿宋" w:hAnsi="仿宋" w:eastAsia="仿宋" w:cs="仿宋"/>
          <w:bCs/>
          <w:color w:val="auto"/>
          <w:sz w:val="21"/>
          <w:szCs w:val="21"/>
          <w:highlight w:val="none"/>
        </w:rPr>
        <w:t>8</w:t>
      </w:r>
      <w:r>
        <w:rPr>
          <w:rFonts w:ascii="仿宋" w:hAnsi="仿宋" w:eastAsia="仿宋" w:cs="仿宋"/>
          <w:bCs/>
          <w:color w:val="auto"/>
          <w:sz w:val="21"/>
          <w:szCs w:val="21"/>
          <w:highlight w:val="none"/>
        </w:rPr>
        <w:t>.安检门应配有高清摄像头，摄像头分辨率应可至少设置为1920</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1080。应能抓拍每个通过人员的照片。应能通过网络实时将人脸信息传送至中心平台管理系统，存储空间快满时，系统应自动清除陈旧数据，确保数据存储的容量。</w:t>
      </w:r>
    </w:p>
    <w:p w14:paraId="45A1DACC">
      <w:pPr>
        <w:pStyle w:val="2"/>
        <w:spacing w:line="360" w:lineRule="auto"/>
        <w:contextualSpacing/>
        <w:rPr>
          <w:rFonts w:ascii="仿宋" w:hAnsi="仿宋" w:eastAsia="仿宋" w:cs="仿宋"/>
          <w:bCs/>
          <w:color w:val="auto"/>
          <w:sz w:val="21"/>
          <w:szCs w:val="21"/>
          <w:highlight w:val="none"/>
        </w:rPr>
      </w:pPr>
      <w:r>
        <w:rPr>
          <w:rFonts w:ascii="仿宋" w:hAnsi="仿宋" w:eastAsia="仿宋" w:cs="仿宋"/>
          <w:bCs/>
          <w:color w:val="auto"/>
          <w:sz w:val="21"/>
          <w:szCs w:val="21"/>
          <w:highlight w:val="none"/>
        </w:rPr>
        <w:t>▲</w:t>
      </w:r>
      <w:r>
        <w:rPr>
          <w:rFonts w:hint="eastAsia" w:ascii="仿宋" w:hAnsi="仿宋" w:eastAsia="仿宋" w:cs="仿宋"/>
          <w:bCs/>
          <w:color w:val="auto"/>
          <w:sz w:val="21"/>
          <w:szCs w:val="21"/>
          <w:highlight w:val="none"/>
        </w:rPr>
        <w:t>3.19</w:t>
      </w:r>
      <w:r>
        <w:rPr>
          <w:rFonts w:ascii="仿宋" w:hAnsi="仿宋" w:eastAsia="仿宋" w:cs="仿宋"/>
          <w:bCs/>
          <w:color w:val="auto"/>
          <w:sz w:val="21"/>
          <w:szCs w:val="21"/>
          <w:highlight w:val="none"/>
        </w:rPr>
        <w:t>.安检门应配有机箱，应配备2个</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29寸液晶显示屏。屏幕对角线长度应</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73cm,应可进行设备调试、参数设置，应可显示报警物品的种类、区位、通过人数、报警人数、报警抓拍照片、体温筛查结果、人脸核验结果等信息，显示屏应支持自定义信息发布，支持通过客户端自主编辑和下发图片、视频、滚动字幕、PDF文档、网页、实时画面等，支持远程网络客户端或本地U盘更新内容。</w:t>
      </w:r>
    </w:p>
    <w:p w14:paraId="2CC7F486">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2</w:t>
      </w:r>
      <w:r>
        <w:rPr>
          <w:rFonts w:hint="eastAsia" w:ascii="仿宋" w:hAnsi="仿宋" w:eastAsia="仿宋" w:cs="仿宋"/>
          <w:bCs/>
          <w:color w:val="auto"/>
          <w:sz w:val="21"/>
          <w:szCs w:val="21"/>
          <w:highlight w:val="none"/>
        </w:rPr>
        <w:t>0</w:t>
      </w:r>
      <w:r>
        <w:rPr>
          <w:rFonts w:ascii="仿宋" w:hAnsi="仿宋" w:eastAsia="仿宋" w:cs="仿宋"/>
          <w:bCs/>
          <w:color w:val="auto"/>
          <w:sz w:val="21"/>
          <w:szCs w:val="21"/>
          <w:highlight w:val="none"/>
        </w:rPr>
        <w:t>.设备应支持黑白名单管理功能，当采集到的人脸信息与事先录入的黑白名单一致时，系统应能报警或放行，应有语音提示，并将信息上传至中心平台管理系统。</w:t>
      </w:r>
    </w:p>
    <w:p w14:paraId="26559BF2">
      <w:pPr>
        <w:pStyle w:val="2"/>
        <w:spacing w:line="360" w:lineRule="auto"/>
        <w:contextualSpacing/>
        <w:rPr>
          <w:rFonts w:ascii="仿宋" w:hAnsi="仿宋" w:eastAsia="仿宋" w:cs="仿宋"/>
          <w:bCs/>
          <w:color w:val="auto"/>
          <w:sz w:val="21"/>
          <w:szCs w:val="21"/>
          <w:highlight w:val="none"/>
        </w:rPr>
      </w:pPr>
      <w:r>
        <w:rPr>
          <w:rFonts w:ascii="仿宋" w:hAnsi="仿宋" w:eastAsia="仿宋" w:cs="仿宋"/>
          <w:bCs/>
          <w:color w:val="auto"/>
          <w:sz w:val="21"/>
          <w:szCs w:val="21"/>
          <w:highlight w:val="none"/>
        </w:rPr>
        <w:t>▲</w:t>
      </w: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2</w:t>
      </w:r>
      <w:r>
        <w:rPr>
          <w:rFonts w:hint="eastAsia" w:ascii="仿宋" w:hAnsi="仿宋" w:eastAsia="仿宋" w:cs="仿宋"/>
          <w:bCs/>
          <w:color w:val="auto"/>
          <w:sz w:val="21"/>
          <w:szCs w:val="21"/>
          <w:highlight w:val="none"/>
        </w:rPr>
        <w:t>1</w:t>
      </w:r>
      <w:r>
        <w:rPr>
          <w:rFonts w:ascii="仿宋" w:hAnsi="仿宋" w:eastAsia="仿宋" w:cs="仿宋"/>
          <w:bCs/>
          <w:color w:val="auto"/>
          <w:sz w:val="21"/>
          <w:szCs w:val="21"/>
          <w:highlight w:val="none"/>
        </w:rPr>
        <w:t>.安检门应配有热成像摄像头，应能设置报警阈值，当测到通过人员的温度超过预先设定的报警阈值时，系统应有声光及语音报警。</w:t>
      </w:r>
    </w:p>
    <w:p w14:paraId="3809FD38">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2</w:t>
      </w:r>
      <w:r>
        <w:rPr>
          <w:rFonts w:hint="eastAsia" w:ascii="仿宋" w:hAnsi="仿宋" w:eastAsia="仿宋" w:cs="仿宋"/>
          <w:bCs/>
          <w:color w:val="auto"/>
          <w:sz w:val="21"/>
          <w:szCs w:val="21"/>
          <w:highlight w:val="none"/>
        </w:rPr>
        <w:t>2</w:t>
      </w:r>
      <w:r>
        <w:rPr>
          <w:rFonts w:ascii="仿宋" w:hAnsi="仿宋" w:eastAsia="仿宋" w:cs="仿宋"/>
          <w:bCs/>
          <w:color w:val="auto"/>
          <w:sz w:val="21"/>
          <w:szCs w:val="21"/>
          <w:highlight w:val="none"/>
        </w:rPr>
        <w:t>.安检门应具有飞物报警功能，在飞物探测模式下，以5角硬币为测试物，抛过门板内侧30cm范围内的探测区，安检门应报警，试验100次，准确率应</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95%。</w:t>
      </w:r>
    </w:p>
    <w:p w14:paraId="5E265F18">
      <w:pPr>
        <w:pStyle w:val="2"/>
        <w:spacing w:line="360" w:lineRule="auto"/>
        <w:contextualSpacing/>
        <w:rPr>
          <w:rFonts w:ascii="仿宋" w:hAnsi="仿宋" w:eastAsia="仿宋" w:cs="仿宋"/>
          <w:bCs/>
          <w:color w:val="auto"/>
          <w:sz w:val="21"/>
          <w:szCs w:val="21"/>
          <w:highlight w:val="none"/>
        </w:rPr>
      </w:pPr>
      <w:r>
        <w:rPr>
          <w:rFonts w:ascii="仿宋" w:hAnsi="仿宋" w:eastAsia="仿宋" w:cs="仿宋"/>
          <w:bCs/>
          <w:color w:val="auto"/>
          <w:sz w:val="21"/>
          <w:szCs w:val="21"/>
          <w:highlight w:val="none"/>
        </w:rPr>
        <w:t>▲</w:t>
      </w: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2</w:t>
      </w: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.报警多区位提示功能：根据违禁品藏匿位置，安检门3D人形图像区应有</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30个报警区位提示。</w:t>
      </w:r>
    </w:p>
    <w:p w14:paraId="0AB4D033">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2</w:t>
      </w:r>
      <w:r>
        <w:rPr>
          <w:rFonts w:hint="eastAsia" w:ascii="仿宋" w:hAnsi="仿宋" w:eastAsia="仿宋" w:cs="仿宋"/>
          <w:bCs/>
          <w:color w:val="auto"/>
          <w:sz w:val="21"/>
          <w:szCs w:val="21"/>
          <w:highlight w:val="none"/>
        </w:rPr>
        <w:t>4</w:t>
      </w:r>
      <w:r>
        <w:rPr>
          <w:rFonts w:ascii="仿宋" w:hAnsi="仿宋" w:eastAsia="仿宋" w:cs="仿宋"/>
          <w:bCs/>
          <w:color w:val="auto"/>
          <w:sz w:val="21"/>
          <w:szCs w:val="21"/>
          <w:highlight w:val="none"/>
        </w:rPr>
        <w:t>.每台安检门配套3把手持式金属探测器。</w:t>
      </w:r>
    </w:p>
    <w:p w14:paraId="099C6200">
      <w:pPr>
        <w:pStyle w:val="2"/>
        <w:spacing w:line="360" w:lineRule="auto"/>
        <w:contextualSpacing/>
        <w:rPr>
          <w:rFonts w:ascii="仿宋" w:hAnsi="仿宋" w:eastAsia="仿宋" w:cs="仿宋"/>
          <w:bCs/>
          <w:color w:val="auto"/>
          <w:sz w:val="21"/>
          <w:szCs w:val="21"/>
          <w:highlight w:val="none"/>
        </w:rPr>
      </w:pPr>
      <w:r>
        <w:rPr>
          <w:rFonts w:ascii="仿宋" w:hAnsi="仿宋" w:eastAsia="仿宋" w:cs="仿宋"/>
          <w:b/>
          <w:bCs/>
          <w:color w:val="auto"/>
          <w:sz w:val="21"/>
          <w:szCs w:val="21"/>
          <w:highlight w:val="none"/>
        </w:rPr>
        <w:t>注：</w:t>
      </w:r>
      <w:r>
        <w:rPr>
          <w:rFonts w:hint="eastAsia" w:ascii="仿宋" w:hAnsi="仿宋" w:eastAsia="仿宋" w:cs="仿宋"/>
          <w:b/>
          <w:bCs/>
          <w:color w:val="auto"/>
          <w:sz w:val="21"/>
          <w:szCs w:val="21"/>
          <w:highlight w:val="none"/>
        </w:rPr>
        <w:t>以上▲号条款需提供具备CMA资质的第三方检测报告复印件作为证明材料（原件备查），否则视作不满足</w:t>
      </w:r>
      <w:r>
        <w:rPr>
          <w:rFonts w:ascii="仿宋" w:hAnsi="仿宋" w:eastAsia="仿宋" w:cs="仿宋"/>
          <w:bCs/>
          <w:color w:val="auto"/>
          <w:sz w:val="21"/>
          <w:szCs w:val="21"/>
          <w:highlight w:val="none"/>
        </w:rPr>
        <w:t>。</w:t>
      </w:r>
    </w:p>
    <w:p w14:paraId="02CF3D01">
      <w:pPr>
        <w:pStyle w:val="2"/>
        <w:spacing w:line="360" w:lineRule="auto"/>
        <w:contextualSpacing/>
        <w:rPr>
          <w:rFonts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（六）品目1-6</w:t>
      </w:r>
      <w:r>
        <w:rPr>
          <w:rFonts w:ascii="仿宋" w:hAnsi="仿宋" w:eastAsia="仿宋" w:cs="仿宋"/>
          <w:b/>
          <w:bCs/>
          <w:color w:val="auto"/>
          <w:sz w:val="21"/>
          <w:szCs w:val="21"/>
          <w:highlight w:val="none"/>
        </w:rPr>
        <w:t>台式液体检测仪</w:t>
      </w:r>
    </w:p>
    <w:p w14:paraId="6387775D">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w:t>
      </w:r>
      <w:r>
        <w:rPr>
          <w:rFonts w:ascii="仿宋" w:hAnsi="仿宋" w:eastAsia="仿宋" w:cs="仿宋"/>
          <w:bCs/>
          <w:color w:val="auto"/>
          <w:sz w:val="21"/>
          <w:szCs w:val="21"/>
          <w:highlight w:val="none"/>
        </w:rPr>
        <w:t>数量：1</w:t>
      </w:r>
      <w:r>
        <w:rPr>
          <w:rFonts w:hint="eastAsia" w:ascii="仿宋" w:hAnsi="仿宋" w:eastAsia="仿宋" w:cs="仿宋"/>
          <w:bCs/>
          <w:color w:val="auto"/>
          <w:sz w:val="21"/>
          <w:szCs w:val="21"/>
          <w:highlight w:val="none"/>
        </w:rPr>
        <w:t>4</w:t>
      </w:r>
      <w:r>
        <w:rPr>
          <w:rFonts w:ascii="仿宋" w:hAnsi="仿宋" w:eastAsia="仿宋" w:cs="仿宋"/>
          <w:bCs/>
          <w:color w:val="auto"/>
          <w:sz w:val="21"/>
          <w:szCs w:val="21"/>
          <w:highlight w:val="none"/>
        </w:rPr>
        <w:t>台。</w:t>
      </w:r>
    </w:p>
    <w:p w14:paraId="32F98E16">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w:t>
      </w:r>
      <w:r>
        <w:rPr>
          <w:rFonts w:ascii="仿宋" w:hAnsi="仿宋" w:eastAsia="仿宋" w:cs="仿宋"/>
          <w:bCs/>
          <w:color w:val="auto"/>
          <w:sz w:val="21"/>
          <w:szCs w:val="21"/>
          <w:highlight w:val="none"/>
        </w:rPr>
        <w:t>用途：用于</w:t>
      </w:r>
      <w:r>
        <w:rPr>
          <w:rFonts w:hint="eastAsia" w:ascii="仿宋" w:hAnsi="仿宋" w:eastAsia="仿宋" w:cs="仿宋"/>
          <w:bCs/>
          <w:color w:val="auto"/>
          <w:sz w:val="21"/>
          <w:szCs w:val="21"/>
          <w:highlight w:val="none"/>
        </w:rPr>
        <w:t>随身液体</w:t>
      </w:r>
      <w:r>
        <w:rPr>
          <w:rFonts w:ascii="仿宋" w:hAnsi="仿宋" w:eastAsia="仿宋" w:cs="仿宋"/>
          <w:bCs/>
          <w:color w:val="auto"/>
          <w:sz w:val="21"/>
          <w:szCs w:val="21"/>
          <w:highlight w:val="none"/>
        </w:rPr>
        <w:t>安全检查。</w:t>
      </w:r>
    </w:p>
    <w:p w14:paraId="56027822">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技术参数</w:t>
      </w:r>
      <w:r>
        <w:rPr>
          <w:rFonts w:hint="eastAsia" w:ascii="仿宋" w:hAnsi="仿宋" w:eastAsia="仿宋" w:cs="仿宋"/>
          <w:bCs/>
          <w:color w:val="auto"/>
          <w:sz w:val="21"/>
          <w:szCs w:val="21"/>
          <w:highlight w:val="none"/>
        </w:rPr>
        <w:t>及要求：</w:t>
      </w:r>
    </w:p>
    <w:p w14:paraId="4285F9BB">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w:t>
      </w:r>
      <w:r>
        <w:rPr>
          <w:rFonts w:ascii="仿宋" w:hAnsi="仿宋" w:eastAsia="仿宋" w:cs="仿宋"/>
          <w:bCs/>
          <w:color w:val="auto"/>
          <w:sz w:val="21"/>
          <w:szCs w:val="21"/>
          <w:highlight w:val="none"/>
        </w:rPr>
        <w:t>外观：仪器外观应完好，表面应平整光滑、色泽均匀，无明显机械损伤，镀层不应有起泡、损坏，金属件应无锈蚀，塑料件应无起泡、开裂；设备</w:t>
      </w:r>
      <w:r>
        <w:rPr>
          <w:rFonts w:hint="eastAsia" w:ascii="仿宋" w:hAnsi="仿宋" w:eastAsia="仿宋" w:cs="仿宋"/>
          <w:bCs/>
          <w:color w:val="auto"/>
          <w:sz w:val="21"/>
          <w:szCs w:val="21"/>
          <w:highlight w:val="none"/>
        </w:rPr>
        <w:t>被</w:t>
      </w:r>
      <w:r>
        <w:rPr>
          <w:rFonts w:ascii="仿宋" w:hAnsi="仿宋" w:eastAsia="仿宋" w:cs="仿宋"/>
          <w:bCs/>
          <w:color w:val="auto"/>
          <w:sz w:val="21"/>
          <w:szCs w:val="21"/>
          <w:highlight w:val="none"/>
        </w:rPr>
        <w:t>检液态物品放置位置应有明确指示；设备标记、字迹应清晰。</w:t>
      </w:r>
    </w:p>
    <w:p w14:paraId="6325D144">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3.2.</w:t>
      </w:r>
      <w:r>
        <w:rPr>
          <w:rFonts w:ascii="仿宋" w:hAnsi="仿宋" w:eastAsia="仿宋" w:cs="仿宋"/>
          <w:bCs/>
          <w:color w:val="auto"/>
          <w:sz w:val="21"/>
          <w:szCs w:val="21"/>
          <w:highlight w:val="none"/>
        </w:rPr>
        <w:t>标识：仪器应有产品标识，标识内容</w:t>
      </w:r>
      <w:r>
        <w:rPr>
          <w:rFonts w:hint="eastAsia" w:ascii="仿宋" w:hAnsi="仿宋" w:eastAsia="仿宋" w:cs="仿宋"/>
          <w:bCs/>
          <w:color w:val="auto"/>
          <w:sz w:val="21"/>
          <w:szCs w:val="21"/>
          <w:highlight w:val="none"/>
        </w:rPr>
        <w:t>至少</w:t>
      </w:r>
      <w:r>
        <w:rPr>
          <w:rFonts w:ascii="仿宋" w:hAnsi="仿宋" w:eastAsia="仿宋" w:cs="仿宋"/>
          <w:bCs/>
          <w:color w:val="auto"/>
          <w:sz w:val="21"/>
          <w:szCs w:val="21"/>
          <w:highlight w:val="none"/>
        </w:rPr>
        <w:t>应包括制造商</w:t>
      </w:r>
      <w:r>
        <w:rPr>
          <w:rFonts w:hint="eastAsia" w:ascii="仿宋" w:hAnsi="仿宋" w:eastAsia="仿宋" w:cs="仿宋"/>
          <w:bCs/>
          <w:color w:val="auto"/>
          <w:sz w:val="21"/>
          <w:szCs w:val="21"/>
          <w:highlight w:val="none"/>
        </w:rPr>
        <w:t>名称和</w:t>
      </w:r>
      <w:r>
        <w:rPr>
          <w:rFonts w:ascii="仿宋" w:hAnsi="仿宋" w:eastAsia="仿宋" w:cs="仿宋"/>
          <w:bCs/>
          <w:color w:val="auto"/>
          <w:sz w:val="21"/>
          <w:szCs w:val="21"/>
          <w:highlight w:val="none"/>
        </w:rPr>
        <w:t>商标、产品名称和型号</w:t>
      </w:r>
      <w:r>
        <w:rPr>
          <w:rFonts w:hint="eastAsia" w:ascii="仿宋" w:hAnsi="仿宋" w:eastAsia="仿宋" w:cs="仿宋"/>
          <w:bCs/>
          <w:color w:val="auto"/>
          <w:sz w:val="21"/>
          <w:szCs w:val="21"/>
          <w:highlight w:val="none"/>
        </w:rPr>
        <w:t>等</w:t>
      </w:r>
      <w:r>
        <w:rPr>
          <w:rFonts w:ascii="仿宋" w:hAnsi="仿宋" w:eastAsia="仿宋" w:cs="仿宋"/>
          <w:bCs/>
          <w:color w:val="auto"/>
          <w:sz w:val="21"/>
          <w:szCs w:val="21"/>
          <w:highlight w:val="none"/>
        </w:rPr>
        <w:t>。</w:t>
      </w:r>
    </w:p>
    <w:p w14:paraId="3D47652E">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3.人机界面：安全检查仪的人机界面应提供全中文或图形方式，自带光源，使用人员应可通过界面对设备设置（音量、WIFI设置、IP设置、日期时间）进行调节。</w:t>
      </w:r>
    </w:p>
    <w:p w14:paraId="7C82BFE5">
      <w:pPr>
        <w:pStyle w:val="2"/>
        <w:spacing w:line="360" w:lineRule="auto"/>
        <w:contextualSpacing/>
        <w:rPr>
          <w:rFonts w:ascii="仿宋" w:hAnsi="仿宋" w:eastAsia="仿宋" w:cs="仿宋"/>
          <w:bCs/>
          <w:color w:val="auto"/>
          <w:sz w:val="21"/>
          <w:szCs w:val="21"/>
          <w:highlight w:val="none"/>
        </w:rPr>
      </w:pPr>
      <w:r>
        <w:rPr>
          <w:rFonts w:ascii="仿宋" w:hAnsi="仿宋" w:eastAsia="仿宋" w:cs="仿宋"/>
          <w:bCs/>
          <w:color w:val="auto"/>
          <w:sz w:val="21"/>
          <w:szCs w:val="21"/>
          <w:highlight w:val="none"/>
        </w:rPr>
        <w:t>▲</w:t>
      </w: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4.检查方式：应为非接触式检查方式。</w:t>
      </w:r>
    </w:p>
    <w:p w14:paraId="4E5BBBB2">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5.液态物品检查：对符合容器材质和容器壁厚要求的容器内的液态物品进行检查，当检查到水、牛奶、非酒精饮料等非危险液态物品时，给出安全提示。当检查到汽油、柴油、乙醇等液态危险化学品时，给出报警提示。</w:t>
      </w:r>
    </w:p>
    <w:p w14:paraId="6DDE0D8C">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6.报警提示功能：设备应具备声、光或文字等报警提示方式。</w:t>
      </w:r>
    </w:p>
    <w:p w14:paraId="4F630D45">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7.自动报警功能：当检测到危险液体时，设备应能自动报警。</w:t>
      </w:r>
    </w:p>
    <w:p w14:paraId="677E78A8">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8.灵敏度调节功能：设备的灵敏度能根据要求进行调节。</w:t>
      </w:r>
    </w:p>
    <w:p w14:paraId="31670C3D">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9.通信接口：设备应具备RS232串口、USB、以太网及WiFi通信接口，并支持数据传输。</w:t>
      </w:r>
    </w:p>
    <w:p w14:paraId="432A9111">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10.数据导出功能：设备应支持通过有线或无线通信方式导出存储数据。</w:t>
      </w:r>
    </w:p>
    <w:p w14:paraId="69E0A0B8">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11.打印功能：设备支持内置或外接打印终端打印凭条标签。标签信息应至少包括检查时间、检查结果。</w:t>
      </w:r>
    </w:p>
    <w:p w14:paraId="65EE6881">
      <w:pPr>
        <w:pStyle w:val="2"/>
        <w:spacing w:line="360" w:lineRule="auto"/>
        <w:contextualSpacing/>
        <w:rPr>
          <w:rFonts w:ascii="仿宋" w:hAnsi="仿宋" w:eastAsia="仿宋" w:cs="仿宋"/>
          <w:bCs/>
          <w:color w:val="auto"/>
          <w:sz w:val="21"/>
          <w:szCs w:val="21"/>
          <w:highlight w:val="none"/>
        </w:rPr>
      </w:pPr>
      <w:r>
        <w:rPr>
          <w:rFonts w:ascii="仿宋" w:hAnsi="仿宋" w:eastAsia="仿宋" w:cs="仿宋"/>
          <w:bCs/>
          <w:color w:val="auto"/>
          <w:sz w:val="21"/>
          <w:szCs w:val="21"/>
          <w:highlight w:val="none"/>
        </w:rPr>
        <w:t>▲</w:t>
      </w: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12.开机</w:t>
      </w:r>
      <w:r>
        <w:rPr>
          <w:rFonts w:hint="eastAsia" w:ascii="仿宋" w:hAnsi="仿宋" w:eastAsia="仿宋" w:cs="仿宋"/>
          <w:bCs/>
          <w:color w:val="auto"/>
          <w:sz w:val="21"/>
          <w:szCs w:val="21"/>
          <w:highlight w:val="none"/>
        </w:rPr>
        <w:t>启动</w:t>
      </w:r>
      <w:r>
        <w:rPr>
          <w:rFonts w:ascii="仿宋" w:hAnsi="仿宋" w:eastAsia="仿宋" w:cs="仿宋"/>
          <w:bCs/>
          <w:color w:val="auto"/>
          <w:sz w:val="21"/>
          <w:szCs w:val="21"/>
          <w:highlight w:val="none"/>
        </w:rPr>
        <w:t>时间：</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6s。</w:t>
      </w:r>
    </w:p>
    <w:p w14:paraId="136C551F">
      <w:pPr>
        <w:pStyle w:val="2"/>
        <w:spacing w:line="360" w:lineRule="auto"/>
        <w:contextualSpacing/>
        <w:rPr>
          <w:rFonts w:ascii="仿宋" w:hAnsi="仿宋" w:eastAsia="仿宋" w:cs="仿宋"/>
          <w:bCs/>
          <w:color w:val="auto"/>
          <w:sz w:val="21"/>
          <w:szCs w:val="21"/>
          <w:highlight w:val="none"/>
        </w:rPr>
      </w:pPr>
      <w:r>
        <w:rPr>
          <w:rFonts w:ascii="仿宋" w:hAnsi="仿宋" w:eastAsia="仿宋" w:cs="仿宋"/>
          <w:bCs/>
          <w:color w:val="auto"/>
          <w:sz w:val="21"/>
          <w:szCs w:val="21"/>
          <w:highlight w:val="none"/>
        </w:rPr>
        <w:t>▲</w:t>
      </w: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13.检测危险品种类包括：设备应能对符合材质及壁厚要求的容器内的以下易燃易爆液体检测并报警，Ⅲ级安全检查仪对符合材质及壁厚要求的容器内的液态物品进行检查，在报警率</w:t>
      </w:r>
      <w:r>
        <w:rPr>
          <w:rFonts w:hint="eastAsia" w:ascii="仿宋" w:hAnsi="仿宋" w:eastAsia="仿宋" w:cs="仿宋"/>
          <w:bCs/>
          <w:color w:val="auto"/>
          <w:sz w:val="21"/>
          <w:szCs w:val="21"/>
          <w:highlight w:val="none"/>
        </w:rPr>
        <w:t>95</w:t>
      </w:r>
      <w:r>
        <w:rPr>
          <w:rFonts w:ascii="仿宋" w:hAnsi="仿宋" w:eastAsia="仿宋" w:cs="仿宋"/>
          <w:bCs/>
          <w:color w:val="auto"/>
          <w:sz w:val="21"/>
          <w:szCs w:val="21"/>
          <w:highlight w:val="none"/>
        </w:rPr>
        <w:t>%的前提下，</w:t>
      </w:r>
      <w:r>
        <w:rPr>
          <w:rFonts w:hint="eastAsia" w:ascii="仿宋" w:hAnsi="仿宋" w:eastAsia="仿宋" w:cs="仿宋"/>
          <w:bCs/>
          <w:color w:val="auto"/>
          <w:sz w:val="21"/>
          <w:szCs w:val="21"/>
          <w:highlight w:val="none"/>
        </w:rPr>
        <w:t>能检出</w:t>
      </w:r>
      <w:r>
        <w:rPr>
          <w:rFonts w:ascii="仿宋" w:hAnsi="仿宋" w:eastAsia="仿宋" w:cs="仿宋"/>
          <w:bCs/>
          <w:color w:val="auto"/>
          <w:sz w:val="21"/>
          <w:szCs w:val="21"/>
          <w:highlight w:val="none"/>
        </w:rPr>
        <w:t>柴油、煤油、油漆稀料、香蕉水、甲醇、正己烷、汽油（95#)、乙醇（70%)、松香水（油漆溶剂类）、松香水（助焊类）、环氧丙烷、丙烯酸类油漆、油漆固化剂、三氯甲烷、乙醚、环戊烷、环己烷、甲苯、丙醛、苯、正戊烷、异丙醚、硝基苯、硝酸、盐酸、二硫化碳、硫酸、丙酮、甲胺醇溶液、石油醚（60℃－90℃）、石油醚（30℃－60℃）、石油醚（90℃－120℃）、正辛烷、正庚烷、松节油、70%异丙醇、50%氢氧化</w:t>
      </w:r>
      <w:r>
        <w:rPr>
          <w:rFonts w:hint="eastAsia" w:ascii="仿宋" w:hAnsi="仿宋" w:eastAsia="仿宋" w:cs="仿宋"/>
          <w:bCs/>
          <w:color w:val="auto"/>
          <w:sz w:val="21"/>
          <w:szCs w:val="21"/>
          <w:highlight w:val="none"/>
        </w:rPr>
        <w:t>钠</w:t>
      </w:r>
      <w:r>
        <w:rPr>
          <w:rFonts w:ascii="仿宋" w:hAnsi="仿宋" w:eastAsia="仿宋" w:cs="仿宋"/>
          <w:bCs/>
          <w:color w:val="auto"/>
          <w:sz w:val="21"/>
          <w:szCs w:val="21"/>
          <w:highlight w:val="none"/>
        </w:rPr>
        <w:t>水溶液、50%氢氧化钾水溶液、30%双氧水等</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120种类型</w:t>
      </w:r>
      <w:r>
        <w:rPr>
          <w:rFonts w:hint="eastAsia" w:ascii="仿宋" w:hAnsi="仿宋" w:eastAsia="仿宋" w:cs="仿宋"/>
          <w:bCs/>
          <w:color w:val="auto"/>
          <w:sz w:val="21"/>
          <w:szCs w:val="21"/>
          <w:highlight w:val="none"/>
        </w:rPr>
        <w:t>液体</w:t>
      </w:r>
      <w:r>
        <w:rPr>
          <w:rFonts w:ascii="仿宋" w:hAnsi="仿宋" w:eastAsia="仿宋" w:cs="仿宋"/>
          <w:bCs/>
          <w:color w:val="auto"/>
          <w:sz w:val="21"/>
          <w:szCs w:val="21"/>
          <w:highlight w:val="none"/>
        </w:rPr>
        <w:t>。</w:t>
      </w:r>
    </w:p>
    <w:p w14:paraId="1532DF61">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14.可检容器材质：设备应能对陶瓷、玻璃、塑料、纸质等非金属容器内的液态物品进行检查。</w:t>
      </w:r>
    </w:p>
    <w:p w14:paraId="61E99938">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15.</w:t>
      </w:r>
      <w:r>
        <w:rPr>
          <w:rFonts w:hint="eastAsia" w:ascii="仿宋" w:hAnsi="仿宋" w:eastAsia="仿宋" w:cs="仿宋"/>
          <w:bCs/>
          <w:color w:val="auto"/>
          <w:sz w:val="21"/>
          <w:szCs w:val="21"/>
          <w:highlight w:val="none"/>
        </w:rPr>
        <w:t>可检液态物品体积：设备应能对体积≥50ml、液面高度≥60mm的液态物品进行检查</w:t>
      </w:r>
      <w:r>
        <w:rPr>
          <w:rFonts w:ascii="仿宋" w:hAnsi="仿宋" w:eastAsia="仿宋" w:cs="仿宋"/>
          <w:bCs/>
          <w:color w:val="auto"/>
          <w:sz w:val="21"/>
          <w:szCs w:val="21"/>
          <w:highlight w:val="none"/>
        </w:rPr>
        <w:t>。</w:t>
      </w:r>
    </w:p>
    <w:p w14:paraId="6304E7C6">
      <w:pPr>
        <w:pStyle w:val="2"/>
        <w:spacing w:line="360" w:lineRule="auto"/>
        <w:contextualSpacing/>
        <w:rPr>
          <w:rFonts w:ascii="仿宋" w:hAnsi="仿宋" w:eastAsia="仿宋" w:cs="仿宋"/>
          <w:bCs/>
          <w:color w:val="auto"/>
          <w:sz w:val="21"/>
          <w:szCs w:val="21"/>
          <w:highlight w:val="none"/>
        </w:rPr>
      </w:pPr>
      <w:r>
        <w:rPr>
          <w:rFonts w:ascii="仿宋" w:hAnsi="仿宋" w:eastAsia="仿宋" w:cs="仿宋"/>
          <w:bCs/>
          <w:color w:val="auto"/>
          <w:sz w:val="21"/>
          <w:szCs w:val="21"/>
          <w:highlight w:val="none"/>
        </w:rPr>
        <w:t>▲</w:t>
      </w: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16.分析时间：对符合容器材质和容器壁厚要求的非金属容器内液态物品的分析时间</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w:t>
      </w:r>
      <w:r>
        <w:rPr>
          <w:rFonts w:hint="eastAsia" w:ascii="仿宋" w:hAnsi="仿宋" w:eastAsia="仿宋" w:cs="仿宋"/>
          <w:bCs/>
          <w:color w:val="auto"/>
          <w:sz w:val="21"/>
          <w:szCs w:val="21"/>
          <w:highlight w:val="none"/>
        </w:rPr>
        <w:t>.0</w:t>
      </w:r>
      <w:r>
        <w:rPr>
          <w:rFonts w:ascii="仿宋" w:hAnsi="仿宋" w:eastAsia="仿宋" w:cs="仿宋"/>
          <w:bCs/>
          <w:color w:val="auto"/>
          <w:sz w:val="21"/>
          <w:szCs w:val="21"/>
          <w:highlight w:val="none"/>
        </w:rPr>
        <w:t>s</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常温情况下，对符合容器材质和容器壁厚要求的金属容器内液态物品的分析时间</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6</w:t>
      </w:r>
      <w:r>
        <w:rPr>
          <w:rFonts w:hint="eastAsia" w:ascii="仿宋" w:hAnsi="仿宋" w:eastAsia="仿宋" w:cs="仿宋"/>
          <w:bCs/>
          <w:color w:val="auto"/>
          <w:sz w:val="21"/>
          <w:szCs w:val="21"/>
          <w:highlight w:val="none"/>
        </w:rPr>
        <w:t>.0</w:t>
      </w:r>
      <w:r>
        <w:rPr>
          <w:rFonts w:ascii="仿宋" w:hAnsi="仿宋" w:eastAsia="仿宋" w:cs="仿宋"/>
          <w:bCs/>
          <w:color w:val="auto"/>
          <w:sz w:val="21"/>
          <w:szCs w:val="21"/>
          <w:highlight w:val="none"/>
        </w:rPr>
        <w:t>s</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环境温度</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0℃时，对符合容器材质和容器壁厚要求的金属容器内液态物品的分析时间</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10</w:t>
      </w:r>
      <w:r>
        <w:rPr>
          <w:rFonts w:hint="eastAsia" w:ascii="仿宋" w:hAnsi="仿宋" w:eastAsia="仿宋" w:cs="仿宋"/>
          <w:bCs/>
          <w:color w:val="auto"/>
          <w:sz w:val="21"/>
          <w:szCs w:val="21"/>
          <w:highlight w:val="none"/>
        </w:rPr>
        <w:t>.0</w:t>
      </w:r>
      <w:r>
        <w:rPr>
          <w:rFonts w:ascii="仿宋" w:hAnsi="仿宋" w:eastAsia="仿宋" w:cs="仿宋"/>
          <w:bCs/>
          <w:color w:val="auto"/>
          <w:sz w:val="21"/>
          <w:szCs w:val="21"/>
          <w:highlight w:val="none"/>
        </w:rPr>
        <w:t>s。</w:t>
      </w:r>
    </w:p>
    <w:p w14:paraId="12826CCB">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
          <w:bCs/>
          <w:color w:val="auto"/>
          <w:sz w:val="21"/>
          <w:szCs w:val="21"/>
          <w:highlight w:val="none"/>
        </w:rPr>
        <w:t>注：以上▲号条款需提供具备CMA资质的第三方检测报告复印件作为证明材料（原件备查），否则视作不满足</w:t>
      </w:r>
      <w:r>
        <w:rPr>
          <w:rFonts w:ascii="仿宋" w:hAnsi="仿宋" w:eastAsia="仿宋" w:cs="仿宋"/>
          <w:bCs/>
          <w:color w:val="auto"/>
          <w:sz w:val="21"/>
          <w:szCs w:val="21"/>
          <w:highlight w:val="none"/>
        </w:rPr>
        <w:t>。</w:t>
      </w:r>
    </w:p>
    <w:p w14:paraId="53A9BF6E">
      <w:pPr>
        <w:pStyle w:val="2"/>
        <w:spacing w:line="360" w:lineRule="auto"/>
        <w:contextualSpacing/>
        <w:rPr>
          <w:rFonts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（七）品目1-7</w:t>
      </w:r>
      <w:r>
        <w:rPr>
          <w:rFonts w:ascii="仿宋" w:hAnsi="仿宋" w:eastAsia="仿宋" w:cs="仿宋"/>
          <w:b/>
          <w:bCs/>
          <w:color w:val="auto"/>
          <w:sz w:val="21"/>
          <w:szCs w:val="21"/>
          <w:highlight w:val="none"/>
        </w:rPr>
        <w:t>便携式爆炸物探测器</w:t>
      </w:r>
    </w:p>
    <w:p w14:paraId="7E8D05A3">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w:t>
      </w:r>
      <w:r>
        <w:rPr>
          <w:rFonts w:ascii="仿宋" w:hAnsi="仿宋" w:eastAsia="仿宋" w:cs="仿宋"/>
          <w:bCs/>
          <w:color w:val="auto"/>
          <w:sz w:val="21"/>
          <w:szCs w:val="21"/>
          <w:highlight w:val="none"/>
        </w:rPr>
        <w:t>数量：</w:t>
      </w:r>
      <w:r>
        <w:rPr>
          <w:rFonts w:hint="eastAsia" w:ascii="仿宋" w:hAnsi="仿宋" w:eastAsia="仿宋" w:cs="仿宋"/>
          <w:bCs/>
          <w:color w:val="auto"/>
          <w:sz w:val="21"/>
          <w:szCs w:val="21"/>
          <w:highlight w:val="none"/>
        </w:rPr>
        <w:t>2</w:t>
      </w:r>
      <w:r>
        <w:rPr>
          <w:rFonts w:ascii="仿宋" w:hAnsi="仿宋" w:eastAsia="仿宋" w:cs="仿宋"/>
          <w:bCs/>
          <w:color w:val="auto"/>
          <w:sz w:val="21"/>
          <w:szCs w:val="21"/>
          <w:highlight w:val="none"/>
        </w:rPr>
        <w:t>台。</w:t>
      </w:r>
    </w:p>
    <w:p w14:paraId="6BC9B7B1">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w:t>
      </w:r>
      <w:r>
        <w:rPr>
          <w:rFonts w:ascii="仿宋" w:hAnsi="仿宋" w:eastAsia="仿宋" w:cs="仿宋"/>
          <w:bCs/>
          <w:color w:val="auto"/>
          <w:sz w:val="21"/>
          <w:szCs w:val="21"/>
          <w:highlight w:val="none"/>
        </w:rPr>
        <w:t>用途：用于</w:t>
      </w:r>
      <w:r>
        <w:rPr>
          <w:rFonts w:hint="eastAsia" w:ascii="仿宋" w:hAnsi="仿宋" w:eastAsia="仿宋" w:cs="仿宋"/>
          <w:bCs/>
          <w:color w:val="auto"/>
          <w:sz w:val="21"/>
          <w:szCs w:val="21"/>
          <w:highlight w:val="none"/>
        </w:rPr>
        <w:t>随身物品爆炸物</w:t>
      </w:r>
      <w:r>
        <w:rPr>
          <w:rFonts w:ascii="仿宋" w:hAnsi="仿宋" w:eastAsia="仿宋" w:cs="仿宋"/>
          <w:bCs/>
          <w:color w:val="auto"/>
          <w:sz w:val="21"/>
          <w:szCs w:val="21"/>
          <w:highlight w:val="none"/>
        </w:rPr>
        <w:t>安全检查。</w:t>
      </w:r>
    </w:p>
    <w:p w14:paraId="0A2E2B78">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技术参数</w:t>
      </w:r>
      <w:r>
        <w:rPr>
          <w:rFonts w:hint="eastAsia" w:ascii="仿宋" w:hAnsi="仿宋" w:eastAsia="仿宋" w:cs="仿宋"/>
          <w:bCs/>
          <w:color w:val="auto"/>
          <w:sz w:val="21"/>
          <w:szCs w:val="21"/>
          <w:highlight w:val="none"/>
        </w:rPr>
        <w:t>及要求：</w:t>
      </w:r>
    </w:p>
    <w:p w14:paraId="4A3F90D7">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w:t>
      </w:r>
      <w:r>
        <w:rPr>
          <w:rFonts w:ascii="仿宋" w:hAnsi="仿宋" w:eastAsia="仿宋" w:cs="仿宋"/>
          <w:bCs/>
          <w:color w:val="auto"/>
          <w:sz w:val="21"/>
          <w:szCs w:val="21"/>
          <w:highlight w:val="none"/>
        </w:rPr>
        <w:t>外观：探测仪外观应完好，表面应色泽均匀，不应有明显划伤、裂缝、磨损、腐蚀、变形、起泡、脱落及永久性污渍等缺陷；金属零部件应进行防腐蚀处理。探测仪开/关机按键和其他控制部件的操作应灵活可靠，布局应方便实用，关机按键应具有防误操作功能。</w:t>
      </w:r>
    </w:p>
    <w:p w14:paraId="445E1E40">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3.2.</w:t>
      </w:r>
      <w:r>
        <w:rPr>
          <w:rFonts w:ascii="仿宋" w:hAnsi="仿宋" w:eastAsia="仿宋" w:cs="仿宋"/>
          <w:bCs/>
          <w:color w:val="auto"/>
          <w:sz w:val="21"/>
          <w:szCs w:val="21"/>
          <w:highlight w:val="none"/>
        </w:rPr>
        <w:t>自检功能：探测仪应具有自检、自校功能。</w:t>
      </w:r>
    </w:p>
    <w:p w14:paraId="756BF280">
      <w:pPr>
        <w:pStyle w:val="2"/>
        <w:spacing w:line="360" w:lineRule="auto"/>
        <w:contextualSpacing/>
        <w:rPr>
          <w:rFonts w:ascii="仿宋" w:hAnsi="仿宋" w:eastAsia="仿宋" w:cs="仿宋"/>
          <w:bCs/>
          <w:color w:val="auto"/>
          <w:sz w:val="21"/>
          <w:szCs w:val="21"/>
          <w:highlight w:val="none"/>
        </w:rPr>
      </w:pPr>
      <w:r>
        <w:rPr>
          <w:rFonts w:ascii="仿宋" w:hAnsi="仿宋" w:eastAsia="仿宋" w:cs="仿宋"/>
          <w:bCs/>
          <w:color w:val="auto"/>
          <w:sz w:val="21"/>
          <w:szCs w:val="21"/>
          <w:highlight w:val="none"/>
        </w:rPr>
        <w:t>▲</w:t>
      </w: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3.存储容量：探测仪的存储介质应能存储</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1000万条数据。</w:t>
      </w:r>
    </w:p>
    <w:p w14:paraId="19DB82BF">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4.数据接口：探测仪应配置网络接口（含无线和有线）、USB2.0及以上接口。</w:t>
      </w:r>
    </w:p>
    <w:p w14:paraId="76758668">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5.软件功能：探测仪能支持特征数据库的编制和更新；探测仪能支持探测模式设定和工作参数设置，报警阈值参数可由授权用户设置修改；探测仪能支持查看仪器的工作状态和测试环境等信息，如电离源、迁移管等关键部件的温度、气体的流量、环境大气压等参数；探测仪能支持用户权限设置；探测仪能够实时显示探测结果信息；探测仪应能支持对探测数据和日志(包括运行状态、提示信息)进行存储、查看，未经授权，日志不能修改、删除；探测仪具有对日志进行统计和分析的功能；探测仪具有数据上传/下载功能，上传数据至少应包括探测数据、报警日志；下载/接收数据应包括危险物特征数据。</w:t>
      </w:r>
    </w:p>
    <w:p w14:paraId="2257A30C">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6.报警提示功能：探测仪应能至少支持本地声、光、振动、文字/图像报警等方式之一，发生以下情况时，应发出报警提示：</w:t>
      </w:r>
    </w:p>
    <w:p w14:paraId="62BF05A4">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w:t>
      </w:r>
      <w:r>
        <w:rPr>
          <w:rFonts w:ascii="仿宋" w:hAnsi="仿宋" w:eastAsia="仿宋" w:cs="仿宋"/>
          <w:bCs/>
          <w:color w:val="auto"/>
          <w:sz w:val="21"/>
          <w:szCs w:val="21"/>
          <w:highlight w:val="none"/>
        </w:rPr>
        <w:t>探测到毒品/炸药；</w:t>
      </w:r>
    </w:p>
    <w:p w14:paraId="2656A98B">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w:t>
      </w:r>
      <w:r>
        <w:rPr>
          <w:rFonts w:ascii="仿宋" w:hAnsi="仿宋" w:eastAsia="仿宋" w:cs="仿宋"/>
          <w:bCs/>
          <w:color w:val="auto"/>
          <w:sz w:val="21"/>
          <w:szCs w:val="21"/>
          <w:highlight w:val="none"/>
        </w:rPr>
        <w:t>供电电源断开或探测仪本机电池欠压；</w:t>
      </w:r>
    </w:p>
    <w:p w14:paraId="687DB6B6">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设备故障或维护提示；</w:t>
      </w:r>
    </w:p>
    <w:p w14:paraId="4C72C960">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4）</w:t>
      </w:r>
      <w:r>
        <w:rPr>
          <w:rFonts w:ascii="仿宋" w:hAnsi="仿宋" w:eastAsia="仿宋" w:cs="仿宋"/>
          <w:bCs/>
          <w:color w:val="auto"/>
          <w:sz w:val="21"/>
          <w:szCs w:val="21"/>
          <w:highlight w:val="none"/>
        </w:rPr>
        <w:t>探测仪本机存储容量不足。</w:t>
      </w:r>
    </w:p>
    <w:p w14:paraId="56147030">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7.校时功能：探测仪应能校时。</w:t>
      </w:r>
    </w:p>
    <w:p w14:paraId="6A841B61">
      <w:pPr>
        <w:pStyle w:val="2"/>
        <w:spacing w:line="360" w:lineRule="auto"/>
        <w:contextualSpacing/>
        <w:rPr>
          <w:rFonts w:ascii="仿宋" w:hAnsi="仿宋" w:eastAsia="仿宋" w:cs="仿宋"/>
          <w:bCs/>
          <w:color w:val="auto"/>
          <w:sz w:val="21"/>
          <w:szCs w:val="21"/>
          <w:highlight w:val="none"/>
        </w:rPr>
      </w:pPr>
      <w:r>
        <w:rPr>
          <w:rFonts w:ascii="仿宋" w:hAnsi="仿宋" w:eastAsia="仿宋" w:cs="仿宋"/>
          <w:bCs/>
          <w:color w:val="auto"/>
          <w:sz w:val="21"/>
          <w:szCs w:val="21"/>
          <w:highlight w:val="none"/>
        </w:rPr>
        <w:t>▲</w:t>
      </w: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8.冷启动时间：探测仪的冷启动时间应</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20min。</w:t>
      </w:r>
    </w:p>
    <w:p w14:paraId="02C73732">
      <w:pPr>
        <w:pStyle w:val="2"/>
        <w:spacing w:line="360" w:lineRule="auto"/>
        <w:contextualSpacing/>
        <w:rPr>
          <w:rFonts w:ascii="仿宋" w:hAnsi="仿宋" w:eastAsia="仿宋" w:cs="仿宋"/>
          <w:bCs/>
          <w:color w:val="auto"/>
          <w:sz w:val="21"/>
          <w:szCs w:val="21"/>
          <w:highlight w:val="none"/>
        </w:rPr>
      </w:pPr>
      <w:r>
        <w:rPr>
          <w:rFonts w:ascii="仿宋" w:hAnsi="仿宋" w:eastAsia="仿宋" w:cs="仿宋"/>
          <w:bCs/>
          <w:color w:val="auto"/>
          <w:sz w:val="21"/>
          <w:szCs w:val="21"/>
          <w:highlight w:val="none"/>
        </w:rPr>
        <w:t>▲</w:t>
      </w: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9.分析时间：探测仪分析时间应</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8s。</w:t>
      </w:r>
    </w:p>
    <w:p w14:paraId="3325E201">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10.误报率：探测仪的误报率应</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w:t>
      </w:r>
    </w:p>
    <w:p w14:paraId="45C4852B">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3.11</w:t>
      </w:r>
      <w:r>
        <w:rPr>
          <w:rFonts w:ascii="仿宋" w:hAnsi="仿宋" w:eastAsia="仿宋" w:cs="仿宋"/>
          <w:bCs/>
          <w:color w:val="auto"/>
          <w:sz w:val="21"/>
          <w:szCs w:val="21"/>
          <w:highlight w:val="none"/>
        </w:rPr>
        <w:t>可探测毒品样品种类：探测仪在毒品探测模式下，能探测下列毒品样品：</w:t>
      </w:r>
      <w:r>
        <w:rPr>
          <w:rFonts w:hint="eastAsia" w:ascii="仿宋" w:hAnsi="仿宋" w:eastAsia="仿宋" w:cs="仿宋"/>
          <w:bCs/>
          <w:color w:val="auto"/>
          <w:sz w:val="21"/>
          <w:szCs w:val="21"/>
          <w:highlight w:val="none"/>
        </w:rPr>
        <w:t>1）</w:t>
      </w:r>
      <w:r>
        <w:rPr>
          <w:rFonts w:ascii="仿宋" w:hAnsi="仿宋" w:eastAsia="仿宋" w:cs="仿宋"/>
          <w:bCs/>
          <w:color w:val="auto"/>
          <w:sz w:val="21"/>
          <w:szCs w:val="21"/>
          <w:highlight w:val="none"/>
        </w:rPr>
        <w:t>可卡因(COC)(盐酸可卡因)，</w:t>
      </w:r>
      <w:r>
        <w:rPr>
          <w:rFonts w:hint="eastAsia" w:ascii="仿宋" w:hAnsi="仿宋" w:eastAsia="仿宋" w:cs="仿宋"/>
          <w:bCs/>
          <w:color w:val="auto"/>
          <w:sz w:val="21"/>
          <w:szCs w:val="21"/>
          <w:highlight w:val="none"/>
        </w:rPr>
        <w:t>2）</w:t>
      </w:r>
      <w:r>
        <w:rPr>
          <w:rFonts w:ascii="仿宋" w:hAnsi="仿宋" w:eastAsia="仿宋" w:cs="仿宋"/>
          <w:bCs/>
          <w:color w:val="auto"/>
          <w:sz w:val="21"/>
          <w:szCs w:val="21"/>
          <w:highlight w:val="none"/>
        </w:rPr>
        <w:t>氯胺酮(K粉)(盐酸氯胺酮)，3</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吗啡(盐酸吗啡)，4</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海洛因(HER)(盐酸海洛因)，5</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大麻(四氢大麻酚)，6</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冰毒(甲基苯丙胺)，7</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摇头丸(MDMA)，8</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摇头丸(MDA)，9</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人工合成大麻素(JWH-018)，10</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枸橼酸芬太尼(Fentanyl citrate)，11</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安非他明(Amphetamine)，12</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罂粟碱(PapaVerine)，13</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依托咪酯(Etomidate)，14</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甲卡西酮(Methcathinone)，15</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五氯酚(Pentachlorol)，</w:t>
      </w:r>
      <w:r>
        <w:rPr>
          <w:rFonts w:hint="eastAsia" w:ascii="仿宋" w:hAnsi="仿宋" w:eastAsia="仿宋" w:cs="仿宋"/>
          <w:bCs/>
          <w:color w:val="auto"/>
          <w:sz w:val="21"/>
          <w:szCs w:val="21"/>
          <w:highlight w:val="none"/>
        </w:rPr>
        <w:t>16）</w:t>
      </w:r>
      <w:r>
        <w:rPr>
          <w:rFonts w:ascii="仿宋" w:hAnsi="仿宋" w:eastAsia="仿宋" w:cs="仿宋"/>
          <w:bCs/>
          <w:color w:val="auto"/>
          <w:sz w:val="21"/>
          <w:szCs w:val="21"/>
          <w:highlight w:val="none"/>
        </w:rPr>
        <w:t>氟胺酮(F-Ketamine)。</w:t>
      </w:r>
    </w:p>
    <w:p w14:paraId="1D0F3A41">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3.12.</w:t>
      </w:r>
      <w:r>
        <w:rPr>
          <w:rFonts w:ascii="仿宋" w:hAnsi="仿宋" w:eastAsia="仿宋" w:cs="仿宋"/>
          <w:bCs/>
          <w:color w:val="auto"/>
          <w:sz w:val="21"/>
          <w:szCs w:val="21"/>
          <w:highlight w:val="none"/>
        </w:rPr>
        <w:t>毒品过载恢复时间：对采样质量为1μg的氯胺酮进行分析，探测仪的过负荷恢复时间应≤2min。</w:t>
      </w:r>
    </w:p>
    <w:p w14:paraId="29B4614F">
      <w:pPr>
        <w:pStyle w:val="2"/>
        <w:spacing w:line="360" w:lineRule="auto"/>
        <w:contextualSpacing/>
        <w:rPr>
          <w:rFonts w:ascii="仿宋" w:hAnsi="仿宋" w:eastAsia="仿宋" w:cs="仿宋"/>
          <w:bCs/>
          <w:color w:val="auto"/>
          <w:sz w:val="21"/>
          <w:szCs w:val="21"/>
          <w:highlight w:val="none"/>
        </w:rPr>
      </w:pPr>
      <w:r>
        <w:rPr>
          <w:rFonts w:ascii="仿宋" w:hAnsi="仿宋" w:eastAsia="仿宋" w:cs="仿宋"/>
          <w:bCs/>
          <w:color w:val="auto"/>
          <w:sz w:val="21"/>
          <w:szCs w:val="21"/>
          <w:highlight w:val="none"/>
        </w:rPr>
        <w:t>▲</w:t>
      </w:r>
      <w:r>
        <w:rPr>
          <w:rFonts w:hint="eastAsia" w:ascii="仿宋" w:hAnsi="仿宋" w:eastAsia="仿宋" w:cs="仿宋"/>
          <w:bCs/>
          <w:color w:val="auto"/>
          <w:sz w:val="21"/>
          <w:szCs w:val="21"/>
          <w:highlight w:val="none"/>
        </w:rPr>
        <w:t>3.13.</w:t>
      </w:r>
      <w:r>
        <w:rPr>
          <w:rFonts w:ascii="仿宋" w:hAnsi="仿宋" w:eastAsia="仿宋" w:cs="仿宋"/>
          <w:bCs/>
          <w:color w:val="auto"/>
          <w:sz w:val="21"/>
          <w:szCs w:val="21"/>
          <w:highlight w:val="none"/>
        </w:rPr>
        <w:t>自清洁时间：进样量为100ng的情况下，探测仪的单次自清洁时间应</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30s。</w:t>
      </w:r>
    </w:p>
    <w:p w14:paraId="05904EE4">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3.14.</w:t>
      </w:r>
      <w:r>
        <w:rPr>
          <w:rFonts w:ascii="仿宋" w:hAnsi="仿宋" w:eastAsia="仿宋" w:cs="仿宋"/>
          <w:bCs/>
          <w:color w:val="auto"/>
          <w:sz w:val="21"/>
          <w:szCs w:val="21"/>
          <w:highlight w:val="none"/>
        </w:rPr>
        <w:t>可探测炸药种类：探测仪在炸药探测模式下，应能探测下列炸药样品：</w:t>
      </w:r>
      <w:r>
        <w:rPr>
          <w:rFonts w:hint="eastAsia" w:ascii="仿宋" w:hAnsi="仿宋" w:eastAsia="仿宋" w:cs="仿宋"/>
          <w:bCs/>
          <w:color w:val="auto"/>
          <w:sz w:val="21"/>
          <w:szCs w:val="21"/>
          <w:highlight w:val="none"/>
        </w:rPr>
        <w:t>1）</w:t>
      </w:r>
      <w:r>
        <w:rPr>
          <w:rFonts w:ascii="仿宋" w:hAnsi="仿宋" w:eastAsia="仿宋" w:cs="仿宋"/>
          <w:bCs/>
          <w:color w:val="auto"/>
          <w:sz w:val="21"/>
          <w:szCs w:val="21"/>
          <w:highlight w:val="none"/>
        </w:rPr>
        <w:t>梯恩梯(TNT)，</w:t>
      </w:r>
      <w:r>
        <w:rPr>
          <w:rFonts w:hint="eastAsia" w:ascii="仿宋" w:hAnsi="仿宋" w:eastAsia="仿宋" w:cs="仿宋"/>
          <w:bCs/>
          <w:color w:val="auto"/>
          <w:sz w:val="21"/>
          <w:szCs w:val="21"/>
          <w:highlight w:val="none"/>
        </w:rPr>
        <w:t>2）</w:t>
      </w:r>
      <w:r>
        <w:rPr>
          <w:rFonts w:ascii="仿宋" w:hAnsi="仿宋" w:eastAsia="仿宋" w:cs="仿宋"/>
          <w:bCs/>
          <w:color w:val="auto"/>
          <w:sz w:val="21"/>
          <w:szCs w:val="21"/>
          <w:highlight w:val="none"/>
        </w:rPr>
        <w:t>三丙酮三过氧化物(TATP)，3</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太安(PETN)，4</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黑火药(BP)，5</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黑索今(RDX)，6</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奥克托今(HMX)，7</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硝铵类炸药(硝酸铵)，8</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铵梯炸药(硝酸铵+TNT)，9</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硝化甘油(NG)，10</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二硝基甲苯(DNT)，11</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六甲氧胺(HMTD)，12</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特屈儿(TETRYL)，13</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塞姆汀(Semtex)，14</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C4塑胶炸药(C4)，15</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苦味酸(TNP)，16</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吉纳(DINA)，17</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硝化二乙二醇(DEGDN)，18</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1-硝基丙三醇，19</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六硝基二苯乙烯(HNS)，20</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1,3,5-三硝基苯(1,3,5-TNB)，</w:t>
      </w:r>
      <w:r>
        <w:rPr>
          <w:rFonts w:hint="eastAsia" w:ascii="仿宋" w:hAnsi="仿宋" w:eastAsia="仿宋" w:cs="仿宋"/>
          <w:bCs/>
          <w:color w:val="auto"/>
          <w:sz w:val="21"/>
          <w:szCs w:val="21"/>
          <w:highlight w:val="none"/>
        </w:rPr>
        <w:t>21）</w:t>
      </w:r>
      <w:r>
        <w:rPr>
          <w:rFonts w:ascii="仿宋" w:hAnsi="仿宋" w:eastAsia="仿宋" w:cs="仿宋"/>
          <w:bCs/>
          <w:color w:val="auto"/>
          <w:sz w:val="21"/>
          <w:szCs w:val="21"/>
          <w:highlight w:val="none"/>
        </w:rPr>
        <w:t>2-氨基-4,6-二硝基甲苯。</w:t>
      </w:r>
    </w:p>
    <w:p w14:paraId="5F401A1D">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3.15.</w:t>
      </w:r>
      <w:r>
        <w:rPr>
          <w:rFonts w:ascii="仿宋" w:hAnsi="仿宋" w:eastAsia="仿宋" w:cs="仿宋"/>
          <w:bCs/>
          <w:color w:val="auto"/>
          <w:sz w:val="21"/>
          <w:szCs w:val="21"/>
          <w:highlight w:val="none"/>
        </w:rPr>
        <w:t>炸药过负荷恢复时间：对采样质量为1μg的梯恩梯进行分析，探测仪的过负荷恢复时间应</w:t>
      </w:r>
      <w:r>
        <w:rPr>
          <w:rFonts w:hint="eastAsia" w:ascii="仿宋" w:hAnsi="仿宋" w:eastAsia="仿宋" w:cs="仿宋"/>
          <w:bCs/>
          <w:color w:val="auto"/>
          <w:sz w:val="21"/>
          <w:szCs w:val="21"/>
          <w:highlight w:val="none"/>
        </w:rPr>
        <w:t>≤2</w:t>
      </w:r>
      <w:r>
        <w:rPr>
          <w:rFonts w:ascii="仿宋" w:hAnsi="仿宋" w:eastAsia="仿宋" w:cs="仿宋"/>
          <w:bCs/>
          <w:color w:val="auto"/>
          <w:sz w:val="21"/>
          <w:szCs w:val="21"/>
          <w:highlight w:val="none"/>
        </w:rPr>
        <w:t>min。</w:t>
      </w:r>
    </w:p>
    <w:p w14:paraId="598372C8">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3.16.</w:t>
      </w:r>
      <w:r>
        <w:rPr>
          <w:rFonts w:ascii="仿宋" w:hAnsi="仿宋" w:eastAsia="仿宋" w:cs="仿宋"/>
          <w:bCs/>
          <w:color w:val="auto"/>
          <w:sz w:val="21"/>
          <w:szCs w:val="21"/>
          <w:highlight w:val="none"/>
        </w:rPr>
        <w:t>泄漏电流：起防电击作用的电气绝缘应有良好的性能，连续对地泄漏电流和外壳泄漏电流极限值应</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0.</w:t>
      </w:r>
      <w:r>
        <w:rPr>
          <w:rFonts w:hint="eastAsia" w:ascii="仿宋" w:hAnsi="仿宋" w:eastAsia="仿宋" w:cs="仿宋"/>
          <w:bCs/>
          <w:color w:val="auto"/>
          <w:sz w:val="21"/>
          <w:szCs w:val="21"/>
          <w:highlight w:val="none"/>
        </w:rPr>
        <w:t>2</w:t>
      </w:r>
      <w:r>
        <w:rPr>
          <w:rFonts w:ascii="仿宋" w:hAnsi="仿宋" w:eastAsia="仿宋" w:cs="仿宋"/>
          <w:bCs/>
          <w:color w:val="auto"/>
          <w:sz w:val="21"/>
          <w:szCs w:val="21"/>
          <w:highlight w:val="none"/>
        </w:rPr>
        <w:t>mA。</w:t>
      </w:r>
    </w:p>
    <w:p w14:paraId="684CF7CB">
      <w:pPr>
        <w:pStyle w:val="2"/>
        <w:spacing w:line="360" w:lineRule="auto"/>
        <w:contextualSpacing/>
        <w:rPr>
          <w:rFonts w:ascii="仿宋" w:hAnsi="仿宋" w:eastAsia="仿宋" w:cs="仿宋"/>
          <w:bCs/>
          <w:color w:val="auto"/>
          <w:sz w:val="21"/>
          <w:szCs w:val="21"/>
          <w:highlight w:val="none"/>
        </w:rPr>
      </w:pPr>
      <w:r>
        <w:rPr>
          <w:rFonts w:ascii="仿宋" w:hAnsi="仿宋" w:eastAsia="仿宋" w:cs="仿宋"/>
          <w:b/>
          <w:bCs/>
          <w:color w:val="auto"/>
          <w:sz w:val="21"/>
          <w:szCs w:val="21"/>
          <w:highlight w:val="none"/>
        </w:rPr>
        <w:t>注：</w:t>
      </w:r>
      <w:r>
        <w:rPr>
          <w:rFonts w:hint="eastAsia" w:ascii="仿宋" w:hAnsi="仿宋" w:eastAsia="仿宋" w:cs="仿宋"/>
          <w:b/>
          <w:bCs/>
          <w:color w:val="auto"/>
          <w:sz w:val="21"/>
          <w:szCs w:val="21"/>
          <w:highlight w:val="none"/>
        </w:rPr>
        <w:t>以上▲号条款需提供具备CMA资质的第三方检测报告复印件作为证明材料（原件备查），否则视作不满足</w:t>
      </w:r>
      <w:r>
        <w:rPr>
          <w:rFonts w:ascii="仿宋" w:hAnsi="仿宋" w:eastAsia="仿宋" w:cs="仿宋"/>
          <w:bCs/>
          <w:color w:val="auto"/>
          <w:sz w:val="21"/>
          <w:szCs w:val="21"/>
          <w:highlight w:val="none"/>
        </w:rPr>
        <w:t>。</w:t>
      </w:r>
    </w:p>
    <w:p w14:paraId="6735B2F5">
      <w:pPr>
        <w:pStyle w:val="2"/>
        <w:spacing w:line="360" w:lineRule="auto"/>
        <w:contextualSpacing/>
        <w:rPr>
          <w:rFonts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（八）品目1-8</w:t>
      </w:r>
      <w:r>
        <w:rPr>
          <w:rFonts w:ascii="仿宋" w:hAnsi="仿宋" w:eastAsia="仿宋" w:cs="仿宋"/>
          <w:b/>
          <w:bCs/>
          <w:color w:val="auto"/>
          <w:sz w:val="21"/>
          <w:szCs w:val="21"/>
          <w:highlight w:val="none"/>
        </w:rPr>
        <w:t>集中判图终端</w:t>
      </w:r>
    </w:p>
    <w:p w14:paraId="0A9C0303">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w:t>
      </w:r>
      <w:r>
        <w:rPr>
          <w:rFonts w:ascii="仿宋" w:hAnsi="仿宋" w:eastAsia="仿宋" w:cs="仿宋"/>
          <w:bCs/>
          <w:color w:val="auto"/>
          <w:sz w:val="21"/>
          <w:szCs w:val="21"/>
          <w:highlight w:val="none"/>
        </w:rPr>
        <w:t>数量：</w:t>
      </w:r>
      <w:r>
        <w:rPr>
          <w:rFonts w:hint="eastAsia" w:ascii="仿宋" w:hAnsi="仿宋" w:eastAsia="仿宋" w:cs="仿宋"/>
          <w:bCs/>
          <w:color w:val="auto"/>
          <w:sz w:val="21"/>
          <w:szCs w:val="21"/>
          <w:highlight w:val="none"/>
        </w:rPr>
        <w:t>2</w:t>
      </w:r>
      <w:r>
        <w:rPr>
          <w:rFonts w:ascii="仿宋" w:hAnsi="仿宋" w:eastAsia="仿宋" w:cs="仿宋"/>
          <w:bCs/>
          <w:color w:val="auto"/>
          <w:sz w:val="21"/>
          <w:szCs w:val="21"/>
          <w:highlight w:val="none"/>
        </w:rPr>
        <w:t>台，</w:t>
      </w:r>
    </w:p>
    <w:p w14:paraId="6FA628EC">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w:t>
      </w:r>
      <w:r>
        <w:rPr>
          <w:rFonts w:ascii="仿宋" w:hAnsi="仿宋" w:eastAsia="仿宋" w:cs="仿宋"/>
          <w:bCs/>
          <w:color w:val="auto"/>
          <w:sz w:val="21"/>
          <w:szCs w:val="21"/>
          <w:highlight w:val="none"/>
        </w:rPr>
        <w:t>用途：用于集中智能判图</w:t>
      </w:r>
      <w:r>
        <w:rPr>
          <w:rFonts w:hint="eastAsia" w:ascii="仿宋" w:hAnsi="仿宋" w:eastAsia="仿宋" w:cs="仿宋"/>
          <w:bCs/>
          <w:color w:val="auto"/>
          <w:sz w:val="21"/>
          <w:szCs w:val="21"/>
          <w:highlight w:val="none"/>
        </w:rPr>
        <w:t>。</w:t>
      </w:r>
    </w:p>
    <w:p w14:paraId="2846166A">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技术参数</w:t>
      </w:r>
      <w:r>
        <w:rPr>
          <w:rFonts w:hint="eastAsia" w:ascii="仿宋" w:hAnsi="仿宋" w:eastAsia="仿宋" w:cs="仿宋"/>
          <w:bCs/>
          <w:color w:val="auto"/>
          <w:sz w:val="21"/>
          <w:szCs w:val="21"/>
          <w:highlight w:val="none"/>
        </w:rPr>
        <w:t>及要求：</w:t>
      </w:r>
    </w:p>
    <w:p w14:paraId="37CCB046">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w:t>
      </w:r>
      <w:r>
        <w:rPr>
          <w:rFonts w:ascii="仿宋" w:hAnsi="仿宋" w:eastAsia="仿宋" w:cs="仿宋"/>
          <w:bCs/>
          <w:color w:val="auto"/>
          <w:sz w:val="21"/>
          <w:szCs w:val="21"/>
          <w:highlight w:val="none"/>
        </w:rPr>
        <w:t>远程判图：远程判图工作站为判图员提供的图像显示功能，所显示的图像与安检机本地显示的扫描图像一致，安检机每生成一列扫描图像，远程判图工作站显示一列扫描图像。</w:t>
      </w:r>
    </w:p>
    <w:p w14:paraId="4224F361">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3.2.</w:t>
      </w:r>
      <w:r>
        <w:rPr>
          <w:rFonts w:ascii="仿宋" w:hAnsi="仿宋" w:eastAsia="仿宋" w:cs="仿宋"/>
          <w:bCs/>
          <w:color w:val="auto"/>
          <w:sz w:val="21"/>
          <w:szCs w:val="21"/>
          <w:highlight w:val="none"/>
        </w:rPr>
        <w:t>负载均衡：安检机产生的X射线图像，可由集中判图服务器均衡分配至远程判图工作站。</w:t>
      </w:r>
    </w:p>
    <w:p w14:paraId="3ED888A1">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3.状态检测：通过远程判图工作站，判图员能够实时查看当前判图员的姓名、工作时长、判图的数量和历史任务；通过集中判图服务器，管理员能够实时查看当前系统在线安检机数量和值机员数量；通过安检点判图工作站，开检员能够查看本地开包的数量和未处置数量。</w:t>
      </w:r>
    </w:p>
    <w:p w14:paraId="274A7BB9">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4.联动开检：远程判图工作站提供画框功能，判图员可以在判图界面上框注疑似物品的位置，联动本地开检。</w:t>
      </w:r>
    </w:p>
    <w:p w14:paraId="38B9F921">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5.智能判图：远程判图终端界面可以叠加智能判图的结果，辅助判图员判图；可设置智能开检，当智能识别算法识别出预先配置的疑似违禁品类型时，可直接联动开检。</w:t>
      </w:r>
    </w:p>
    <w:p w14:paraId="22DB6A75">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6.语音对讲：当判图员通过远程判图工作站发现违禁品时，可联动对应的安检区进行双向语音对讲。</w:t>
      </w:r>
    </w:p>
    <w:p w14:paraId="4BA42483">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7.视频联动：当判图员通过远程判图工作站发现违禁品时，可联动预览对应安检区的视频。</w:t>
      </w:r>
    </w:p>
    <w:p w14:paraId="6272F3C5">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8.传送带控制：当判图员通过远程判图工作站发现违禁品时，可联动暂停对于安检机的传送带。</w:t>
      </w:r>
    </w:p>
    <w:p w14:paraId="6609B66A">
      <w:pPr>
        <w:widowControl/>
        <w:ind w:firstLine="422" w:firstLineChars="200"/>
        <w:jc w:val="left"/>
        <w:rPr>
          <w:rFonts w:ascii="宋体" w:hAnsi="宋体" w:cs="宋体"/>
          <w:color w:val="auto"/>
          <w:kern w:val="0"/>
          <w:sz w:val="24"/>
          <w:highlight w:val="none"/>
        </w:rPr>
      </w:pPr>
      <w:r>
        <w:rPr>
          <w:rFonts w:hint="eastAsia" w:ascii="仿宋" w:hAnsi="仿宋" w:eastAsia="仿宋" w:cs="仿宋"/>
          <w:b/>
          <w:bCs/>
          <w:color w:val="auto"/>
          <w:szCs w:val="21"/>
          <w:highlight w:val="none"/>
        </w:rPr>
        <w:t>注：需提供具备CMA资质的第三方检测报告复印件（原件备查）或投标人提供相关承诺函并加盖公章。</w:t>
      </w:r>
      <w:r>
        <w:rPr>
          <w:rFonts w:hint="eastAsia" w:ascii="宋体" w:hAnsi="宋体" w:cs="宋体"/>
          <w:color w:val="auto"/>
          <w:kern w:val="0"/>
          <w:sz w:val="24"/>
          <w:highlight w:val="none"/>
        </w:rPr>
        <w:t xml:space="preserve"> </w:t>
      </w:r>
    </w:p>
    <w:p w14:paraId="4AE05BB0">
      <w:pPr>
        <w:pStyle w:val="2"/>
        <w:spacing w:line="360" w:lineRule="auto"/>
        <w:contextualSpacing/>
        <w:rPr>
          <w:rFonts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（九）品目1-9</w:t>
      </w:r>
      <w:r>
        <w:rPr>
          <w:rFonts w:ascii="仿宋" w:hAnsi="仿宋" w:eastAsia="仿宋" w:cs="仿宋"/>
          <w:b/>
          <w:bCs/>
          <w:color w:val="auto"/>
          <w:sz w:val="21"/>
          <w:szCs w:val="21"/>
          <w:highlight w:val="none"/>
        </w:rPr>
        <w:t>安检管理终端</w:t>
      </w:r>
    </w:p>
    <w:p w14:paraId="74FFF357">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w:t>
      </w:r>
      <w:r>
        <w:rPr>
          <w:rFonts w:ascii="仿宋" w:hAnsi="仿宋" w:eastAsia="仿宋" w:cs="仿宋"/>
          <w:bCs/>
          <w:color w:val="auto"/>
          <w:sz w:val="21"/>
          <w:szCs w:val="21"/>
          <w:highlight w:val="none"/>
        </w:rPr>
        <w:t>数量：</w:t>
      </w:r>
      <w:r>
        <w:rPr>
          <w:rFonts w:hint="eastAsia" w:ascii="仿宋" w:hAnsi="仿宋" w:eastAsia="仿宋" w:cs="仿宋"/>
          <w:bCs/>
          <w:color w:val="auto"/>
          <w:sz w:val="21"/>
          <w:szCs w:val="21"/>
          <w:highlight w:val="none"/>
        </w:rPr>
        <w:t>1</w:t>
      </w:r>
      <w:r>
        <w:rPr>
          <w:rFonts w:ascii="仿宋" w:hAnsi="仿宋" w:eastAsia="仿宋" w:cs="仿宋"/>
          <w:bCs/>
          <w:color w:val="auto"/>
          <w:sz w:val="21"/>
          <w:szCs w:val="21"/>
          <w:highlight w:val="none"/>
        </w:rPr>
        <w:t>台。</w:t>
      </w:r>
    </w:p>
    <w:p w14:paraId="76954458">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w:t>
      </w:r>
      <w:r>
        <w:rPr>
          <w:rFonts w:ascii="仿宋" w:hAnsi="仿宋" w:eastAsia="仿宋" w:cs="仿宋"/>
          <w:bCs/>
          <w:color w:val="auto"/>
          <w:sz w:val="21"/>
          <w:szCs w:val="21"/>
          <w:highlight w:val="none"/>
        </w:rPr>
        <w:t>用途：用于</w:t>
      </w:r>
      <w:r>
        <w:rPr>
          <w:rFonts w:hint="eastAsia" w:ascii="仿宋" w:hAnsi="仿宋" w:eastAsia="仿宋" w:cs="仿宋"/>
          <w:bCs/>
          <w:color w:val="auto"/>
          <w:sz w:val="21"/>
          <w:szCs w:val="21"/>
          <w:highlight w:val="none"/>
        </w:rPr>
        <w:t>安检管理。</w:t>
      </w:r>
    </w:p>
    <w:p w14:paraId="1C4817B9">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技术参数</w:t>
      </w:r>
      <w:r>
        <w:rPr>
          <w:rFonts w:hint="eastAsia" w:ascii="仿宋" w:hAnsi="仿宋" w:eastAsia="仿宋" w:cs="仿宋"/>
          <w:bCs/>
          <w:color w:val="auto"/>
          <w:sz w:val="21"/>
          <w:szCs w:val="21"/>
          <w:highlight w:val="none"/>
        </w:rPr>
        <w:t>及要求：</w:t>
      </w:r>
    </w:p>
    <w:p w14:paraId="110C777E">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w:t>
      </w:r>
      <w:r>
        <w:rPr>
          <w:rFonts w:ascii="仿宋" w:hAnsi="仿宋" w:eastAsia="仿宋" w:cs="仿宋"/>
          <w:bCs/>
          <w:color w:val="auto"/>
          <w:sz w:val="21"/>
          <w:szCs w:val="21"/>
          <w:highlight w:val="none"/>
        </w:rPr>
        <w:t>回放功能：可对X光机检测图像、液体检测仪检测、安检点的视频等进行回放。</w:t>
      </w:r>
    </w:p>
    <w:p w14:paraId="22CF30F6">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3.2.</w:t>
      </w:r>
      <w:r>
        <w:rPr>
          <w:rFonts w:ascii="仿宋" w:hAnsi="仿宋" w:eastAsia="仿宋" w:cs="仿宋"/>
          <w:bCs/>
          <w:color w:val="auto"/>
          <w:sz w:val="21"/>
          <w:szCs w:val="21"/>
          <w:highlight w:val="none"/>
        </w:rPr>
        <w:t>信息查询功能：可查询安检员考勤、安检员信息、设备信息、违禁品查获信息、过包信息、过机图像、内外部检查信息。</w:t>
      </w:r>
    </w:p>
    <w:p w14:paraId="08C9C320">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3.3.</w:t>
      </w:r>
      <w:r>
        <w:rPr>
          <w:rFonts w:ascii="仿宋" w:hAnsi="仿宋" w:eastAsia="仿宋" w:cs="仿宋"/>
          <w:bCs/>
          <w:color w:val="auto"/>
          <w:sz w:val="21"/>
          <w:szCs w:val="21"/>
          <w:highlight w:val="none"/>
        </w:rPr>
        <w:t>信息管理功能：具备人员台账、设备台账、安检事件、报修事件等数据的增、删、改、查功能。</w:t>
      </w:r>
    </w:p>
    <w:p w14:paraId="29B242BB">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3.4.</w:t>
      </w:r>
      <w:r>
        <w:rPr>
          <w:rFonts w:ascii="仿宋" w:hAnsi="仿宋" w:eastAsia="仿宋" w:cs="仿宋"/>
          <w:bCs/>
          <w:color w:val="auto"/>
          <w:sz w:val="21"/>
          <w:szCs w:val="21"/>
          <w:highlight w:val="none"/>
        </w:rPr>
        <w:t>权限管理功能：设备应具备权限设备功能。</w:t>
      </w:r>
    </w:p>
    <w:p w14:paraId="5394B95D">
      <w:pPr>
        <w:pStyle w:val="2"/>
        <w:spacing w:line="360" w:lineRule="auto"/>
        <w:contextualSpacing/>
        <w:rPr>
          <w:rFonts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（十）品目1-10</w:t>
      </w:r>
      <w:r>
        <w:rPr>
          <w:rFonts w:ascii="仿宋" w:hAnsi="仿宋" w:eastAsia="仿宋" w:cs="仿宋"/>
          <w:b/>
          <w:bCs/>
          <w:color w:val="auto"/>
          <w:sz w:val="21"/>
          <w:szCs w:val="21"/>
          <w:highlight w:val="none"/>
        </w:rPr>
        <w:t>开包精检台</w:t>
      </w:r>
    </w:p>
    <w:p w14:paraId="58D3B7E4">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w:t>
      </w:r>
      <w:r>
        <w:rPr>
          <w:rFonts w:ascii="仿宋" w:hAnsi="仿宋" w:eastAsia="仿宋" w:cs="仿宋"/>
          <w:bCs/>
          <w:color w:val="auto"/>
          <w:sz w:val="21"/>
          <w:szCs w:val="21"/>
          <w:highlight w:val="none"/>
        </w:rPr>
        <w:t>数量：</w:t>
      </w:r>
      <w:r>
        <w:rPr>
          <w:rFonts w:hint="eastAsia" w:ascii="仿宋" w:hAnsi="仿宋" w:eastAsia="仿宋" w:cs="仿宋"/>
          <w:bCs/>
          <w:color w:val="auto"/>
          <w:sz w:val="21"/>
          <w:szCs w:val="21"/>
          <w:highlight w:val="none"/>
        </w:rPr>
        <w:t>14</w:t>
      </w:r>
      <w:r>
        <w:rPr>
          <w:rFonts w:ascii="仿宋" w:hAnsi="仿宋" w:eastAsia="仿宋" w:cs="仿宋"/>
          <w:bCs/>
          <w:color w:val="auto"/>
          <w:sz w:val="21"/>
          <w:szCs w:val="21"/>
          <w:highlight w:val="none"/>
        </w:rPr>
        <w:t>台</w:t>
      </w:r>
    </w:p>
    <w:p w14:paraId="1A945EFF">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w:t>
      </w:r>
      <w:r>
        <w:rPr>
          <w:rFonts w:ascii="仿宋" w:hAnsi="仿宋" w:eastAsia="仿宋" w:cs="仿宋"/>
          <w:bCs/>
          <w:color w:val="auto"/>
          <w:sz w:val="21"/>
          <w:szCs w:val="21"/>
          <w:highlight w:val="none"/>
        </w:rPr>
        <w:t>用途：用于</w:t>
      </w:r>
      <w:r>
        <w:rPr>
          <w:rFonts w:hint="eastAsia" w:ascii="仿宋" w:hAnsi="仿宋" w:eastAsia="仿宋" w:cs="仿宋"/>
          <w:bCs/>
          <w:color w:val="auto"/>
          <w:sz w:val="21"/>
          <w:szCs w:val="21"/>
          <w:highlight w:val="none"/>
        </w:rPr>
        <w:t>安检开包精检。</w:t>
      </w:r>
    </w:p>
    <w:p w14:paraId="15D2B089">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技术参数</w:t>
      </w:r>
      <w:r>
        <w:rPr>
          <w:rFonts w:hint="eastAsia" w:ascii="仿宋" w:hAnsi="仿宋" w:eastAsia="仿宋" w:cs="仿宋"/>
          <w:bCs/>
          <w:color w:val="auto"/>
          <w:sz w:val="21"/>
          <w:szCs w:val="21"/>
          <w:highlight w:val="none"/>
        </w:rPr>
        <w:t>及要求</w:t>
      </w:r>
    </w:p>
    <w:p w14:paraId="17685C41">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3.1.材质：钢结构，不锈钢包覆。</w:t>
      </w:r>
    </w:p>
    <w:p w14:paraId="422477E6">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3.2.</w:t>
      </w:r>
      <w:r>
        <w:rPr>
          <w:rFonts w:ascii="仿宋" w:hAnsi="仿宋" w:eastAsia="仿宋" w:cs="仿宋"/>
          <w:bCs/>
          <w:color w:val="auto"/>
          <w:sz w:val="21"/>
          <w:szCs w:val="21"/>
          <w:highlight w:val="none"/>
        </w:rPr>
        <w:t>规格：</w:t>
      </w:r>
      <w:r>
        <w:rPr>
          <w:rFonts w:hint="eastAsia" w:ascii="仿宋" w:hAnsi="仿宋" w:eastAsia="仿宋" w:cs="仿宋"/>
          <w:bCs/>
          <w:color w:val="auto"/>
          <w:sz w:val="21"/>
          <w:szCs w:val="21"/>
          <w:highlight w:val="none"/>
        </w:rPr>
        <w:t>≥（长×宽×高）</w:t>
      </w:r>
      <w:r>
        <w:rPr>
          <w:rFonts w:ascii="仿宋" w:hAnsi="仿宋" w:eastAsia="仿宋" w:cs="仿宋"/>
          <w:bCs/>
          <w:color w:val="auto"/>
          <w:sz w:val="21"/>
          <w:szCs w:val="21"/>
          <w:highlight w:val="none"/>
        </w:rPr>
        <w:t>1000</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800</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620mm</w:t>
      </w:r>
      <w:r>
        <w:rPr>
          <w:rFonts w:hint="eastAsia" w:ascii="仿宋" w:hAnsi="仿宋" w:eastAsia="仿宋" w:cs="仿宋"/>
          <w:bCs/>
          <w:color w:val="auto"/>
          <w:sz w:val="21"/>
          <w:szCs w:val="21"/>
          <w:highlight w:val="none"/>
        </w:rPr>
        <w:t>。</w:t>
      </w:r>
    </w:p>
    <w:p w14:paraId="61669B35">
      <w:pPr>
        <w:pStyle w:val="2"/>
        <w:spacing w:line="360" w:lineRule="auto"/>
        <w:contextualSpacing/>
        <w:rPr>
          <w:rFonts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（十一）品目1-11</w:t>
      </w:r>
      <w:r>
        <w:rPr>
          <w:rFonts w:ascii="仿宋" w:hAnsi="仿宋" w:eastAsia="仿宋" w:cs="仿宋"/>
          <w:b/>
          <w:bCs/>
          <w:color w:val="auto"/>
          <w:sz w:val="21"/>
          <w:szCs w:val="21"/>
          <w:highlight w:val="none"/>
        </w:rPr>
        <w:t>存储柜</w:t>
      </w:r>
    </w:p>
    <w:p w14:paraId="44BC0240">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w:t>
      </w:r>
      <w:r>
        <w:rPr>
          <w:rFonts w:ascii="仿宋" w:hAnsi="仿宋" w:eastAsia="仿宋" w:cs="仿宋"/>
          <w:bCs/>
          <w:color w:val="auto"/>
          <w:sz w:val="21"/>
          <w:szCs w:val="21"/>
          <w:highlight w:val="none"/>
        </w:rPr>
        <w:t>数量：</w:t>
      </w:r>
      <w:r>
        <w:rPr>
          <w:rFonts w:hint="eastAsia" w:ascii="仿宋" w:hAnsi="仿宋" w:eastAsia="仿宋" w:cs="仿宋"/>
          <w:bCs/>
          <w:color w:val="auto"/>
          <w:sz w:val="21"/>
          <w:szCs w:val="21"/>
          <w:highlight w:val="none"/>
        </w:rPr>
        <w:t>15</w:t>
      </w:r>
      <w:r>
        <w:rPr>
          <w:rFonts w:ascii="仿宋" w:hAnsi="仿宋" w:eastAsia="仿宋" w:cs="仿宋"/>
          <w:bCs/>
          <w:color w:val="auto"/>
          <w:sz w:val="21"/>
          <w:szCs w:val="21"/>
          <w:highlight w:val="none"/>
        </w:rPr>
        <w:t>台。</w:t>
      </w:r>
    </w:p>
    <w:p w14:paraId="2824A3AC">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w:t>
      </w:r>
      <w:r>
        <w:rPr>
          <w:rFonts w:ascii="仿宋" w:hAnsi="仿宋" w:eastAsia="仿宋" w:cs="仿宋"/>
          <w:bCs/>
          <w:color w:val="auto"/>
          <w:sz w:val="21"/>
          <w:szCs w:val="21"/>
          <w:highlight w:val="none"/>
        </w:rPr>
        <w:t>用途：用于</w:t>
      </w:r>
      <w:r>
        <w:rPr>
          <w:rFonts w:hint="eastAsia" w:ascii="仿宋" w:hAnsi="仿宋" w:eastAsia="仿宋" w:cs="仿宋"/>
          <w:bCs/>
          <w:color w:val="auto"/>
          <w:sz w:val="21"/>
          <w:szCs w:val="21"/>
          <w:highlight w:val="none"/>
        </w:rPr>
        <w:t>小型禁、限带品暂存管理。</w:t>
      </w:r>
    </w:p>
    <w:p w14:paraId="6683CF03">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技术参数</w:t>
      </w:r>
      <w:r>
        <w:rPr>
          <w:rFonts w:hint="eastAsia" w:ascii="仿宋" w:hAnsi="仿宋" w:eastAsia="仿宋" w:cs="仿宋"/>
          <w:bCs/>
          <w:color w:val="auto"/>
          <w:sz w:val="21"/>
          <w:szCs w:val="21"/>
          <w:highlight w:val="none"/>
        </w:rPr>
        <w:t>及要求：</w:t>
      </w:r>
    </w:p>
    <w:p w14:paraId="2E3ED474">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w:t>
      </w:r>
      <w:r>
        <w:rPr>
          <w:rFonts w:ascii="仿宋" w:hAnsi="仿宋" w:eastAsia="仿宋" w:cs="仿宋"/>
          <w:bCs/>
          <w:color w:val="auto"/>
          <w:sz w:val="21"/>
          <w:szCs w:val="21"/>
          <w:highlight w:val="none"/>
        </w:rPr>
        <w:t>金属材质</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钢</w:t>
      </w:r>
      <w:r>
        <w:rPr>
          <w:rFonts w:hint="eastAsia" w:ascii="仿宋" w:hAnsi="仿宋" w:eastAsia="仿宋" w:cs="仿宋"/>
          <w:bCs/>
          <w:color w:val="auto"/>
          <w:sz w:val="21"/>
          <w:szCs w:val="21"/>
          <w:highlight w:val="none"/>
        </w:rPr>
        <w:t>制；</w:t>
      </w:r>
    </w:p>
    <w:p w14:paraId="261A13E9">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3.2.</w:t>
      </w:r>
      <w:r>
        <w:rPr>
          <w:rFonts w:ascii="仿宋" w:hAnsi="仿宋" w:eastAsia="仿宋" w:cs="仿宋"/>
          <w:bCs/>
          <w:color w:val="auto"/>
          <w:sz w:val="21"/>
          <w:szCs w:val="21"/>
          <w:highlight w:val="none"/>
        </w:rPr>
        <w:t>整柜尺寸</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1800mm高</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995mm宽</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300mm深</w:t>
      </w:r>
      <w:r>
        <w:rPr>
          <w:rFonts w:hint="eastAsia" w:ascii="仿宋" w:hAnsi="仿宋" w:eastAsia="仿宋" w:cs="仿宋"/>
          <w:bCs/>
          <w:color w:val="auto"/>
          <w:sz w:val="21"/>
          <w:szCs w:val="21"/>
          <w:highlight w:val="none"/>
        </w:rPr>
        <w:t>；</w:t>
      </w:r>
    </w:p>
    <w:p w14:paraId="6E65F9A7">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3.3.</w:t>
      </w:r>
      <w:r>
        <w:rPr>
          <w:rFonts w:ascii="仿宋" w:hAnsi="仿宋" w:eastAsia="仿宋" w:cs="仿宋"/>
          <w:bCs/>
          <w:color w:val="auto"/>
          <w:sz w:val="21"/>
          <w:szCs w:val="21"/>
          <w:highlight w:val="none"/>
        </w:rPr>
        <w:t>单门尺寸</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150mm高</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150mm宽</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300mm深</w:t>
      </w:r>
      <w:r>
        <w:rPr>
          <w:rFonts w:hint="eastAsia" w:ascii="仿宋" w:hAnsi="仿宋" w:eastAsia="仿宋" w:cs="仿宋"/>
          <w:bCs/>
          <w:color w:val="auto"/>
          <w:sz w:val="21"/>
          <w:szCs w:val="21"/>
          <w:highlight w:val="none"/>
        </w:rPr>
        <w:t>；</w:t>
      </w:r>
    </w:p>
    <w:p w14:paraId="78402FD9">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3.4.柜</w:t>
      </w:r>
      <w:r>
        <w:rPr>
          <w:rFonts w:ascii="仿宋" w:hAnsi="仿宋" w:eastAsia="仿宋" w:cs="仿宋"/>
          <w:bCs/>
          <w:color w:val="auto"/>
          <w:sz w:val="21"/>
          <w:szCs w:val="21"/>
          <w:highlight w:val="none"/>
        </w:rPr>
        <w:t>门数量</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40门</w:t>
      </w:r>
      <w:r>
        <w:rPr>
          <w:rFonts w:hint="eastAsia" w:ascii="仿宋" w:hAnsi="仿宋" w:eastAsia="仿宋" w:cs="仿宋"/>
          <w:bCs/>
          <w:color w:val="auto"/>
          <w:sz w:val="21"/>
          <w:szCs w:val="21"/>
          <w:highlight w:val="none"/>
        </w:rPr>
        <w:t>；</w:t>
      </w:r>
    </w:p>
    <w:p w14:paraId="55C2646E">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3.5.存取方式：</w:t>
      </w:r>
      <w:r>
        <w:rPr>
          <w:rFonts w:ascii="仿宋" w:hAnsi="仿宋" w:eastAsia="仿宋" w:cs="仿宋"/>
          <w:bCs/>
          <w:color w:val="auto"/>
          <w:sz w:val="21"/>
          <w:szCs w:val="21"/>
          <w:highlight w:val="none"/>
        </w:rPr>
        <w:t>人脸识别、密码功能</w:t>
      </w:r>
      <w:r>
        <w:rPr>
          <w:rFonts w:hint="eastAsia" w:ascii="仿宋" w:hAnsi="仿宋" w:eastAsia="仿宋" w:cs="仿宋"/>
          <w:bCs/>
          <w:color w:val="auto"/>
          <w:sz w:val="21"/>
          <w:szCs w:val="21"/>
          <w:highlight w:val="none"/>
        </w:rPr>
        <w:t>。</w:t>
      </w:r>
    </w:p>
    <w:p w14:paraId="35ED4E87">
      <w:pPr>
        <w:pStyle w:val="2"/>
        <w:spacing w:line="360" w:lineRule="auto"/>
        <w:contextualSpacing/>
        <w:rPr>
          <w:rFonts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（十二）品目1-12</w:t>
      </w:r>
      <w:r>
        <w:rPr>
          <w:rFonts w:ascii="仿宋" w:hAnsi="仿宋" w:eastAsia="仿宋" w:cs="仿宋"/>
          <w:b/>
          <w:bCs/>
          <w:color w:val="auto"/>
          <w:sz w:val="21"/>
          <w:szCs w:val="21"/>
          <w:highlight w:val="none"/>
        </w:rPr>
        <w:t>安检专用岗亭</w:t>
      </w:r>
    </w:p>
    <w:p w14:paraId="59AC7DAC">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w:t>
      </w:r>
      <w:r>
        <w:rPr>
          <w:rFonts w:ascii="仿宋" w:hAnsi="仿宋" w:eastAsia="仿宋" w:cs="仿宋"/>
          <w:bCs/>
          <w:color w:val="auto"/>
          <w:sz w:val="21"/>
          <w:szCs w:val="21"/>
          <w:highlight w:val="none"/>
        </w:rPr>
        <w:t>数量：</w:t>
      </w:r>
      <w:r>
        <w:rPr>
          <w:rFonts w:hint="eastAsia" w:ascii="仿宋" w:hAnsi="仿宋" w:eastAsia="仿宋" w:cs="仿宋"/>
          <w:bCs/>
          <w:color w:val="auto"/>
          <w:sz w:val="21"/>
          <w:szCs w:val="21"/>
          <w:highlight w:val="none"/>
        </w:rPr>
        <w:t>1</w:t>
      </w:r>
      <w:r>
        <w:rPr>
          <w:rFonts w:ascii="仿宋" w:hAnsi="仿宋" w:eastAsia="仿宋" w:cs="仿宋"/>
          <w:bCs/>
          <w:color w:val="auto"/>
          <w:sz w:val="21"/>
          <w:szCs w:val="21"/>
          <w:highlight w:val="none"/>
        </w:rPr>
        <w:t>台。</w:t>
      </w:r>
    </w:p>
    <w:p w14:paraId="0B5367F3">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w:t>
      </w:r>
      <w:r>
        <w:rPr>
          <w:rFonts w:ascii="仿宋" w:hAnsi="仿宋" w:eastAsia="仿宋" w:cs="仿宋"/>
          <w:bCs/>
          <w:color w:val="auto"/>
          <w:sz w:val="21"/>
          <w:szCs w:val="21"/>
          <w:highlight w:val="none"/>
        </w:rPr>
        <w:t>用途：用于</w:t>
      </w:r>
      <w:r>
        <w:rPr>
          <w:rFonts w:hint="eastAsia" w:ascii="仿宋" w:hAnsi="仿宋" w:eastAsia="仿宋" w:cs="仿宋"/>
          <w:bCs/>
          <w:color w:val="auto"/>
          <w:sz w:val="21"/>
          <w:szCs w:val="21"/>
          <w:highlight w:val="none"/>
        </w:rPr>
        <w:t>放置室外安检设备。</w:t>
      </w:r>
    </w:p>
    <w:p w14:paraId="77F677CE">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技术参数</w:t>
      </w:r>
      <w:r>
        <w:rPr>
          <w:rFonts w:hint="eastAsia" w:ascii="仿宋" w:hAnsi="仿宋" w:eastAsia="仿宋" w:cs="仿宋"/>
          <w:bCs/>
          <w:color w:val="auto"/>
          <w:sz w:val="21"/>
          <w:szCs w:val="21"/>
          <w:highlight w:val="none"/>
        </w:rPr>
        <w:t>及要求：</w:t>
      </w:r>
    </w:p>
    <w:p w14:paraId="21A8B96D">
      <w:pPr>
        <w:pStyle w:val="2"/>
        <w:spacing w:line="360" w:lineRule="auto"/>
        <w:contextualSpacing/>
        <w:rPr>
          <w:rFonts w:ascii="仿宋" w:hAnsi="仿宋" w:eastAsia="仿宋" w:cs="仿宋"/>
          <w:bCs/>
          <w:color w:val="auto"/>
          <w:szCs w:val="21"/>
          <w:highlight w:val="none"/>
        </w:rPr>
      </w:pPr>
      <w:r>
        <w:rPr>
          <w:rFonts w:hint="eastAsia" w:ascii="仿宋" w:hAnsi="仿宋" w:eastAsia="仿宋" w:cs="仿宋"/>
          <w:bCs/>
          <w:color w:val="auto"/>
          <w:sz w:val="21"/>
          <w:szCs w:val="21"/>
          <w:highlight w:val="none"/>
        </w:rPr>
        <w:t>3.1.整体外形尺寸：长</w:t>
      </w:r>
      <w:r>
        <w:rPr>
          <w:rFonts w:ascii="仿宋" w:hAnsi="仿宋" w:eastAsia="仿宋" w:cs="仿宋"/>
          <w:bCs/>
          <w:color w:val="auto"/>
          <w:sz w:val="21"/>
          <w:szCs w:val="21"/>
          <w:highlight w:val="none"/>
        </w:rPr>
        <w:t>6500mm</w:t>
      </w:r>
      <w:r>
        <w:rPr>
          <w:rFonts w:hint="eastAsia" w:ascii="仿宋" w:hAnsi="仿宋" w:eastAsia="仿宋" w:cs="仿宋"/>
          <w:bCs/>
          <w:color w:val="auto"/>
          <w:sz w:val="21"/>
          <w:szCs w:val="21"/>
          <w:highlight w:val="none"/>
        </w:rPr>
        <w:t>×宽</w:t>
      </w:r>
      <w:r>
        <w:rPr>
          <w:rFonts w:ascii="仿宋" w:hAnsi="仿宋" w:eastAsia="仿宋" w:cs="仿宋"/>
          <w:bCs/>
          <w:color w:val="auto"/>
          <w:sz w:val="21"/>
          <w:szCs w:val="21"/>
          <w:highlight w:val="none"/>
        </w:rPr>
        <w:t>3000mm</w:t>
      </w:r>
      <w:r>
        <w:rPr>
          <w:rFonts w:hint="eastAsia" w:ascii="仿宋" w:hAnsi="仿宋" w:eastAsia="仿宋" w:cs="仿宋"/>
          <w:bCs/>
          <w:color w:val="auto"/>
          <w:sz w:val="21"/>
          <w:szCs w:val="21"/>
          <w:highlight w:val="none"/>
        </w:rPr>
        <w:t>×高</w:t>
      </w:r>
      <w:r>
        <w:rPr>
          <w:rFonts w:ascii="仿宋" w:hAnsi="仿宋" w:eastAsia="仿宋" w:cs="仿宋"/>
          <w:bCs/>
          <w:color w:val="auto"/>
          <w:sz w:val="21"/>
          <w:szCs w:val="21"/>
          <w:highlight w:val="none"/>
        </w:rPr>
        <w:t>2400mm,</w:t>
      </w:r>
      <w:r>
        <w:rPr>
          <w:rFonts w:hint="eastAsia" w:ascii="仿宋" w:hAnsi="仿宋" w:eastAsia="仿宋" w:cs="仿宋"/>
          <w:bCs/>
          <w:color w:val="auto"/>
          <w:sz w:val="21"/>
          <w:szCs w:val="21"/>
          <w:highlight w:val="none"/>
        </w:rPr>
        <w:t>±2</w:t>
      </w:r>
      <w:r>
        <w:rPr>
          <w:rFonts w:ascii="仿宋" w:hAnsi="仿宋" w:eastAsia="仿宋" w:cs="仿宋"/>
          <w:bCs/>
          <w:color w:val="auto"/>
          <w:sz w:val="21"/>
          <w:szCs w:val="21"/>
          <w:highlight w:val="none"/>
        </w:rPr>
        <w:t>0mm</w:t>
      </w:r>
      <w:r>
        <w:rPr>
          <w:rFonts w:hint="eastAsia" w:ascii="仿宋" w:hAnsi="仿宋" w:eastAsia="仿宋" w:cs="仿宋"/>
          <w:bCs/>
          <w:color w:val="auto"/>
          <w:sz w:val="21"/>
          <w:szCs w:val="21"/>
          <w:highlight w:val="none"/>
        </w:rPr>
        <w:t>；</w:t>
      </w:r>
    </w:p>
    <w:p w14:paraId="418DC31E">
      <w:pPr>
        <w:pStyle w:val="2"/>
        <w:spacing w:line="360" w:lineRule="auto"/>
        <w:contextualSpacing/>
        <w:rPr>
          <w:rFonts w:ascii="仿宋" w:hAnsi="仿宋" w:eastAsia="仿宋" w:cs="仿宋"/>
          <w:bCs/>
          <w:color w:val="auto"/>
          <w:szCs w:val="21"/>
          <w:highlight w:val="none"/>
        </w:rPr>
      </w:pPr>
      <w:r>
        <w:rPr>
          <w:rFonts w:hint="eastAsia" w:ascii="仿宋" w:hAnsi="仿宋" w:eastAsia="仿宋" w:cs="仿宋"/>
          <w:bCs/>
          <w:color w:val="auto"/>
          <w:sz w:val="21"/>
          <w:szCs w:val="21"/>
          <w:highlight w:val="none"/>
        </w:rPr>
        <w:t>3.2.钢架基础：钢架构件规格：≥</w:t>
      </w:r>
      <w:r>
        <w:rPr>
          <w:rFonts w:ascii="仿宋" w:hAnsi="仿宋" w:eastAsia="仿宋" w:cs="仿宋"/>
          <w:bCs/>
          <w:color w:val="auto"/>
          <w:sz w:val="21"/>
          <w:szCs w:val="21"/>
          <w:highlight w:val="none"/>
        </w:rPr>
        <w:t>100mm</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100mm</w:t>
      </w:r>
      <w:r>
        <w:rPr>
          <w:rFonts w:hint="eastAsia" w:ascii="仿宋" w:hAnsi="仿宋" w:eastAsia="仿宋" w:cs="仿宋"/>
          <w:bCs/>
          <w:color w:val="auto"/>
          <w:sz w:val="21"/>
          <w:szCs w:val="21"/>
          <w:highlight w:val="none"/>
        </w:rPr>
        <w:t>方钢（国标）；</w:t>
      </w:r>
    </w:p>
    <w:p w14:paraId="490D2AE6">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3.3.地面及坡道钢板安装：材料：≥3mm花纹钢板；</w:t>
      </w:r>
    </w:p>
    <w:p w14:paraId="61A5CE74">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3.4.安装304拉丝不锈钢：材料：304拉丝不锈钢；含辅料（包括但不限于不锈钢焊丝、玻璃胶等）；</w:t>
      </w:r>
    </w:p>
    <w:p w14:paraId="56E7C752">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3.5.安装钢化玻璃：材料：≥10mm厚钢化玻璃；</w:t>
      </w:r>
    </w:p>
    <w:p w14:paraId="7FCF106D">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3.6.安装彩钢顶面：材料：≥100mm岩棉彩钢板；</w:t>
      </w:r>
    </w:p>
    <w:p w14:paraId="4EBF42FC">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3.7.安装双开玻璃门：钢化玻璃厚度≥12mm，配拉丝不锈钢大拉手、门夹及地簧；</w:t>
      </w:r>
    </w:p>
    <w:p w14:paraId="49732F3B">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3.8.安装铝扣板吊顶：铝扣板尺寸：600mm×600mm，±10mm；</w:t>
      </w:r>
    </w:p>
    <w:p w14:paraId="17A3E7AA">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3.9.安装LED平板灯：材料：LED平板灯尺寸：600mm×600mm，±10mm；</w:t>
      </w:r>
    </w:p>
    <w:p w14:paraId="4DC7C7EC">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3.10.安装照明管线及开关：材料：线管，电线及开关；</w:t>
      </w:r>
    </w:p>
    <w:p w14:paraId="7448727B">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3.11.坡道安装防滑橡胶垫：防滑橡胶垫厚度：≥25mm；</w:t>
      </w:r>
    </w:p>
    <w:p w14:paraId="37598CC7">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3.12.安装不锈钢扶手 ：材料：304不锈钢扶手直径≥50mm，立杆直径：≥25mm；</w:t>
      </w:r>
    </w:p>
    <w:p w14:paraId="231A606A">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3.13.混凝土基础墩:材料：混凝土等级：≥C25，尺寸：≥500mm×500mm×500mm，±10mm；</w:t>
      </w:r>
    </w:p>
    <w:p w14:paraId="58BDC9B7">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3.14.投标人负责原有地面拆除及恢复，基础位置步道砖拆除（待基础完成，利用中砂及水泥恢复安装）。</w:t>
      </w:r>
    </w:p>
    <w:p w14:paraId="5FD407D4">
      <w:pPr>
        <w:pStyle w:val="2"/>
        <w:spacing w:line="360" w:lineRule="auto"/>
        <w:contextualSpacing/>
        <w:rPr>
          <w:rFonts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（十三）品目1-13</w:t>
      </w:r>
      <w:r>
        <w:rPr>
          <w:rFonts w:ascii="仿宋" w:hAnsi="仿宋" w:eastAsia="仿宋" w:cs="仿宋"/>
          <w:b/>
          <w:bCs/>
          <w:color w:val="auto"/>
          <w:sz w:val="21"/>
          <w:szCs w:val="21"/>
          <w:highlight w:val="none"/>
        </w:rPr>
        <w:t>安检导流秩序装置</w:t>
      </w:r>
    </w:p>
    <w:p w14:paraId="6B4C74BE">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w:t>
      </w:r>
      <w:r>
        <w:rPr>
          <w:rFonts w:ascii="仿宋" w:hAnsi="仿宋" w:eastAsia="仿宋" w:cs="仿宋"/>
          <w:bCs/>
          <w:color w:val="auto"/>
          <w:sz w:val="21"/>
          <w:szCs w:val="21"/>
          <w:highlight w:val="none"/>
        </w:rPr>
        <w:t>数量：</w:t>
      </w:r>
      <w:r>
        <w:rPr>
          <w:rFonts w:hint="eastAsia" w:ascii="仿宋" w:hAnsi="仿宋" w:eastAsia="仿宋" w:cs="仿宋"/>
          <w:bCs/>
          <w:color w:val="auto"/>
          <w:sz w:val="21"/>
          <w:szCs w:val="21"/>
          <w:highlight w:val="none"/>
        </w:rPr>
        <w:t>15个。</w:t>
      </w:r>
    </w:p>
    <w:p w14:paraId="30180E78">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w:t>
      </w:r>
      <w:r>
        <w:rPr>
          <w:rFonts w:ascii="仿宋" w:hAnsi="仿宋" w:eastAsia="仿宋" w:cs="仿宋"/>
          <w:bCs/>
          <w:color w:val="auto"/>
          <w:sz w:val="21"/>
          <w:szCs w:val="21"/>
          <w:highlight w:val="none"/>
        </w:rPr>
        <w:t>用途：用于</w:t>
      </w:r>
      <w:r>
        <w:rPr>
          <w:rFonts w:hint="eastAsia" w:ascii="仿宋" w:hAnsi="仿宋" w:eastAsia="仿宋" w:cs="仿宋"/>
          <w:bCs/>
          <w:color w:val="auto"/>
          <w:sz w:val="21"/>
          <w:szCs w:val="21"/>
          <w:highlight w:val="none"/>
        </w:rPr>
        <w:t>安检人流秩序导向管理。</w:t>
      </w:r>
    </w:p>
    <w:p w14:paraId="0299EB08">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技术参数</w:t>
      </w:r>
      <w:r>
        <w:rPr>
          <w:rFonts w:hint="eastAsia" w:ascii="仿宋" w:hAnsi="仿宋" w:eastAsia="仿宋" w:cs="仿宋"/>
          <w:bCs/>
          <w:color w:val="auto"/>
          <w:sz w:val="21"/>
          <w:szCs w:val="21"/>
          <w:highlight w:val="none"/>
        </w:rPr>
        <w:t>及要求：</w:t>
      </w:r>
    </w:p>
    <w:p w14:paraId="4A07B5F8">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3.1.立柱</w:t>
      </w:r>
      <w:r>
        <w:rPr>
          <w:rFonts w:ascii="仿宋" w:hAnsi="仿宋" w:eastAsia="仿宋" w:cs="仿宋"/>
          <w:bCs/>
          <w:color w:val="auto"/>
          <w:sz w:val="21"/>
          <w:szCs w:val="21"/>
          <w:highlight w:val="none"/>
        </w:rPr>
        <w:t>：不锈钢</w:t>
      </w:r>
      <w:r>
        <w:rPr>
          <w:rFonts w:hint="eastAsia" w:ascii="仿宋" w:hAnsi="仿宋" w:eastAsia="仿宋" w:cs="仿宋"/>
          <w:bCs/>
          <w:color w:val="auto"/>
          <w:sz w:val="21"/>
          <w:szCs w:val="21"/>
          <w:highlight w:val="none"/>
        </w:rPr>
        <w:t>圆管；直径≥60mm，壁厚≥</w:t>
      </w:r>
      <w:r>
        <w:rPr>
          <w:rFonts w:ascii="仿宋" w:hAnsi="仿宋" w:eastAsia="仿宋" w:cs="仿宋"/>
          <w:bCs/>
          <w:color w:val="auto"/>
          <w:sz w:val="21"/>
          <w:szCs w:val="21"/>
          <w:highlight w:val="none"/>
        </w:rPr>
        <w:t>0.8mm</w:t>
      </w:r>
      <w:r>
        <w:rPr>
          <w:rFonts w:hint="eastAsia" w:ascii="仿宋" w:hAnsi="仿宋" w:eastAsia="仿宋" w:cs="仿宋"/>
          <w:bCs/>
          <w:color w:val="auto"/>
          <w:sz w:val="21"/>
          <w:szCs w:val="21"/>
          <w:highlight w:val="none"/>
        </w:rPr>
        <w:t>；高度1000mm。</w:t>
      </w:r>
    </w:p>
    <w:p w14:paraId="39FF67B3">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3.2.底座：</w:t>
      </w:r>
      <w:r>
        <w:rPr>
          <w:rFonts w:ascii="仿宋" w:hAnsi="仿宋" w:eastAsia="仿宋" w:cs="仿宋"/>
          <w:bCs/>
          <w:color w:val="auto"/>
          <w:sz w:val="21"/>
          <w:szCs w:val="21"/>
          <w:highlight w:val="none"/>
        </w:rPr>
        <w:t>实心铸铁/金属压铸加重</w:t>
      </w:r>
      <w:r>
        <w:rPr>
          <w:rFonts w:hint="eastAsia" w:ascii="仿宋" w:hAnsi="仿宋" w:eastAsia="仿宋" w:cs="仿宋"/>
          <w:bCs/>
          <w:color w:val="auto"/>
          <w:sz w:val="21"/>
          <w:szCs w:val="21"/>
          <w:highlight w:val="none"/>
        </w:rPr>
        <w:t>（表面不锈钢包覆）；直径≥280mm；底座</w:t>
      </w:r>
      <w:r>
        <w:rPr>
          <w:rFonts w:ascii="仿宋" w:hAnsi="仿宋" w:eastAsia="仿宋" w:cs="仿宋"/>
          <w:bCs/>
          <w:color w:val="auto"/>
          <w:sz w:val="21"/>
          <w:szCs w:val="21"/>
          <w:highlight w:val="none"/>
        </w:rPr>
        <w:t>底部</w:t>
      </w:r>
      <w:r>
        <w:rPr>
          <w:rFonts w:hint="eastAsia" w:ascii="仿宋" w:hAnsi="仿宋" w:eastAsia="仿宋" w:cs="仿宋"/>
          <w:bCs/>
          <w:color w:val="auto"/>
          <w:sz w:val="21"/>
          <w:szCs w:val="21"/>
          <w:highlight w:val="none"/>
        </w:rPr>
        <w:t>设</w:t>
      </w:r>
      <w:r>
        <w:rPr>
          <w:rFonts w:ascii="仿宋" w:hAnsi="仿宋" w:eastAsia="仿宋" w:cs="仿宋"/>
          <w:bCs/>
          <w:color w:val="auto"/>
          <w:sz w:val="21"/>
          <w:szCs w:val="21"/>
          <w:highlight w:val="none"/>
        </w:rPr>
        <w:t>防滑橡胶圈</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防刮地面、降噪、稳固</w:t>
      </w:r>
      <w:r>
        <w:rPr>
          <w:rFonts w:hint="eastAsia" w:ascii="仿宋" w:hAnsi="仿宋" w:eastAsia="仿宋" w:cs="仿宋"/>
          <w:bCs/>
          <w:color w:val="auto"/>
          <w:sz w:val="21"/>
          <w:szCs w:val="21"/>
          <w:highlight w:val="none"/>
        </w:rPr>
        <w:t>等）。</w:t>
      </w:r>
    </w:p>
    <w:p w14:paraId="0642AFF4">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3.3.伸缩带：</w:t>
      </w:r>
      <w:r>
        <w:rPr>
          <w:rFonts w:ascii="仿宋" w:hAnsi="仿宋" w:eastAsia="仿宋" w:cs="仿宋"/>
          <w:bCs/>
          <w:color w:val="auto"/>
          <w:sz w:val="21"/>
          <w:szCs w:val="21"/>
          <w:highlight w:val="none"/>
        </w:rPr>
        <w:t>材质</w:t>
      </w:r>
      <w:r>
        <w:rPr>
          <w:rFonts w:hint="eastAsia" w:ascii="仿宋" w:hAnsi="仿宋" w:eastAsia="仿宋" w:cs="仿宋"/>
          <w:bCs/>
          <w:color w:val="auto"/>
          <w:sz w:val="21"/>
          <w:szCs w:val="21"/>
          <w:highlight w:val="none"/>
        </w:rPr>
        <w:t>为</w:t>
      </w:r>
      <w:r>
        <w:rPr>
          <w:rFonts w:ascii="仿宋" w:hAnsi="仿宋" w:eastAsia="仿宋" w:cs="仿宋"/>
          <w:bCs/>
          <w:color w:val="auto"/>
          <w:sz w:val="21"/>
          <w:szCs w:val="21"/>
          <w:highlight w:val="none"/>
        </w:rPr>
        <w:t>高强涤纶/尼龙织带</w:t>
      </w:r>
      <w:r>
        <w:rPr>
          <w:rFonts w:hint="eastAsia" w:ascii="仿宋" w:hAnsi="仿宋" w:eastAsia="仿宋" w:cs="仿宋"/>
          <w:bCs/>
          <w:color w:val="auto"/>
          <w:sz w:val="21"/>
          <w:szCs w:val="21"/>
          <w:highlight w:val="none"/>
        </w:rPr>
        <w:t>；带宽≥</w:t>
      </w:r>
      <w:r>
        <w:rPr>
          <w:rFonts w:ascii="仿宋" w:hAnsi="仿宋" w:eastAsia="仿宋" w:cs="仿宋"/>
          <w:bCs/>
          <w:color w:val="auto"/>
          <w:sz w:val="21"/>
          <w:szCs w:val="21"/>
          <w:highlight w:val="none"/>
        </w:rPr>
        <w:t>48mm</w:t>
      </w:r>
      <w:r>
        <w:rPr>
          <w:rFonts w:hint="eastAsia" w:ascii="仿宋" w:hAnsi="仿宋" w:eastAsia="仿宋" w:cs="仿宋"/>
          <w:bCs/>
          <w:color w:val="auto"/>
          <w:sz w:val="21"/>
          <w:szCs w:val="21"/>
          <w:highlight w:val="none"/>
        </w:rPr>
        <w:t>，带厚≥1.2</w:t>
      </w:r>
      <w:r>
        <w:rPr>
          <w:rFonts w:ascii="仿宋" w:hAnsi="仿宋" w:eastAsia="仿宋" w:cs="仿宋"/>
          <w:bCs/>
          <w:color w:val="auto"/>
          <w:sz w:val="21"/>
          <w:szCs w:val="21"/>
          <w:highlight w:val="none"/>
        </w:rPr>
        <w:t>mm</w:t>
      </w:r>
      <w:r>
        <w:rPr>
          <w:rFonts w:hint="eastAsia" w:ascii="仿宋" w:hAnsi="仿宋" w:eastAsia="仿宋" w:cs="仿宋"/>
          <w:bCs/>
          <w:color w:val="auto"/>
          <w:sz w:val="21"/>
          <w:szCs w:val="21"/>
          <w:highlight w:val="none"/>
        </w:rPr>
        <w:t>。</w:t>
      </w:r>
    </w:p>
    <w:p w14:paraId="775944A6">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3.4.软隔离长度及配套指向地贴根据现场实际情况定制。</w:t>
      </w:r>
    </w:p>
    <w:p w14:paraId="4766EA91">
      <w:pPr>
        <w:pStyle w:val="2"/>
        <w:spacing w:line="360" w:lineRule="auto"/>
        <w:contextualSpacing/>
        <w:rPr>
          <w:rFonts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（十四）品目1-14</w:t>
      </w:r>
      <w:r>
        <w:rPr>
          <w:rFonts w:ascii="仿宋" w:hAnsi="仿宋" w:eastAsia="仿宋" w:cs="仿宋"/>
          <w:b/>
          <w:bCs/>
          <w:color w:val="auto"/>
          <w:sz w:val="21"/>
          <w:szCs w:val="21"/>
          <w:highlight w:val="none"/>
        </w:rPr>
        <w:t>人员速通门（左）</w:t>
      </w:r>
    </w:p>
    <w:p w14:paraId="3518837B">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w:t>
      </w:r>
      <w:r>
        <w:rPr>
          <w:rFonts w:ascii="仿宋" w:hAnsi="仿宋" w:eastAsia="仿宋" w:cs="仿宋"/>
          <w:bCs/>
          <w:color w:val="auto"/>
          <w:sz w:val="21"/>
          <w:szCs w:val="21"/>
          <w:highlight w:val="none"/>
        </w:rPr>
        <w:t>数量：</w:t>
      </w:r>
      <w:r>
        <w:rPr>
          <w:rFonts w:hint="eastAsia" w:ascii="仿宋" w:hAnsi="仿宋" w:eastAsia="仿宋" w:cs="仿宋"/>
          <w:bCs/>
          <w:color w:val="auto"/>
          <w:sz w:val="21"/>
          <w:szCs w:val="21"/>
          <w:highlight w:val="none"/>
        </w:rPr>
        <w:t>2</w:t>
      </w:r>
      <w:r>
        <w:rPr>
          <w:rFonts w:ascii="仿宋" w:hAnsi="仿宋" w:eastAsia="仿宋" w:cs="仿宋"/>
          <w:bCs/>
          <w:color w:val="auto"/>
          <w:sz w:val="21"/>
          <w:szCs w:val="21"/>
          <w:highlight w:val="none"/>
        </w:rPr>
        <w:t>台</w:t>
      </w:r>
      <w:r>
        <w:rPr>
          <w:rFonts w:hint="eastAsia" w:ascii="仿宋" w:hAnsi="仿宋" w:eastAsia="仿宋" w:cs="仿宋"/>
          <w:bCs/>
          <w:color w:val="auto"/>
          <w:sz w:val="21"/>
          <w:szCs w:val="21"/>
          <w:highlight w:val="none"/>
        </w:rPr>
        <w:t>。</w:t>
      </w:r>
    </w:p>
    <w:p w14:paraId="53495B18">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w:t>
      </w:r>
      <w:r>
        <w:rPr>
          <w:rFonts w:ascii="仿宋" w:hAnsi="仿宋" w:eastAsia="仿宋" w:cs="仿宋"/>
          <w:bCs/>
          <w:color w:val="auto"/>
          <w:sz w:val="21"/>
          <w:szCs w:val="21"/>
          <w:highlight w:val="none"/>
        </w:rPr>
        <w:t>用途：用于</w:t>
      </w:r>
      <w:r>
        <w:rPr>
          <w:rFonts w:hint="eastAsia" w:ascii="仿宋" w:hAnsi="仿宋" w:eastAsia="仿宋" w:cs="仿宋"/>
          <w:bCs/>
          <w:color w:val="auto"/>
          <w:sz w:val="21"/>
          <w:szCs w:val="21"/>
          <w:highlight w:val="none"/>
        </w:rPr>
        <w:t>人员进出管理。</w:t>
      </w:r>
    </w:p>
    <w:p w14:paraId="78694A35">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技术参数</w:t>
      </w:r>
      <w:r>
        <w:rPr>
          <w:rFonts w:hint="eastAsia" w:ascii="仿宋" w:hAnsi="仿宋" w:eastAsia="仿宋" w:cs="仿宋"/>
          <w:bCs/>
          <w:color w:val="auto"/>
          <w:sz w:val="21"/>
          <w:szCs w:val="21"/>
          <w:highlight w:val="none"/>
        </w:rPr>
        <w:t>及要求：</w:t>
      </w:r>
    </w:p>
    <w:p w14:paraId="2EBD77AE">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w:t>
      </w:r>
      <w:r>
        <w:rPr>
          <w:rFonts w:ascii="仿宋" w:hAnsi="仿宋" w:eastAsia="仿宋" w:cs="仿宋"/>
          <w:bCs/>
          <w:color w:val="auto"/>
          <w:sz w:val="21"/>
          <w:szCs w:val="21"/>
          <w:highlight w:val="none"/>
        </w:rPr>
        <w:t>通行模式：设备支持进出方向通行状态（受控、常开、常闭、感应、无障碍）的灵活配置</w:t>
      </w:r>
      <w:r>
        <w:rPr>
          <w:rFonts w:hint="eastAsia" w:ascii="仿宋" w:hAnsi="仿宋" w:eastAsia="仿宋" w:cs="仿宋"/>
          <w:bCs/>
          <w:color w:val="auto"/>
          <w:sz w:val="21"/>
          <w:szCs w:val="21"/>
          <w:highlight w:val="none"/>
        </w:rPr>
        <w:t>；</w:t>
      </w:r>
    </w:p>
    <w:p w14:paraId="597A16BE">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3.2.</w:t>
      </w:r>
      <w:r>
        <w:rPr>
          <w:rFonts w:ascii="仿宋" w:hAnsi="仿宋" w:eastAsia="仿宋" w:cs="仿宋"/>
          <w:bCs/>
          <w:color w:val="auto"/>
          <w:sz w:val="21"/>
          <w:szCs w:val="21"/>
          <w:highlight w:val="none"/>
        </w:rPr>
        <w:t>交叉通行：一方通行后在未关门前对向认证通过，门翼保持不动，由对向人员通行结束门翼再关闭</w:t>
      </w:r>
      <w:r>
        <w:rPr>
          <w:rFonts w:hint="eastAsia" w:ascii="仿宋" w:hAnsi="仿宋" w:eastAsia="仿宋" w:cs="仿宋"/>
          <w:bCs/>
          <w:color w:val="auto"/>
          <w:sz w:val="21"/>
          <w:szCs w:val="21"/>
          <w:highlight w:val="none"/>
        </w:rPr>
        <w:t>；</w:t>
      </w:r>
    </w:p>
    <w:p w14:paraId="5215C545">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3.自动复位：设备具有自动复位功能，开门后在规定的时间内未通行，系统将自动取消用户的本次通行的权限，可设定通行时间</w:t>
      </w:r>
      <w:r>
        <w:rPr>
          <w:rFonts w:hint="eastAsia" w:ascii="仿宋" w:hAnsi="仿宋" w:eastAsia="仿宋" w:cs="仿宋"/>
          <w:bCs/>
          <w:color w:val="auto"/>
          <w:sz w:val="21"/>
          <w:szCs w:val="21"/>
          <w:highlight w:val="none"/>
        </w:rPr>
        <w:t>；</w:t>
      </w:r>
    </w:p>
    <w:p w14:paraId="38ABCAD9">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4.记忆模式：设备支持记忆模式，可实现连续快速通行</w:t>
      </w:r>
      <w:r>
        <w:rPr>
          <w:rFonts w:hint="eastAsia" w:ascii="仿宋" w:hAnsi="仿宋" w:eastAsia="仿宋" w:cs="仿宋"/>
          <w:bCs/>
          <w:color w:val="auto"/>
          <w:sz w:val="21"/>
          <w:szCs w:val="21"/>
          <w:highlight w:val="none"/>
        </w:rPr>
        <w:t>；</w:t>
      </w:r>
    </w:p>
    <w:p w14:paraId="70BC2E8B">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5.消防联动：设备具有消防联动接口，当消防信号触发时，门翼自动打开，快速引导人员疏散</w:t>
      </w:r>
      <w:r>
        <w:rPr>
          <w:rFonts w:hint="eastAsia" w:ascii="仿宋" w:hAnsi="仿宋" w:eastAsia="仿宋" w:cs="仿宋"/>
          <w:bCs/>
          <w:color w:val="auto"/>
          <w:sz w:val="21"/>
          <w:szCs w:val="21"/>
          <w:highlight w:val="none"/>
        </w:rPr>
        <w:t>；</w:t>
      </w:r>
    </w:p>
    <w:p w14:paraId="5482A693">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 xml:space="preserve">6.断电通行：设备标配超级电容，断电时门翼自动打开，人员可自由通行，防止恐慌； </w:t>
      </w:r>
    </w:p>
    <w:p w14:paraId="4A4B77CD">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7.激光雷达防夹：设备具备激光雷达防夹功能，在门翼复位的过程中检测到激光雷达触发时电机自动停止工作,防止人员受伤</w:t>
      </w:r>
      <w:r>
        <w:rPr>
          <w:rFonts w:hint="eastAsia" w:ascii="仿宋" w:hAnsi="仿宋" w:eastAsia="仿宋" w:cs="仿宋"/>
          <w:bCs/>
          <w:color w:val="auto"/>
          <w:sz w:val="21"/>
          <w:szCs w:val="21"/>
          <w:highlight w:val="none"/>
        </w:rPr>
        <w:t>；</w:t>
      </w:r>
    </w:p>
    <w:p w14:paraId="00726427">
      <w:pPr>
        <w:pStyle w:val="2"/>
        <w:spacing w:line="360" w:lineRule="auto"/>
        <w:contextualSpacing/>
        <w:rPr>
          <w:rFonts w:ascii="仿宋" w:hAnsi="仿宋" w:eastAsia="仿宋" w:cs="仿宋"/>
          <w:bCs/>
          <w:color w:val="auto"/>
          <w:sz w:val="21"/>
          <w:szCs w:val="21"/>
          <w:highlight w:val="none"/>
        </w:rPr>
      </w:pPr>
      <w:r>
        <w:rPr>
          <w:rFonts w:ascii="仿宋" w:hAnsi="仿宋" w:eastAsia="仿宋" w:cs="仿宋"/>
          <w:bCs/>
          <w:color w:val="auto"/>
          <w:sz w:val="21"/>
          <w:szCs w:val="21"/>
          <w:highlight w:val="none"/>
        </w:rPr>
        <w:t>▲</w:t>
      </w: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8.防冲撞：设备处于关门状态时，有外力冲撞时门翼自动锁死，防冲撞扭力</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140N·m，应能快速恢复到正常状态，恢复时间不超过1秒</w:t>
      </w:r>
      <w:r>
        <w:rPr>
          <w:rFonts w:hint="eastAsia" w:ascii="仿宋" w:hAnsi="仿宋" w:eastAsia="仿宋" w:cs="仿宋"/>
          <w:bCs/>
          <w:color w:val="auto"/>
          <w:sz w:val="21"/>
          <w:szCs w:val="21"/>
          <w:highlight w:val="none"/>
        </w:rPr>
        <w:t>；</w:t>
      </w:r>
    </w:p>
    <w:p w14:paraId="63C40A1A">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9.人数统计：设备支持人数统计功能配置，可实时获取设备进出方向总人数</w:t>
      </w:r>
      <w:r>
        <w:rPr>
          <w:rFonts w:hint="eastAsia" w:ascii="仿宋" w:hAnsi="仿宋" w:eastAsia="仿宋" w:cs="仿宋"/>
          <w:bCs/>
          <w:color w:val="auto"/>
          <w:sz w:val="21"/>
          <w:szCs w:val="21"/>
          <w:highlight w:val="none"/>
        </w:rPr>
        <w:t>；</w:t>
      </w:r>
    </w:p>
    <w:p w14:paraId="761786EC">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10.人机互动：设备支持通道认证指示灯、门翼灯及镜头认证指示灯，支持认证结果语音自定义</w:t>
      </w:r>
      <w:r>
        <w:rPr>
          <w:rFonts w:hint="eastAsia" w:ascii="仿宋" w:hAnsi="仿宋" w:eastAsia="仿宋" w:cs="仿宋"/>
          <w:bCs/>
          <w:color w:val="auto"/>
          <w:sz w:val="21"/>
          <w:szCs w:val="21"/>
          <w:highlight w:val="none"/>
        </w:rPr>
        <w:t>；</w:t>
      </w:r>
    </w:p>
    <w:p w14:paraId="40526F1F">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11.管控模式：设备可根据实际管控需求设置警戒模式与宽松模式，默认为宽松模式</w:t>
      </w:r>
      <w:r>
        <w:rPr>
          <w:rFonts w:hint="eastAsia" w:ascii="仿宋" w:hAnsi="仿宋" w:eastAsia="仿宋" w:cs="仿宋"/>
          <w:bCs/>
          <w:color w:val="auto"/>
          <w:sz w:val="21"/>
          <w:szCs w:val="21"/>
          <w:highlight w:val="none"/>
        </w:rPr>
        <w:t>；</w:t>
      </w:r>
    </w:p>
    <w:p w14:paraId="6E676816">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12.远程控制：设备可选配遥控器或遥控平板支持远程控制</w:t>
      </w:r>
      <w:r>
        <w:rPr>
          <w:rFonts w:hint="eastAsia" w:ascii="仿宋" w:hAnsi="仿宋" w:eastAsia="仿宋" w:cs="仿宋"/>
          <w:bCs/>
          <w:color w:val="auto"/>
          <w:sz w:val="21"/>
          <w:szCs w:val="21"/>
          <w:highlight w:val="none"/>
        </w:rPr>
        <w:t>；</w:t>
      </w:r>
    </w:p>
    <w:p w14:paraId="1E983B84">
      <w:pPr>
        <w:pStyle w:val="2"/>
        <w:spacing w:line="360" w:lineRule="auto"/>
        <w:contextualSpacing/>
        <w:rPr>
          <w:rFonts w:ascii="仿宋" w:hAnsi="仿宋" w:eastAsia="仿宋" w:cs="仿宋"/>
          <w:bCs/>
          <w:color w:val="auto"/>
          <w:sz w:val="21"/>
          <w:szCs w:val="21"/>
          <w:highlight w:val="none"/>
        </w:rPr>
      </w:pPr>
      <w:r>
        <w:rPr>
          <w:rFonts w:ascii="仿宋" w:hAnsi="仿宋" w:eastAsia="仿宋" w:cs="仿宋"/>
          <w:bCs/>
          <w:color w:val="auto"/>
          <w:sz w:val="21"/>
          <w:szCs w:val="21"/>
          <w:highlight w:val="none"/>
        </w:rPr>
        <w:t>▲</w:t>
      </w: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13.行为检测：设备应支持异常开门、翻越、滞留、反向闯入、尾随、通行超时、误闯等行为检测，且会有报警提示（包括语音播报、指示灯、IO信号联动输出），同时上传报警事件</w:t>
      </w:r>
      <w:r>
        <w:rPr>
          <w:rFonts w:hint="eastAsia" w:ascii="仿宋" w:hAnsi="仿宋" w:eastAsia="仿宋" w:cs="仿宋"/>
          <w:bCs/>
          <w:color w:val="auto"/>
          <w:sz w:val="21"/>
          <w:szCs w:val="21"/>
          <w:highlight w:val="none"/>
        </w:rPr>
        <w:t>；</w:t>
      </w:r>
    </w:p>
    <w:p w14:paraId="0337CBDD">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14.电机类型：无刷直流伺服电机</w:t>
      </w:r>
      <w:r>
        <w:rPr>
          <w:rFonts w:hint="eastAsia" w:ascii="仿宋" w:hAnsi="仿宋" w:eastAsia="仿宋" w:cs="仿宋"/>
          <w:bCs/>
          <w:color w:val="auto"/>
          <w:sz w:val="21"/>
          <w:szCs w:val="21"/>
          <w:highlight w:val="none"/>
        </w:rPr>
        <w:t>；</w:t>
      </w:r>
    </w:p>
    <w:p w14:paraId="45704F24">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15.设备容量：</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10万人员、</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10万人脸、</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20万卡片、</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10万事件</w:t>
      </w:r>
      <w:r>
        <w:rPr>
          <w:rFonts w:hint="eastAsia" w:ascii="仿宋" w:hAnsi="仿宋" w:eastAsia="仿宋" w:cs="仿宋"/>
          <w:bCs/>
          <w:color w:val="auto"/>
          <w:sz w:val="21"/>
          <w:szCs w:val="21"/>
          <w:highlight w:val="none"/>
        </w:rPr>
        <w:t>；</w:t>
      </w:r>
    </w:p>
    <w:p w14:paraId="4BF71981">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16.认证方式：标配IC/CPU/身份证读卡器、LED屏幕、一体化摄像头;双目200w像素摄像头模组，支持通道出向面部识别</w:t>
      </w:r>
      <w:r>
        <w:rPr>
          <w:rFonts w:hint="eastAsia" w:ascii="仿宋" w:hAnsi="仿宋" w:eastAsia="仿宋" w:cs="仿宋"/>
          <w:bCs/>
          <w:color w:val="auto"/>
          <w:sz w:val="21"/>
          <w:szCs w:val="21"/>
          <w:highlight w:val="none"/>
        </w:rPr>
        <w:t>；</w:t>
      </w:r>
    </w:p>
    <w:p w14:paraId="41C70667">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17.激光雷达：设备应采用14个自收自发的激光雷达探测器,无需收发对齐</w:t>
      </w:r>
      <w:r>
        <w:rPr>
          <w:rFonts w:hint="eastAsia" w:ascii="仿宋" w:hAnsi="仿宋" w:eastAsia="仿宋" w:cs="仿宋"/>
          <w:bCs/>
          <w:color w:val="auto"/>
          <w:sz w:val="21"/>
          <w:szCs w:val="21"/>
          <w:highlight w:val="none"/>
        </w:rPr>
        <w:t>；</w:t>
      </w:r>
    </w:p>
    <w:p w14:paraId="778647B3">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3.18.</w:t>
      </w:r>
      <w:r>
        <w:rPr>
          <w:rFonts w:ascii="仿宋" w:hAnsi="仿宋" w:eastAsia="仿宋" w:cs="仿宋"/>
          <w:bCs/>
          <w:color w:val="auto"/>
          <w:sz w:val="21"/>
          <w:szCs w:val="21"/>
          <w:highlight w:val="none"/>
        </w:rPr>
        <w:t>产品尺寸：</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1500mm×130mm×1070mm</w:t>
      </w:r>
      <w:r>
        <w:rPr>
          <w:rFonts w:hint="eastAsia" w:ascii="仿宋" w:hAnsi="仿宋" w:eastAsia="仿宋" w:cs="仿宋"/>
          <w:bCs/>
          <w:color w:val="auto"/>
          <w:sz w:val="21"/>
          <w:szCs w:val="21"/>
          <w:highlight w:val="none"/>
        </w:rPr>
        <w:t>；</w:t>
      </w:r>
    </w:p>
    <w:p w14:paraId="78D6B9B1">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w:t>
      </w:r>
      <w:r>
        <w:rPr>
          <w:rFonts w:hint="eastAsia" w:ascii="仿宋" w:hAnsi="仿宋" w:eastAsia="仿宋" w:cs="仿宋"/>
          <w:bCs/>
          <w:color w:val="auto"/>
          <w:sz w:val="21"/>
          <w:szCs w:val="21"/>
          <w:highlight w:val="none"/>
        </w:rPr>
        <w:t>9</w:t>
      </w:r>
      <w:r>
        <w:rPr>
          <w:rFonts w:ascii="仿宋" w:hAnsi="仿宋" w:eastAsia="仿宋" w:cs="仿宋"/>
          <w:bCs/>
          <w:color w:val="auto"/>
          <w:sz w:val="21"/>
          <w:szCs w:val="21"/>
          <w:highlight w:val="none"/>
        </w:rPr>
        <w:t>.通道宽度：</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550-950mm</w:t>
      </w:r>
      <w:r>
        <w:rPr>
          <w:rFonts w:hint="eastAsia" w:ascii="仿宋" w:hAnsi="仿宋" w:eastAsia="仿宋" w:cs="仿宋"/>
          <w:bCs/>
          <w:color w:val="auto"/>
          <w:sz w:val="21"/>
          <w:szCs w:val="21"/>
          <w:highlight w:val="none"/>
        </w:rPr>
        <w:t>；</w:t>
      </w:r>
    </w:p>
    <w:p w14:paraId="0AE86AC5">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3.20</w:t>
      </w:r>
      <w:r>
        <w:rPr>
          <w:rFonts w:ascii="仿宋" w:hAnsi="仿宋" w:eastAsia="仿宋" w:cs="仿宋"/>
          <w:bCs/>
          <w:color w:val="auto"/>
          <w:sz w:val="21"/>
          <w:szCs w:val="21"/>
          <w:highlight w:val="none"/>
        </w:rPr>
        <w:t>.箱体材质：SUS304拉丝不锈钢；</w:t>
      </w:r>
    </w:p>
    <w:p w14:paraId="241D5223">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2</w:t>
      </w:r>
      <w:r>
        <w:rPr>
          <w:rFonts w:hint="eastAsia" w:ascii="仿宋" w:hAnsi="仿宋" w:eastAsia="仿宋" w:cs="仿宋"/>
          <w:bCs/>
          <w:color w:val="auto"/>
          <w:sz w:val="21"/>
          <w:szCs w:val="21"/>
          <w:highlight w:val="none"/>
        </w:rPr>
        <w:t>1</w:t>
      </w:r>
      <w:r>
        <w:rPr>
          <w:rFonts w:ascii="仿宋" w:hAnsi="仿宋" w:eastAsia="仿宋" w:cs="仿宋"/>
          <w:bCs/>
          <w:color w:val="auto"/>
          <w:sz w:val="21"/>
          <w:szCs w:val="21"/>
          <w:highlight w:val="none"/>
        </w:rPr>
        <w:t>.门翼材质：亚克力;不锈钢;其中亚克力厚度</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10mm；</w:t>
      </w:r>
    </w:p>
    <w:p w14:paraId="42A0CEA3">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2</w:t>
      </w:r>
      <w:r>
        <w:rPr>
          <w:rFonts w:hint="eastAsia" w:ascii="仿宋" w:hAnsi="仿宋" w:eastAsia="仿宋" w:cs="仿宋"/>
          <w:bCs/>
          <w:color w:val="auto"/>
          <w:sz w:val="21"/>
          <w:szCs w:val="21"/>
          <w:highlight w:val="none"/>
        </w:rPr>
        <w:t>2</w:t>
      </w:r>
      <w:r>
        <w:rPr>
          <w:rFonts w:ascii="仿宋" w:hAnsi="仿宋" w:eastAsia="仿宋" w:cs="仿宋"/>
          <w:bCs/>
          <w:color w:val="auto"/>
          <w:sz w:val="21"/>
          <w:szCs w:val="21"/>
          <w:highlight w:val="none"/>
        </w:rPr>
        <w:t>.通行速率：</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20-60人每分钟；</w:t>
      </w:r>
    </w:p>
    <w:p w14:paraId="6F79C332">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2</w:t>
      </w: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w:t>
      </w:r>
      <w:r>
        <w:rPr>
          <w:rFonts w:hint="eastAsia" w:ascii="仿宋" w:hAnsi="仿宋" w:eastAsia="仿宋" w:cs="仿宋"/>
          <w:bCs/>
          <w:color w:val="auto"/>
          <w:sz w:val="21"/>
          <w:szCs w:val="21"/>
          <w:highlight w:val="none"/>
        </w:rPr>
        <w:t>运行</w:t>
      </w:r>
      <w:r>
        <w:rPr>
          <w:rFonts w:ascii="仿宋" w:hAnsi="仿宋" w:eastAsia="仿宋" w:cs="仿宋"/>
          <w:bCs/>
          <w:color w:val="auto"/>
          <w:sz w:val="21"/>
          <w:szCs w:val="21"/>
          <w:highlight w:val="none"/>
        </w:rPr>
        <w:t>功耗：</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180W；</w:t>
      </w:r>
    </w:p>
    <w:p w14:paraId="0D66127A">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2</w:t>
      </w:r>
      <w:r>
        <w:rPr>
          <w:rFonts w:hint="eastAsia" w:ascii="仿宋" w:hAnsi="仿宋" w:eastAsia="仿宋" w:cs="仿宋"/>
          <w:bCs/>
          <w:color w:val="auto"/>
          <w:sz w:val="21"/>
          <w:szCs w:val="21"/>
          <w:highlight w:val="none"/>
        </w:rPr>
        <w:t>4</w:t>
      </w:r>
      <w:r>
        <w:rPr>
          <w:rFonts w:ascii="仿宋" w:hAnsi="仿宋" w:eastAsia="仿宋" w:cs="仿宋"/>
          <w:bCs/>
          <w:color w:val="auto"/>
          <w:sz w:val="21"/>
          <w:szCs w:val="21"/>
          <w:highlight w:val="none"/>
        </w:rPr>
        <w:t>.工作温度：-20℃-+70℃</w:t>
      </w:r>
      <w:r>
        <w:rPr>
          <w:rFonts w:hint="eastAsia" w:ascii="仿宋" w:hAnsi="仿宋" w:eastAsia="仿宋" w:cs="仿宋"/>
          <w:bCs/>
          <w:color w:val="auto"/>
          <w:sz w:val="21"/>
          <w:szCs w:val="21"/>
          <w:highlight w:val="none"/>
        </w:rPr>
        <w:t>；</w:t>
      </w:r>
    </w:p>
    <w:p w14:paraId="093829C5">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2</w:t>
      </w:r>
      <w:r>
        <w:rPr>
          <w:rFonts w:hint="eastAsia" w:ascii="仿宋" w:hAnsi="仿宋" w:eastAsia="仿宋" w:cs="仿宋"/>
          <w:bCs/>
          <w:color w:val="auto"/>
          <w:sz w:val="21"/>
          <w:szCs w:val="21"/>
          <w:highlight w:val="none"/>
        </w:rPr>
        <w:t>5</w:t>
      </w:r>
      <w:r>
        <w:rPr>
          <w:rFonts w:ascii="仿宋" w:hAnsi="仿宋" w:eastAsia="仿宋" w:cs="仿宋"/>
          <w:bCs/>
          <w:color w:val="auto"/>
          <w:sz w:val="21"/>
          <w:szCs w:val="21"/>
          <w:highlight w:val="none"/>
        </w:rPr>
        <w:t>.工作湿度：0%至95%（不凝聚成水滴）</w:t>
      </w:r>
      <w:r>
        <w:rPr>
          <w:rFonts w:hint="eastAsia" w:ascii="仿宋" w:hAnsi="仿宋" w:eastAsia="仿宋" w:cs="仿宋"/>
          <w:bCs/>
          <w:color w:val="auto"/>
          <w:sz w:val="21"/>
          <w:szCs w:val="21"/>
          <w:highlight w:val="none"/>
        </w:rPr>
        <w:t>。</w:t>
      </w:r>
    </w:p>
    <w:p w14:paraId="4C624002">
      <w:pPr>
        <w:pStyle w:val="2"/>
        <w:spacing w:line="360" w:lineRule="auto"/>
        <w:contextualSpacing/>
        <w:rPr>
          <w:rFonts w:ascii="仿宋" w:hAnsi="仿宋" w:eastAsia="仿宋" w:cs="仿宋"/>
          <w:bCs/>
          <w:color w:val="auto"/>
          <w:sz w:val="21"/>
          <w:szCs w:val="21"/>
          <w:highlight w:val="none"/>
        </w:rPr>
      </w:pPr>
      <w:r>
        <w:rPr>
          <w:rFonts w:ascii="仿宋" w:hAnsi="仿宋" w:eastAsia="仿宋" w:cs="仿宋"/>
          <w:b/>
          <w:bCs/>
          <w:color w:val="auto"/>
          <w:sz w:val="21"/>
          <w:szCs w:val="21"/>
          <w:highlight w:val="none"/>
        </w:rPr>
        <w:t>注：</w:t>
      </w:r>
      <w:r>
        <w:rPr>
          <w:rFonts w:hint="eastAsia" w:ascii="仿宋" w:hAnsi="仿宋" w:eastAsia="仿宋" w:cs="仿宋"/>
          <w:b/>
          <w:bCs/>
          <w:color w:val="auto"/>
          <w:sz w:val="21"/>
          <w:szCs w:val="21"/>
          <w:highlight w:val="none"/>
        </w:rPr>
        <w:t>以上▲号条款需提供具备CMA资质的第三方检测报告复印件作为证明材料（原件备查），否则视作不满足</w:t>
      </w:r>
      <w:r>
        <w:rPr>
          <w:rFonts w:ascii="仿宋" w:hAnsi="仿宋" w:eastAsia="仿宋" w:cs="仿宋"/>
          <w:bCs/>
          <w:color w:val="auto"/>
          <w:sz w:val="21"/>
          <w:szCs w:val="21"/>
          <w:highlight w:val="none"/>
        </w:rPr>
        <w:t>。</w:t>
      </w:r>
    </w:p>
    <w:p w14:paraId="5E4FDE52">
      <w:pPr>
        <w:pStyle w:val="2"/>
        <w:spacing w:line="360" w:lineRule="auto"/>
        <w:contextualSpacing/>
        <w:rPr>
          <w:rFonts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（十五）品目1-15</w:t>
      </w:r>
      <w:r>
        <w:rPr>
          <w:rFonts w:ascii="仿宋" w:hAnsi="仿宋" w:eastAsia="仿宋" w:cs="仿宋"/>
          <w:b/>
          <w:bCs/>
          <w:color w:val="auto"/>
          <w:sz w:val="21"/>
          <w:szCs w:val="21"/>
          <w:highlight w:val="none"/>
        </w:rPr>
        <w:t>人员速通门（中）</w:t>
      </w:r>
    </w:p>
    <w:p w14:paraId="375D10FA">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w:t>
      </w:r>
      <w:r>
        <w:rPr>
          <w:rFonts w:ascii="仿宋" w:hAnsi="仿宋" w:eastAsia="仿宋" w:cs="仿宋"/>
          <w:bCs/>
          <w:color w:val="auto"/>
          <w:sz w:val="21"/>
          <w:szCs w:val="21"/>
          <w:highlight w:val="none"/>
        </w:rPr>
        <w:t>数量：</w:t>
      </w:r>
      <w:r>
        <w:rPr>
          <w:rFonts w:hint="eastAsia" w:ascii="仿宋" w:hAnsi="仿宋" w:eastAsia="仿宋" w:cs="仿宋"/>
          <w:bCs/>
          <w:color w:val="auto"/>
          <w:sz w:val="21"/>
          <w:szCs w:val="21"/>
          <w:highlight w:val="none"/>
        </w:rPr>
        <w:t>2</w:t>
      </w:r>
      <w:r>
        <w:rPr>
          <w:rFonts w:ascii="仿宋" w:hAnsi="仿宋" w:eastAsia="仿宋" w:cs="仿宋"/>
          <w:bCs/>
          <w:color w:val="auto"/>
          <w:sz w:val="21"/>
          <w:szCs w:val="21"/>
          <w:highlight w:val="none"/>
        </w:rPr>
        <w:t>台</w:t>
      </w:r>
      <w:r>
        <w:rPr>
          <w:rFonts w:hint="eastAsia" w:ascii="仿宋" w:hAnsi="仿宋" w:eastAsia="仿宋" w:cs="仿宋"/>
          <w:bCs/>
          <w:color w:val="auto"/>
          <w:sz w:val="21"/>
          <w:szCs w:val="21"/>
          <w:highlight w:val="none"/>
        </w:rPr>
        <w:t>。</w:t>
      </w:r>
    </w:p>
    <w:p w14:paraId="2C49C56A">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w:t>
      </w:r>
      <w:r>
        <w:rPr>
          <w:rFonts w:ascii="仿宋" w:hAnsi="仿宋" w:eastAsia="仿宋" w:cs="仿宋"/>
          <w:bCs/>
          <w:color w:val="auto"/>
          <w:sz w:val="21"/>
          <w:szCs w:val="21"/>
          <w:highlight w:val="none"/>
        </w:rPr>
        <w:t>用途：用于</w:t>
      </w:r>
      <w:r>
        <w:rPr>
          <w:rFonts w:hint="eastAsia" w:ascii="仿宋" w:hAnsi="仿宋" w:eastAsia="仿宋" w:cs="仿宋"/>
          <w:bCs/>
          <w:color w:val="auto"/>
          <w:sz w:val="21"/>
          <w:szCs w:val="21"/>
          <w:highlight w:val="none"/>
        </w:rPr>
        <w:t>人员进出管理。</w:t>
      </w:r>
    </w:p>
    <w:p w14:paraId="5079281F">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技术参数</w:t>
      </w:r>
      <w:r>
        <w:rPr>
          <w:rFonts w:hint="eastAsia" w:ascii="仿宋" w:hAnsi="仿宋" w:eastAsia="仿宋" w:cs="仿宋"/>
          <w:bCs/>
          <w:color w:val="auto"/>
          <w:sz w:val="21"/>
          <w:szCs w:val="21"/>
          <w:highlight w:val="none"/>
        </w:rPr>
        <w:t>及要求：</w:t>
      </w:r>
    </w:p>
    <w:p w14:paraId="4B410DAF">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w:t>
      </w:r>
      <w:r>
        <w:rPr>
          <w:rFonts w:ascii="仿宋" w:hAnsi="仿宋" w:eastAsia="仿宋" w:cs="仿宋"/>
          <w:bCs/>
          <w:color w:val="auto"/>
          <w:sz w:val="21"/>
          <w:szCs w:val="21"/>
          <w:highlight w:val="none"/>
        </w:rPr>
        <w:t>通行模式：设备支持进出方向通行状态（受控、常开、常闭、感应、无障碍）的灵活配置</w:t>
      </w:r>
      <w:r>
        <w:rPr>
          <w:rFonts w:hint="eastAsia" w:ascii="仿宋" w:hAnsi="仿宋" w:eastAsia="仿宋" w:cs="仿宋"/>
          <w:bCs/>
          <w:color w:val="auto"/>
          <w:sz w:val="21"/>
          <w:szCs w:val="21"/>
          <w:highlight w:val="none"/>
        </w:rPr>
        <w:t>；</w:t>
      </w:r>
    </w:p>
    <w:p w14:paraId="01655445">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2.交叉通行：一方通行后在未关门前对向认证通过，门翼保持不动，由对向人员通行结束门翼再关闭</w:t>
      </w:r>
      <w:r>
        <w:rPr>
          <w:rFonts w:hint="eastAsia" w:ascii="仿宋" w:hAnsi="仿宋" w:eastAsia="仿宋" w:cs="仿宋"/>
          <w:bCs/>
          <w:color w:val="auto"/>
          <w:sz w:val="21"/>
          <w:szCs w:val="21"/>
          <w:highlight w:val="none"/>
        </w:rPr>
        <w:t>；</w:t>
      </w:r>
    </w:p>
    <w:p w14:paraId="083414FD">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3.自动复位：设备具有自动复位功能，开门后在规定的时间内未通行，系统将自动取消用户的本次通行的权限，可设定通行时间</w:t>
      </w:r>
      <w:r>
        <w:rPr>
          <w:rFonts w:hint="eastAsia" w:ascii="仿宋" w:hAnsi="仿宋" w:eastAsia="仿宋" w:cs="仿宋"/>
          <w:bCs/>
          <w:color w:val="auto"/>
          <w:sz w:val="21"/>
          <w:szCs w:val="21"/>
          <w:highlight w:val="none"/>
        </w:rPr>
        <w:t>；</w:t>
      </w:r>
    </w:p>
    <w:p w14:paraId="521F9B69">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4.记忆模式：设备支持记忆模式，可实现连续快速通行</w:t>
      </w:r>
      <w:r>
        <w:rPr>
          <w:rFonts w:hint="eastAsia" w:ascii="仿宋" w:hAnsi="仿宋" w:eastAsia="仿宋" w:cs="仿宋"/>
          <w:bCs/>
          <w:color w:val="auto"/>
          <w:sz w:val="21"/>
          <w:szCs w:val="21"/>
          <w:highlight w:val="none"/>
        </w:rPr>
        <w:t>；</w:t>
      </w:r>
    </w:p>
    <w:p w14:paraId="37C6F4FC">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5.消防联动：设备具有消防联动接口，当消防信号触发时，门翼自动打开，快速引导人员疏散</w:t>
      </w:r>
      <w:r>
        <w:rPr>
          <w:rFonts w:hint="eastAsia" w:ascii="仿宋" w:hAnsi="仿宋" w:eastAsia="仿宋" w:cs="仿宋"/>
          <w:bCs/>
          <w:color w:val="auto"/>
          <w:sz w:val="21"/>
          <w:szCs w:val="21"/>
          <w:highlight w:val="none"/>
        </w:rPr>
        <w:t>；</w:t>
      </w:r>
    </w:p>
    <w:p w14:paraId="4EFC19CD">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 xml:space="preserve">6.断电通行：设备标配超级电容，断电时门翼自动打开，人员可自由通行，防止恐慌； </w:t>
      </w:r>
    </w:p>
    <w:p w14:paraId="263EC5A5">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7.防夹模式：设备应同时支持电流防夹（机械防夹）和激光雷达防夹两种模式</w:t>
      </w:r>
      <w:r>
        <w:rPr>
          <w:rFonts w:hint="eastAsia" w:ascii="仿宋" w:hAnsi="仿宋" w:eastAsia="仿宋" w:cs="仿宋"/>
          <w:bCs/>
          <w:color w:val="auto"/>
          <w:sz w:val="21"/>
          <w:szCs w:val="21"/>
          <w:highlight w:val="none"/>
        </w:rPr>
        <w:t>；</w:t>
      </w:r>
    </w:p>
    <w:p w14:paraId="61F583F4">
      <w:pPr>
        <w:pStyle w:val="2"/>
        <w:spacing w:line="360" w:lineRule="auto"/>
        <w:contextualSpacing/>
        <w:rPr>
          <w:rFonts w:ascii="仿宋" w:hAnsi="仿宋" w:eastAsia="仿宋" w:cs="仿宋"/>
          <w:bCs/>
          <w:color w:val="auto"/>
          <w:sz w:val="21"/>
          <w:szCs w:val="21"/>
          <w:highlight w:val="none"/>
        </w:rPr>
      </w:pPr>
      <w:r>
        <w:rPr>
          <w:rFonts w:ascii="仿宋" w:hAnsi="仿宋" w:eastAsia="仿宋" w:cs="仿宋"/>
          <w:bCs/>
          <w:color w:val="auto"/>
          <w:sz w:val="21"/>
          <w:szCs w:val="21"/>
          <w:highlight w:val="none"/>
        </w:rPr>
        <w:t>▲</w:t>
      </w: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8.防冲撞：设备处于关门状态时，有外力冲撞时门翼自动锁死，防冲撞扭力</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140N·m，应能快速恢复到正常状态，恢复时间不超过1秒</w:t>
      </w:r>
      <w:r>
        <w:rPr>
          <w:rFonts w:hint="eastAsia" w:ascii="仿宋" w:hAnsi="仿宋" w:eastAsia="仿宋" w:cs="仿宋"/>
          <w:bCs/>
          <w:color w:val="auto"/>
          <w:sz w:val="21"/>
          <w:szCs w:val="21"/>
          <w:highlight w:val="none"/>
        </w:rPr>
        <w:t>；</w:t>
      </w:r>
    </w:p>
    <w:p w14:paraId="5E76C36E">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9.人数统计：设备支持人数统计功能配置，可实时获取设备进出方向总人数</w:t>
      </w:r>
      <w:r>
        <w:rPr>
          <w:rFonts w:hint="eastAsia" w:ascii="仿宋" w:hAnsi="仿宋" w:eastAsia="仿宋" w:cs="仿宋"/>
          <w:bCs/>
          <w:color w:val="auto"/>
          <w:sz w:val="21"/>
          <w:szCs w:val="21"/>
          <w:highlight w:val="none"/>
        </w:rPr>
        <w:t>；</w:t>
      </w:r>
    </w:p>
    <w:p w14:paraId="04036614">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10.人机互动：设备支持通道认证指示灯、门翼灯及镜头认证指示灯，支持认证结果语音自定义</w:t>
      </w:r>
      <w:r>
        <w:rPr>
          <w:rFonts w:hint="eastAsia" w:ascii="仿宋" w:hAnsi="仿宋" w:eastAsia="仿宋" w:cs="仿宋"/>
          <w:bCs/>
          <w:color w:val="auto"/>
          <w:sz w:val="21"/>
          <w:szCs w:val="21"/>
          <w:highlight w:val="none"/>
        </w:rPr>
        <w:t>；</w:t>
      </w:r>
    </w:p>
    <w:p w14:paraId="74732AAE">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11.管控模式：设备可根据实际管控需求设置警戒模式与宽松模式，默认为宽松模式</w:t>
      </w:r>
      <w:r>
        <w:rPr>
          <w:rFonts w:hint="eastAsia" w:ascii="仿宋" w:hAnsi="仿宋" w:eastAsia="仿宋" w:cs="仿宋"/>
          <w:bCs/>
          <w:color w:val="auto"/>
          <w:sz w:val="21"/>
          <w:szCs w:val="21"/>
          <w:highlight w:val="none"/>
        </w:rPr>
        <w:t>；</w:t>
      </w:r>
    </w:p>
    <w:p w14:paraId="39DC11D4">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12.远程控制：设备可选配遥控器或遥控平板支持远程控制</w:t>
      </w:r>
      <w:r>
        <w:rPr>
          <w:rFonts w:hint="eastAsia" w:ascii="仿宋" w:hAnsi="仿宋" w:eastAsia="仿宋" w:cs="仿宋"/>
          <w:bCs/>
          <w:color w:val="auto"/>
          <w:sz w:val="21"/>
          <w:szCs w:val="21"/>
          <w:highlight w:val="none"/>
        </w:rPr>
        <w:t>；</w:t>
      </w:r>
    </w:p>
    <w:p w14:paraId="6F3ECD5A">
      <w:pPr>
        <w:pStyle w:val="2"/>
        <w:spacing w:line="360" w:lineRule="auto"/>
        <w:contextualSpacing/>
        <w:rPr>
          <w:rFonts w:ascii="仿宋" w:hAnsi="仿宋" w:eastAsia="仿宋" w:cs="仿宋"/>
          <w:bCs/>
          <w:color w:val="auto"/>
          <w:sz w:val="21"/>
          <w:szCs w:val="21"/>
          <w:highlight w:val="none"/>
        </w:rPr>
      </w:pPr>
      <w:r>
        <w:rPr>
          <w:rFonts w:ascii="仿宋" w:hAnsi="仿宋" w:eastAsia="仿宋" w:cs="仿宋"/>
          <w:bCs/>
          <w:color w:val="auto"/>
          <w:sz w:val="21"/>
          <w:szCs w:val="21"/>
          <w:highlight w:val="none"/>
        </w:rPr>
        <w:t>▲</w:t>
      </w: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13.行为检测：设备应支持异常开门、翻越、滞留、反向闯入、尾随、通行超时、误闯等行为检测，且会有报警提示（包括语音播报、指示灯、IO信号联动输出），同时上传报警事件</w:t>
      </w:r>
      <w:r>
        <w:rPr>
          <w:rFonts w:hint="eastAsia" w:ascii="仿宋" w:hAnsi="仿宋" w:eastAsia="仿宋" w:cs="仿宋"/>
          <w:bCs/>
          <w:color w:val="auto"/>
          <w:sz w:val="21"/>
          <w:szCs w:val="21"/>
          <w:highlight w:val="none"/>
        </w:rPr>
        <w:t>；</w:t>
      </w:r>
    </w:p>
    <w:p w14:paraId="1410DF18">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14.电机类型：无刷直流伺服电机</w:t>
      </w:r>
      <w:r>
        <w:rPr>
          <w:rFonts w:hint="eastAsia" w:ascii="仿宋" w:hAnsi="仿宋" w:eastAsia="仿宋" w:cs="仿宋"/>
          <w:bCs/>
          <w:color w:val="auto"/>
          <w:sz w:val="21"/>
          <w:szCs w:val="21"/>
          <w:highlight w:val="none"/>
        </w:rPr>
        <w:t>；</w:t>
      </w:r>
    </w:p>
    <w:p w14:paraId="29B363F0">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15.设备容量：</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10万人员、</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10万人脸、</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20万卡片、</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10万事件</w:t>
      </w:r>
      <w:r>
        <w:rPr>
          <w:rFonts w:hint="eastAsia" w:ascii="仿宋" w:hAnsi="仿宋" w:eastAsia="仿宋" w:cs="仿宋"/>
          <w:bCs/>
          <w:color w:val="auto"/>
          <w:sz w:val="21"/>
          <w:szCs w:val="21"/>
          <w:highlight w:val="none"/>
        </w:rPr>
        <w:t>；</w:t>
      </w:r>
    </w:p>
    <w:p w14:paraId="254DD605">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16.认证方式：标配IC/CPU/身份证读卡器、LED屏幕、一体化摄像头</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双目200w像素摄像头模组，支持通道出向面部识别</w:t>
      </w:r>
      <w:r>
        <w:rPr>
          <w:rFonts w:hint="eastAsia" w:ascii="仿宋" w:hAnsi="仿宋" w:eastAsia="仿宋" w:cs="仿宋"/>
          <w:bCs/>
          <w:color w:val="auto"/>
          <w:sz w:val="21"/>
          <w:szCs w:val="21"/>
          <w:highlight w:val="none"/>
        </w:rPr>
        <w:t>；</w:t>
      </w:r>
    </w:p>
    <w:p w14:paraId="4A2CC823">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17.激光雷达：设备应采用14个自收自发的激光雷达探测器,无需收发对齐</w:t>
      </w:r>
      <w:r>
        <w:rPr>
          <w:rFonts w:hint="eastAsia" w:ascii="仿宋" w:hAnsi="仿宋" w:eastAsia="仿宋" w:cs="仿宋"/>
          <w:bCs/>
          <w:color w:val="auto"/>
          <w:sz w:val="21"/>
          <w:szCs w:val="21"/>
          <w:highlight w:val="none"/>
        </w:rPr>
        <w:t>；</w:t>
      </w:r>
    </w:p>
    <w:p w14:paraId="79877769">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18.产品尺寸：</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1500mm×130mm×1070mm</w:t>
      </w:r>
      <w:r>
        <w:rPr>
          <w:rFonts w:hint="eastAsia" w:ascii="仿宋" w:hAnsi="仿宋" w:eastAsia="仿宋" w:cs="仿宋"/>
          <w:bCs/>
          <w:color w:val="auto"/>
          <w:sz w:val="21"/>
          <w:szCs w:val="21"/>
          <w:highlight w:val="none"/>
        </w:rPr>
        <w:t>；</w:t>
      </w:r>
    </w:p>
    <w:p w14:paraId="42C99B3C">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19.通道宽度：</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550-950mm</w:t>
      </w:r>
      <w:r>
        <w:rPr>
          <w:rFonts w:hint="eastAsia" w:ascii="仿宋" w:hAnsi="仿宋" w:eastAsia="仿宋" w:cs="仿宋"/>
          <w:bCs/>
          <w:color w:val="auto"/>
          <w:sz w:val="21"/>
          <w:szCs w:val="21"/>
          <w:highlight w:val="none"/>
        </w:rPr>
        <w:t>；</w:t>
      </w:r>
    </w:p>
    <w:p w14:paraId="3CF0791D">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20.箱体材质：SUS304拉丝不锈钢；</w:t>
      </w:r>
    </w:p>
    <w:p w14:paraId="30F941FF">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21.门翼材质：亚克力</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不锈钢</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其中亚克力厚度</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10mm；</w:t>
      </w:r>
    </w:p>
    <w:p w14:paraId="4FDA67D5">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22.通行速率：</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20-60人每分钟；</w:t>
      </w:r>
    </w:p>
    <w:p w14:paraId="7B419D2C">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23.</w:t>
      </w:r>
      <w:r>
        <w:rPr>
          <w:rFonts w:hint="eastAsia" w:ascii="仿宋" w:hAnsi="仿宋" w:eastAsia="仿宋" w:cs="仿宋"/>
          <w:bCs/>
          <w:color w:val="auto"/>
          <w:sz w:val="21"/>
          <w:szCs w:val="21"/>
          <w:highlight w:val="none"/>
        </w:rPr>
        <w:t>运行</w:t>
      </w:r>
      <w:r>
        <w:rPr>
          <w:rFonts w:ascii="仿宋" w:hAnsi="仿宋" w:eastAsia="仿宋" w:cs="仿宋"/>
          <w:bCs/>
          <w:color w:val="auto"/>
          <w:sz w:val="21"/>
          <w:szCs w:val="21"/>
          <w:highlight w:val="none"/>
        </w:rPr>
        <w:t>功耗：</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280W；</w:t>
      </w:r>
    </w:p>
    <w:p w14:paraId="7F86C7E3">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24.工作温度：-20℃-+70℃</w:t>
      </w:r>
      <w:r>
        <w:rPr>
          <w:rFonts w:hint="eastAsia" w:ascii="仿宋" w:hAnsi="仿宋" w:eastAsia="仿宋" w:cs="仿宋"/>
          <w:bCs/>
          <w:color w:val="auto"/>
          <w:sz w:val="21"/>
          <w:szCs w:val="21"/>
          <w:highlight w:val="none"/>
        </w:rPr>
        <w:t>；</w:t>
      </w:r>
    </w:p>
    <w:p w14:paraId="7E2A62E1">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25.工作湿度：0%至95%（不凝聚成水滴）</w:t>
      </w:r>
      <w:r>
        <w:rPr>
          <w:rFonts w:hint="eastAsia" w:ascii="仿宋" w:hAnsi="仿宋" w:eastAsia="仿宋" w:cs="仿宋"/>
          <w:bCs/>
          <w:color w:val="auto"/>
          <w:sz w:val="21"/>
          <w:szCs w:val="21"/>
          <w:highlight w:val="none"/>
        </w:rPr>
        <w:t>。</w:t>
      </w:r>
    </w:p>
    <w:p w14:paraId="4E393FFA">
      <w:pPr>
        <w:pStyle w:val="2"/>
        <w:spacing w:line="360" w:lineRule="auto"/>
        <w:contextualSpacing/>
        <w:rPr>
          <w:rFonts w:ascii="仿宋" w:hAnsi="仿宋" w:eastAsia="仿宋" w:cs="仿宋"/>
          <w:bCs/>
          <w:color w:val="auto"/>
          <w:sz w:val="21"/>
          <w:szCs w:val="21"/>
          <w:highlight w:val="none"/>
        </w:rPr>
      </w:pPr>
      <w:r>
        <w:rPr>
          <w:rFonts w:ascii="仿宋" w:hAnsi="仿宋" w:eastAsia="仿宋" w:cs="仿宋"/>
          <w:b/>
          <w:bCs/>
          <w:color w:val="auto"/>
          <w:sz w:val="21"/>
          <w:szCs w:val="21"/>
          <w:highlight w:val="none"/>
        </w:rPr>
        <w:t>注：</w:t>
      </w:r>
      <w:r>
        <w:rPr>
          <w:rFonts w:hint="eastAsia" w:ascii="仿宋" w:hAnsi="仿宋" w:eastAsia="仿宋" w:cs="仿宋"/>
          <w:b/>
          <w:bCs/>
          <w:color w:val="auto"/>
          <w:sz w:val="21"/>
          <w:szCs w:val="21"/>
          <w:highlight w:val="none"/>
        </w:rPr>
        <w:t>以上▲号条款需提供具备CMA资质的第三方检测报告复印件作为证明材料（原件备查），否则视作不满足</w:t>
      </w:r>
      <w:r>
        <w:rPr>
          <w:rFonts w:ascii="仿宋" w:hAnsi="仿宋" w:eastAsia="仿宋" w:cs="仿宋"/>
          <w:bCs/>
          <w:color w:val="auto"/>
          <w:sz w:val="21"/>
          <w:szCs w:val="21"/>
          <w:highlight w:val="none"/>
        </w:rPr>
        <w:t>。</w:t>
      </w:r>
    </w:p>
    <w:p w14:paraId="366F4506">
      <w:pPr>
        <w:pStyle w:val="2"/>
        <w:spacing w:line="360" w:lineRule="auto"/>
        <w:contextualSpacing/>
        <w:rPr>
          <w:rFonts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（十六）品目1-16</w:t>
      </w:r>
      <w:r>
        <w:rPr>
          <w:rFonts w:ascii="仿宋" w:hAnsi="仿宋" w:eastAsia="仿宋" w:cs="仿宋"/>
          <w:b/>
          <w:bCs/>
          <w:color w:val="auto"/>
          <w:sz w:val="21"/>
          <w:szCs w:val="21"/>
          <w:highlight w:val="none"/>
        </w:rPr>
        <w:t>人员速通门（右）</w:t>
      </w:r>
    </w:p>
    <w:p w14:paraId="4E42C5E0">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w:t>
      </w:r>
      <w:r>
        <w:rPr>
          <w:rFonts w:ascii="仿宋" w:hAnsi="仿宋" w:eastAsia="仿宋" w:cs="仿宋"/>
          <w:bCs/>
          <w:color w:val="auto"/>
          <w:sz w:val="21"/>
          <w:szCs w:val="21"/>
          <w:highlight w:val="none"/>
        </w:rPr>
        <w:t>数量：</w:t>
      </w:r>
      <w:r>
        <w:rPr>
          <w:rFonts w:hint="eastAsia" w:ascii="仿宋" w:hAnsi="仿宋" w:eastAsia="仿宋" w:cs="仿宋"/>
          <w:bCs/>
          <w:color w:val="auto"/>
          <w:sz w:val="21"/>
          <w:szCs w:val="21"/>
          <w:highlight w:val="none"/>
        </w:rPr>
        <w:t>2</w:t>
      </w:r>
      <w:r>
        <w:rPr>
          <w:rFonts w:ascii="仿宋" w:hAnsi="仿宋" w:eastAsia="仿宋" w:cs="仿宋"/>
          <w:bCs/>
          <w:color w:val="auto"/>
          <w:sz w:val="21"/>
          <w:szCs w:val="21"/>
          <w:highlight w:val="none"/>
        </w:rPr>
        <w:t>台。</w:t>
      </w:r>
    </w:p>
    <w:p w14:paraId="2E237148">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w:t>
      </w:r>
      <w:r>
        <w:rPr>
          <w:rFonts w:ascii="仿宋" w:hAnsi="仿宋" w:eastAsia="仿宋" w:cs="仿宋"/>
          <w:bCs/>
          <w:color w:val="auto"/>
          <w:sz w:val="21"/>
          <w:szCs w:val="21"/>
          <w:highlight w:val="none"/>
        </w:rPr>
        <w:t>用途：用于</w:t>
      </w:r>
      <w:r>
        <w:rPr>
          <w:rFonts w:hint="eastAsia" w:ascii="仿宋" w:hAnsi="仿宋" w:eastAsia="仿宋" w:cs="仿宋"/>
          <w:bCs/>
          <w:color w:val="auto"/>
          <w:sz w:val="21"/>
          <w:szCs w:val="21"/>
          <w:highlight w:val="none"/>
        </w:rPr>
        <w:t>人员进出管理。</w:t>
      </w:r>
    </w:p>
    <w:p w14:paraId="7AF8475D">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技术参数</w:t>
      </w:r>
      <w:r>
        <w:rPr>
          <w:rFonts w:hint="eastAsia" w:ascii="仿宋" w:hAnsi="仿宋" w:eastAsia="仿宋" w:cs="仿宋"/>
          <w:bCs/>
          <w:color w:val="auto"/>
          <w:sz w:val="21"/>
          <w:szCs w:val="21"/>
          <w:highlight w:val="none"/>
        </w:rPr>
        <w:t>及要求：</w:t>
      </w:r>
    </w:p>
    <w:p w14:paraId="004B810E">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w:t>
      </w:r>
      <w:r>
        <w:rPr>
          <w:rFonts w:ascii="仿宋" w:hAnsi="仿宋" w:eastAsia="仿宋" w:cs="仿宋"/>
          <w:bCs/>
          <w:color w:val="auto"/>
          <w:sz w:val="21"/>
          <w:szCs w:val="21"/>
          <w:highlight w:val="none"/>
        </w:rPr>
        <w:t>通行模式：设备支持进出方向通行状态（受控、常开、常闭、感应、无障碍）的灵活配置</w:t>
      </w:r>
      <w:r>
        <w:rPr>
          <w:rFonts w:hint="eastAsia" w:ascii="仿宋" w:hAnsi="仿宋" w:eastAsia="仿宋" w:cs="仿宋"/>
          <w:bCs/>
          <w:color w:val="auto"/>
          <w:sz w:val="21"/>
          <w:szCs w:val="21"/>
          <w:highlight w:val="none"/>
        </w:rPr>
        <w:t>；</w:t>
      </w:r>
    </w:p>
    <w:p w14:paraId="36B0291C">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2.交叉通行：一方通行后在未关门前对向认证通过，门翼保持不动，由对向人员通行结束门翼再关闭</w:t>
      </w:r>
      <w:r>
        <w:rPr>
          <w:rFonts w:hint="eastAsia" w:ascii="仿宋" w:hAnsi="仿宋" w:eastAsia="仿宋" w:cs="仿宋"/>
          <w:bCs/>
          <w:color w:val="auto"/>
          <w:sz w:val="21"/>
          <w:szCs w:val="21"/>
          <w:highlight w:val="none"/>
        </w:rPr>
        <w:t>；</w:t>
      </w:r>
    </w:p>
    <w:p w14:paraId="279BDD96">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3.自动复位：设备具有自动复位功能，开门后在规定的时间内未通行，系统将自动取消用户的本次通行的权限，可设定通行时间</w:t>
      </w:r>
      <w:r>
        <w:rPr>
          <w:rFonts w:hint="eastAsia" w:ascii="仿宋" w:hAnsi="仿宋" w:eastAsia="仿宋" w:cs="仿宋"/>
          <w:bCs/>
          <w:color w:val="auto"/>
          <w:sz w:val="21"/>
          <w:szCs w:val="21"/>
          <w:highlight w:val="none"/>
        </w:rPr>
        <w:t>；</w:t>
      </w:r>
    </w:p>
    <w:p w14:paraId="3AE72743">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4.记忆模式：设备支持记忆模式，可实现连续快速通行</w:t>
      </w:r>
      <w:r>
        <w:rPr>
          <w:rFonts w:hint="eastAsia" w:ascii="仿宋" w:hAnsi="仿宋" w:eastAsia="仿宋" w:cs="仿宋"/>
          <w:bCs/>
          <w:color w:val="auto"/>
          <w:sz w:val="21"/>
          <w:szCs w:val="21"/>
          <w:highlight w:val="none"/>
        </w:rPr>
        <w:t>；</w:t>
      </w:r>
    </w:p>
    <w:p w14:paraId="4196070D">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5.消防联动：设备具有消防联动接口，当消防信号触发时，门翼自动打开，快速引导人员疏散</w:t>
      </w:r>
      <w:r>
        <w:rPr>
          <w:rFonts w:hint="eastAsia" w:ascii="仿宋" w:hAnsi="仿宋" w:eastAsia="仿宋" w:cs="仿宋"/>
          <w:bCs/>
          <w:color w:val="auto"/>
          <w:sz w:val="21"/>
          <w:szCs w:val="21"/>
          <w:highlight w:val="none"/>
        </w:rPr>
        <w:t>；</w:t>
      </w:r>
    </w:p>
    <w:p w14:paraId="6EB14D61">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 xml:space="preserve">6.断电通行：设备标配超级电容，断电时门翼自动打开，人员可自由通行，防止恐慌； </w:t>
      </w:r>
    </w:p>
    <w:p w14:paraId="4C0E5F6F">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7.防夹模式：设备应同时支持电流防夹（机械防夹）和激光雷达防夹两种模式</w:t>
      </w:r>
      <w:r>
        <w:rPr>
          <w:rFonts w:hint="eastAsia" w:ascii="仿宋" w:hAnsi="仿宋" w:eastAsia="仿宋" w:cs="仿宋"/>
          <w:bCs/>
          <w:color w:val="auto"/>
          <w:sz w:val="21"/>
          <w:szCs w:val="21"/>
          <w:highlight w:val="none"/>
        </w:rPr>
        <w:t>；</w:t>
      </w:r>
    </w:p>
    <w:p w14:paraId="74C2A492">
      <w:pPr>
        <w:pStyle w:val="2"/>
        <w:spacing w:line="360" w:lineRule="auto"/>
        <w:contextualSpacing/>
        <w:rPr>
          <w:rFonts w:ascii="仿宋" w:hAnsi="仿宋" w:eastAsia="仿宋" w:cs="仿宋"/>
          <w:bCs/>
          <w:color w:val="auto"/>
          <w:sz w:val="21"/>
          <w:szCs w:val="21"/>
          <w:highlight w:val="none"/>
        </w:rPr>
      </w:pPr>
      <w:r>
        <w:rPr>
          <w:rFonts w:ascii="仿宋" w:hAnsi="仿宋" w:eastAsia="仿宋" w:cs="仿宋"/>
          <w:bCs/>
          <w:color w:val="auto"/>
          <w:sz w:val="21"/>
          <w:szCs w:val="21"/>
          <w:highlight w:val="none"/>
        </w:rPr>
        <w:t>▲</w:t>
      </w: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8.防冲撞：设备处于关门状态时，有外力冲撞时门翼自动锁死，防冲撞扭力</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140N·m，应能快速恢复到正常状态，恢复时间不超过1秒</w:t>
      </w:r>
      <w:r>
        <w:rPr>
          <w:rFonts w:hint="eastAsia" w:ascii="仿宋" w:hAnsi="仿宋" w:eastAsia="仿宋" w:cs="仿宋"/>
          <w:bCs/>
          <w:color w:val="auto"/>
          <w:sz w:val="21"/>
          <w:szCs w:val="21"/>
          <w:highlight w:val="none"/>
        </w:rPr>
        <w:t>；</w:t>
      </w:r>
    </w:p>
    <w:p w14:paraId="7AE6E341">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9.人数统计：设备支持人数统计功能配置，可实时获取设备进出方向总人数</w:t>
      </w:r>
      <w:r>
        <w:rPr>
          <w:rFonts w:hint="eastAsia" w:ascii="仿宋" w:hAnsi="仿宋" w:eastAsia="仿宋" w:cs="仿宋"/>
          <w:bCs/>
          <w:color w:val="auto"/>
          <w:sz w:val="21"/>
          <w:szCs w:val="21"/>
          <w:highlight w:val="none"/>
        </w:rPr>
        <w:t>；</w:t>
      </w:r>
    </w:p>
    <w:p w14:paraId="68F477B1">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10.人机互动：设备支持通道认证指示灯、门翼灯及镜头认证指示灯，支持认证结果语音自定义</w:t>
      </w:r>
      <w:r>
        <w:rPr>
          <w:rFonts w:hint="eastAsia" w:ascii="仿宋" w:hAnsi="仿宋" w:eastAsia="仿宋" w:cs="仿宋"/>
          <w:bCs/>
          <w:color w:val="auto"/>
          <w:sz w:val="21"/>
          <w:szCs w:val="21"/>
          <w:highlight w:val="none"/>
        </w:rPr>
        <w:t>；</w:t>
      </w:r>
    </w:p>
    <w:p w14:paraId="0A2F8422">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11.管控模式：设备可根据实际管控需求设置警戒模式与宽松模式，默认为宽松模式</w:t>
      </w:r>
      <w:r>
        <w:rPr>
          <w:rFonts w:hint="eastAsia" w:ascii="仿宋" w:hAnsi="仿宋" w:eastAsia="仿宋" w:cs="仿宋"/>
          <w:bCs/>
          <w:color w:val="auto"/>
          <w:sz w:val="21"/>
          <w:szCs w:val="21"/>
          <w:highlight w:val="none"/>
        </w:rPr>
        <w:t>；</w:t>
      </w:r>
    </w:p>
    <w:p w14:paraId="7265EEDF">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12.远程控制：设备可选配遥控器或遥控平板支持远程控制</w:t>
      </w:r>
      <w:r>
        <w:rPr>
          <w:rFonts w:hint="eastAsia" w:ascii="仿宋" w:hAnsi="仿宋" w:eastAsia="仿宋" w:cs="仿宋"/>
          <w:bCs/>
          <w:color w:val="auto"/>
          <w:sz w:val="21"/>
          <w:szCs w:val="21"/>
          <w:highlight w:val="none"/>
        </w:rPr>
        <w:t>；</w:t>
      </w:r>
    </w:p>
    <w:p w14:paraId="34A167DC">
      <w:pPr>
        <w:pStyle w:val="2"/>
        <w:spacing w:line="360" w:lineRule="auto"/>
        <w:contextualSpacing/>
        <w:rPr>
          <w:rFonts w:ascii="仿宋" w:hAnsi="仿宋" w:eastAsia="仿宋" w:cs="仿宋"/>
          <w:bCs/>
          <w:color w:val="auto"/>
          <w:sz w:val="21"/>
          <w:szCs w:val="21"/>
          <w:highlight w:val="none"/>
        </w:rPr>
      </w:pPr>
      <w:r>
        <w:rPr>
          <w:rFonts w:ascii="仿宋" w:hAnsi="仿宋" w:eastAsia="仿宋" w:cs="仿宋"/>
          <w:bCs/>
          <w:color w:val="auto"/>
          <w:sz w:val="21"/>
          <w:szCs w:val="21"/>
          <w:highlight w:val="none"/>
        </w:rPr>
        <w:t>▲</w:t>
      </w: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13.行为检测：设备应支持异常开门、翻越、滞留、反向闯入、尾随、通行超时、误闯等行为检测，且会有报警提示（包括语音播报、指示灯、IO信号联动输出），同时上传报警事件</w:t>
      </w:r>
      <w:r>
        <w:rPr>
          <w:rFonts w:hint="eastAsia" w:ascii="仿宋" w:hAnsi="仿宋" w:eastAsia="仿宋" w:cs="仿宋"/>
          <w:bCs/>
          <w:color w:val="auto"/>
          <w:sz w:val="21"/>
          <w:szCs w:val="21"/>
          <w:highlight w:val="none"/>
        </w:rPr>
        <w:t>；</w:t>
      </w:r>
    </w:p>
    <w:p w14:paraId="10CF74B7">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14.电机类型：无刷直流伺服电机</w:t>
      </w:r>
      <w:r>
        <w:rPr>
          <w:rFonts w:hint="eastAsia" w:ascii="仿宋" w:hAnsi="仿宋" w:eastAsia="仿宋" w:cs="仿宋"/>
          <w:bCs/>
          <w:color w:val="auto"/>
          <w:sz w:val="21"/>
          <w:szCs w:val="21"/>
          <w:highlight w:val="none"/>
        </w:rPr>
        <w:t>；</w:t>
      </w:r>
    </w:p>
    <w:p w14:paraId="25047D34">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15.设备容量：</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10万人员、</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10万人脸、</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20万卡片、</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10万事件</w:t>
      </w:r>
      <w:r>
        <w:rPr>
          <w:rFonts w:hint="eastAsia" w:ascii="仿宋" w:hAnsi="仿宋" w:eastAsia="仿宋" w:cs="仿宋"/>
          <w:bCs/>
          <w:color w:val="auto"/>
          <w:sz w:val="21"/>
          <w:szCs w:val="21"/>
          <w:highlight w:val="none"/>
        </w:rPr>
        <w:t>；</w:t>
      </w:r>
    </w:p>
    <w:p w14:paraId="7155EC06">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16.认证方式：标配IC/CPU/身份证读卡器、LED屏幕、一体化摄像头;双目200w像素摄像头模组，支持通道出向面部识别</w:t>
      </w:r>
      <w:r>
        <w:rPr>
          <w:rFonts w:hint="eastAsia" w:ascii="仿宋" w:hAnsi="仿宋" w:eastAsia="仿宋" w:cs="仿宋"/>
          <w:bCs/>
          <w:color w:val="auto"/>
          <w:sz w:val="21"/>
          <w:szCs w:val="21"/>
          <w:highlight w:val="none"/>
        </w:rPr>
        <w:t>；</w:t>
      </w:r>
    </w:p>
    <w:p w14:paraId="256D7EB2">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17.激光雷达：设备应采用14个自收自发的激光雷达探测器,无需收发对齐</w:t>
      </w:r>
      <w:r>
        <w:rPr>
          <w:rFonts w:hint="eastAsia" w:ascii="仿宋" w:hAnsi="仿宋" w:eastAsia="仿宋" w:cs="仿宋"/>
          <w:bCs/>
          <w:color w:val="auto"/>
          <w:sz w:val="21"/>
          <w:szCs w:val="21"/>
          <w:highlight w:val="none"/>
        </w:rPr>
        <w:t>；</w:t>
      </w:r>
    </w:p>
    <w:p w14:paraId="44F4074E">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18.产品尺寸：</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1500mm×130mm×1070mm</w:t>
      </w:r>
      <w:r>
        <w:rPr>
          <w:rFonts w:hint="eastAsia" w:ascii="仿宋" w:hAnsi="仿宋" w:eastAsia="仿宋" w:cs="仿宋"/>
          <w:bCs/>
          <w:color w:val="auto"/>
          <w:sz w:val="21"/>
          <w:szCs w:val="21"/>
          <w:highlight w:val="none"/>
        </w:rPr>
        <w:t>；</w:t>
      </w:r>
    </w:p>
    <w:p w14:paraId="53C6A089">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19.通道宽度：</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550-950mm</w:t>
      </w:r>
      <w:r>
        <w:rPr>
          <w:rFonts w:hint="eastAsia" w:ascii="仿宋" w:hAnsi="仿宋" w:eastAsia="仿宋" w:cs="仿宋"/>
          <w:bCs/>
          <w:color w:val="auto"/>
          <w:sz w:val="21"/>
          <w:szCs w:val="21"/>
          <w:highlight w:val="none"/>
        </w:rPr>
        <w:t>；</w:t>
      </w:r>
    </w:p>
    <w:p w14:paraId="7CA6CEB6">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20.箱体材质：SUS304拉丝不锈钢；</w:t>
      </w:r>
    </w:p>
    <w:p w14:paraId="78D6DDB6">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21.门翼材质：亚克力;不锈钢;其中亚克力厚度</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10mm；</w:t>
      </w:r>
    </w:p>
    <w:p w14:paraId="69FBA766">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22.通行速率：</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20-60人每分钟；</w:t>
      </w:r>
    </w:p>
    <w:p w14:paraId="7F55E0D1">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23.</w:t>
      </w:r>
      <w:r>
        <w:rPr>
          <w:rFonts w:hint="eastAsia" w:ascii="仿宋" w:hAnsi="仿宋" w:eastAsia="仿宋" w:cs="仿宋"/>
          <w:bCs/>
          <w:color w:val="auto"/>
          <w:sz w:val="21"/>
          <w:szCs w:val="21"/>
          <w:highlight w:val="none"/>
        </w:rPr>
        <w:t>运行</w:t>
      </w:r>
      <w:r>
        <w:rPr>
          <w:rFonts w:ascii="仿宋" w:hAnsi="仿宋" w:eastAsia="仿宋" w:cs="仿宋"/>
          <w:bCs/>
          <w:color w:val="auto"/>
          <w:sz w:val="21"/>
          <w:szCs w:val="21"/>
          <w:highlight w:val="none"/>
        </w:rPr>
        <w:t>功耗：</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180W；</w:t>
      </w:r>
    </w:p>
    <w:p w14:paraId="79AD78F1">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24.工作温度：-20℃-+70℃</w:t>
      </w:r>
      <w:r>
        <w:rPr>
          <w:rFonts w:hint="eastAsia" w:ascii="仿宋" w:hAnsi="仿宋" w:eastAsia="仿宋" w:cs="仿宋"/>
          <w:bCs/>
          <w:color w:val="auto"/>
          <w:sz w:val="21"/>
          <w:szCs w:val="21"/>
          <w:highlight w:val="none"/>
        </w:rPr>
        <w:t>；</w:t>
      </w:r>
    </w:p>
    <w:p w14:paraId="70855E7A">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25.工作湿度：0%至95%（不凝聚成水滴）</w:t>
      </w:r>
      <w:r>
        <w:rPr>
          <w:rFonts w:hint="eastAsia" w:ascii="仿宋" w:hAnsi="仿宋" w:eastAsia="仿宋" w:cs="仿宋"/>
          <w:bCs/>
          <w:color w:val="auto"/>
          <w:sz w:val="21"/>
          <w:szCs w:val="21"/>
          <w:highlight w:val="none"/>
        </w:rPr>
        <w:t>。</w:t>
      </w:r>
    </w:p>
    <w:p w14:paraId="712D769C">
      <w:pPr>
        <w:pStyle w:val="2"/>
        <w:spacing w:line="360" w:lineRule="auto"/>
        <w:contextualSpacing/>
        <w:rPr>
          <w:rFonts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注：以上▲号条款需提供具备CMA资质的第三方检测报告复印件作为证明材料（原件备查），否则视作不满足</w:t>
      </w:r>
      <w:r>
        <w:rPr>
          <w:rFonts w:ascii="仿宋" w:hAnsi="仿宋" w:eastAsia="仿宋" w:cs="仿宋"/>
          <w:b/>
          <w:bCs/>
          <w:color w:val="auto"/>
          <w:sz w:val="21"/>
          <w:szCs w:val="21"/>
          <w:highlight w:val="none"/>
        </w:rPr>
        <w:t>。</w:t>
      </w:r>
    </w:p>
    <w:p w14:paraId="0E3AEAFD">
      <w:pPr>
        <w:pStyle w:val="2"/>
        <w:spacing w:line="360" w:lineRule="auto"/>
        <w:contextualSpacing/>
        <w:rPr>
          <w:rFonts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（十七）品目1-17</w:t>
      </w:r>
      <w:r>
        <w:rPr>
          <w:rFonts w:ascii="仿宋" w:hAnsi="仿宋" w:eastAsia="仿宋" w:cs="仿宋"/>
          <w:b/>
          <w:bCs/>
          <w:color w:val="auto"/>
          <w:sz w:val="21"/>
          <w:szCs w:val="21"/>
          <w:highlight w:val="none"/>
        </w:rPr>
        <w:t>多功能录入仪</w:t>
      </w:r>
    </w:p>
    <w:p w14:paraId="7CA20596">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w:t>
      </w:r>
      <w:r>
        <w:rPr>
          <w:rFonts w:ascii="仿宋" w:hAnsi="仿宋" w:eastAsia="仿宋" w:cs="仿宋"/>
          <w:bCs/>
          <w:color w:val="auto"/>
          <w:sz w:val="21"/>
          <w:szCs w:val="21"/>
          <w:highlight w:val="none"/>
        </w:rPr>
        <w:t>数量：</w:t>
      </w:r>
      <w:r>
        <w:rPr>
          <w:rFonts w:hint="eastAsia" w:ascii="仿宋" w:hAnsi="仿宋" w:eastAsia="仿宋" w:cs="仿宋"/>
          <w:bCs/>
          <w:color w:val="auto"/>
          <w:sz w:val="21"/>
          <w:szCs w:val="21"/>
          <w:highlight w:val="none"/>
        </w:rPr>
        <w:t>2</w:t>
      </w:r>
      <w:r>
        <w:rPr>
          <w:rFonts w:ascii="仿宋" w:hAnsi="仿宋" w:eastAsia="仿宋" w:cs="仿宋"/>
          <w:bCs/>
          <w:color w:val="auto"/>
          <w:sz w:val="21"/>
          <w:szCs w:val="21"/>
          <w:highlight w:val="none"/>
        </w:rPr>
        <w:t>台。</w:t>
      </w:r>
    </w:p>
    <w:p w14:paraId="12CC47F1">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w:t>
      </w:r>
      <w:r>
        <w:rPr>
          <w:rFonts w:ascii="仿宋" w:hAnsi="仿宋" w:eastAsia="仿宋" w:cs="仿宋"/>
          <w:bCs/>
          <w:color w:val="auto"/>
          <w:sz w:val="21"/>
          <w:szCs w:val="21"/>
          <w:highlight w:val="none"/>
        </w:rPr>
        <w:t>用途：用于</w:t>
      </w:r>
      <w:r>
        <w:rPr>
          <w:rFonts w:hint="eastAsia" w:ascii="仿宋" w:hAnsi="仿宋" w:eastAsia="仿宋" w:cs="仿宋"/>
          <w:bCs/>
          <w:color w:val="auto"/>
          <w:sz w:val="21"/>
          <w:szCs w:val="21"/>
          <w:highlight w:val="none"/>
        </w:rPr>
        <w:t>人员信息采集。</w:t>
      </w:r>
    </w:p>
    <w:p w14:paraId="0B4A9CFB">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技术参数</w:t>
      </w:r>
      <w:r>
        <w:rPr>
          <w:rFonts w:hint="eastAsia" w:ascii="仿宋" w:hAnsi="仿宋" w:eastAsia="仿宋" w:cs="仿宋"/>
          <w:bCs/>
          <w:color w:val="auto"/>
          <w:sz w:val="21"/>
          <w:szCs w:val="21"/>
          <w:highlight w:val="none"/>
        </w:rPr>
        <w:t>及要求：</w:t>
      </w:r>
    </w:p>
    <w:p w14:paraId="5C6B0DB9">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3.1.触摸显示屏：≥</w:t>
      </w:r>
      <w:r>
        <w:rPr>
          <w:rFonts w:ascii="仿宋" w:hAnsi="仿宋" w:eastAsia="仿宋" w:cs="仿宋"/>
          <w:bCs/>
          <w:color w:val="auto"/>
          <w:sz w:val="21"/>
          <w:szCs w:val="21"/>
          <w:highlight w:val="none"/>
        </w:rPr>
        <w:t>3.97英寸，屏幕分辨率</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800</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480；</w:t>
      </w:r>
    </w:p>
    <w:p w14:paraId="639BCD40">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3.2.</w:t>
      </w:r>
      <w:r>
        <w:rPr>
          <w:rFonts w:ascii="仿宋" w:hAnsi="仿宋" w:eastAsia="仿宋" w:cs="仿宋"/>
          <w:bCs/>
          <w:color w:val="auto"/>
          <w:sz w:val="21"/>
          <w:szCs w:val="21"/>
          <w:highlight w:val="none"/>
        </w:rPr>
        <w:t>采用</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200万双目摄像头，有照片视频防假功能；</w:t>
      </w:r>
    </w:p>
    <w:p w14:paraId="0181090D">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3.支持人脸采集、卡片录入；</w:t>
      </w:r>
    </w:p>
    <w:p w14:paraId="375B1352">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4.支持有线网络、无线WiFi、USB口通信；</w:t>
      </w:r>
    </w:p>
    <w:p w14:paraId="7F7DA06B">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5.支持红外及白光灯补光</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支持设置红外及可见光补光灯亮度；</w:t>
      </w:r>
    </w:p>
    <w:p w14:paraId="79F4C875">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3.6</w:t>
      </w:r>
      <w:r>
        <w:rPr>
          <w:rFonts w:ascii="仿宋" w:hAnsi="仿宋" w:eastAsia="仿宋" w:cs="仿宋"/>
          <w:bCs/>
          <w:color w:val="auto"/>
          <w:sz w:val="21"/>
          <w:szCs w:val="21"/>
          <w:highlight w:val="none"/>
        </w:rPr>
        <w:t>.人脸采集距离：</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0.3</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2m；</w:t>
      </w:r>
    </w:p>
    <w:p w14:paraId="164B9A57">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3.7.</w:t>
      </w:r>
      <w:r>
        <w:rPr>
          <w:rFonts w:ascii="仿宋" w:hAnsi="仿宋" w:eastAsia="仿宋" w:cs="仿宋"/>
          <w:bCs/>
          <w:color w:val="auto"/>
          <w:sz w:val="21"/>
          <w:szCs w:val="21"/>
          <w:highlight w:val="none"/>
        </w:rPr>
        <w:t>人像采集时间：</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200ms。</w:t>
      </w:r>
    </w:p>
    <w:p w14:paraId="2ED9B138">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
          <w:bCs/>
          <w:color w:val="auto"/>
          <w:sz w:val="21"/>
          <w:szCs w:val="21"/>
          <w:highlight w:val="none"/>
        </w:rPr>
        <w:t>（十八）品目1-18</w:t>
      </w:r>
      <w:r>
        <w:rPr>
          <w:rFonts w:ascii="仿宋" w:hAnsi="仿宋" w:eastAsia="仿宋" w:cs="仿宋"/>
          <w:b/>
          <w:bCs/>
          <w:color w:val="auto"/>
          <w:sz w:val="21"/>
          <w:szCs w:val="21"/>
          <w:highlight w:val="none"/>
        </w:rPr>
        <w:t>导流秩序装置</w:t>
      </w:r>
    </w:p>
    <w:p w14:paraId="09097E90">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w:t>
      </w:r>
      <w:r>
        <w:rPr>
          <w:rFonts w:ascii="仿宋" w:hAnsi="仿宋" w:eastAsia="仿宋" w:cs="仿宋"/>
          <w:bCs/>
          <w:color w:val="auto"/>
          <w:sz w:val="21"/>
          <w:szCs w:val="21"/>
          <w:highlight w:val="none"/>
        </w:rPr>
        <w:t>数量：</w:t>
      </w:r>
      <w:r>
        <w:rPr>
          <w:rFonts w:hint="eastAsia" w:ascii="仿宋" w:hAnsi="仿宋" w:eastAsia="仿宋" w:cs="仿宋"/>
          <w:bCs/>
          <w:color w:val="auto"/>
          <w:sz w:val="21"/>
          <w:szCs w:val="21"/>
          <w:highlight w:val="none"/>
        </w:rPr>
        <w:t>2个。</w:t>
      </w:r>
    </w:p>
    <w:p w14:paraId="683508CD">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w:t>
      </w:r>
      <w:r>
        <w:rPr>
          <w:rFonts w:ascii="仿宋" w:hAnsi="仿宋" w:eastAsia="仿宋" w:cs="仿宋"/>
          <w:bCs/>
          <w:color w:val="auto"/>
          <w:sz w:val="21"/>
          <w:szCs w:val="21"/>
          <w:highlight w:val="none"/>
        </w:rPr>
        <w:t>用途：用于</w:t>
      </w:r>
      <w:r>
        <w:rPr>
          <w:rFonts w:hint="eastAsia" w:ascii="仿宋" w:hAnsi="仿宋" w:eastAsia="仿宋" w:cs="仿宋"/>
          <w:bCs/>
          <w:color w:val="auto"/>
          <w:sz w:val="21"/>
          <w:szCs w:val="21"/>
          <w:highlight w:val="none"/>
        </w:rPr>
        <w:t>人流秩序导向管理。</w:t>
      </w:r>
    </w:p>
    <w:p w14:paraId="7B38AD8D">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技术参数</w:t>
      </w:r>
      <w:r>
        <w:rPr>
          <w:rFonts w:hint="eastAsia" w:ascii="仿宋" w:hAnsi="仿宋" w:eastAsia="仿宋" w:cs="仿宋"/>
          <w:bCs/>
          <w:color w:val="auto"/>
          <w:sz w:val="21"/>
          <w:szCs w:val="21"/>
          <w:highlight w:val="none"/>
        </w:rPr>
        <w:t>及要求</w:t>
      </w:r>
      <w:r>
        <w:rPr>
          <w:rFonts w:ascii="仿宋" w:hAnsi="仿宋" w:eastAsia="仿宋" w:cs="仿宋"/>
          <w:bCs/>
          <w:color w:val="auto"/>
          <w:sz w:val="21"/>
          <w:szCs w:val="21"/>
          <w:highlight w:val="none"/>
        </w:rPr>
        <w:t>：</w:t>
      </w:r>
    </w:p>
    <w:p w14:paraId="3CB799BA">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3.1.立柱</w:t>
      </w:r>
      <w:r>
        <w:rPr>
          <w:rFonts w:ascii="仿宋" w:hAnsi="仿宋" w:eastAsia="仿宋" w:cs="仿宋"/>
          <w:bCs/>
          <w:color w:val="auto"/>
          <w:sz w:val="21"/>
          <w:szCs w:val="21"/>
          <w:highlight w:val="none"/>
        </w:rPr>
        <w:t>：不锈钢</w:t>
      </w:r>
      <w:r>
        <w:rPr>
          <w:rFonts w:hint="eastAsia" w:ascii="仿宋" w:hAnsi="仿宋" w:eastAsia="仿宋" w:cs="仿宋"/>
          <w:bCs/>
          <w:color w:val="auto"/>
          <w:sz w:val="21"/>
          <w:szCs w:val="21"/>
          <w:highlight w:val="none"/>
        </w:rPr>
        <w:t>圆管；直径≥60mm，壁厚≥</w:t>
      </w:r>
      <w:r>
        <w:rPr>
          <w:rFonts w:ascii="仿宋" w:hAnsi="仿宋" w:eastAsia="仿宋" w:cs="仿宋"/>
          <w:bCs/>
          <w:color w:val="auto"/>
          <w:sz w:val="21"/>
          <w:szCs w:val="21"/>
          <w:highlight w:val="none"/>
        </w:rPr>
        <w:t>0.8mm</w:t>
      </w:r>
      <w:r>
        <w:rPr>
          <w:rFonts w:hint="eastAsia" w:ascii="仿宋" w:hAnsi="仿宋" w:eastAsia="仿宋" w:cs="仿宋"/>
          <w:bCs/>
          <w:color w:val="auto"/>
          <w:sz w:val="21"/>
          <w:szCs w:val="21"/>
          <w:highlight w:val="none"/>
        </w:rPr>
        <w:t>；高度≥1000mm。</w:t>
      </w:r>
    </w:p>
    <w:p w14:paraId="6A1F2390">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3.2.底座：</w:t>
      </w:r>
      <w:r>
        <w:rPr>
          <w:rFonts w:ascii="仿宋" w:hAnsi="仿宋" w:eastAsia="仿宋" w:cs="仿宋"/>
          <w:bCs/>
          <w:color w:val="auto"/>
          <w:sz w:val="21"/>
          <w:szCs w:val="21"/>
          <w:highlight w:val="none"/>
        </w:rPr>
        <w:t>实心铸铁/金属压铸加重</w:t>
      </w:r>
      <w:r>
        <w:rPr>
          <w:rFonts w:hint="eastAsia" w:ascii="仿宋" w:hAnsi="仿宋" w:eastAsia="仿宋" w:cs="仿宋"/>
          <w:bCs/>
          <w:color w:val="auto"/>
          <w:sz w:val="21"/>
          <w:szCs w:val="21"/>
          <w:highlight w:val="none"/>
        </w:rPr>
        <w:t>（表面不锈钢包覆）；直径≥280mm；底座</w:t>
      </w:r>
      <w:r>
        <w:rPr>
          <w:rFonts w:ascii="仿宋" w:hAnsi="仿宋" w:eastAsia="仿宋" w:cs="仿宋"/>
          <w:bCs/>
          <w:color w:val="auto"/>
          <w:sz w:val="21"/>
          <w:szCs w:val="21"/>
          <w:highlight w:val="none"/>
        </w:rPr>
        <w:t>底部</w:t>
      </w:r>
      <w:r>
        <w:rPr>
          <w:rFonts w:hint="eastAsia" w:ascii="仿宋" w:hAnsi="仿宋" w:eastAsia="仿宋" w:cs="仿宋"/>
          <w:bCs/>
          <w:color w:val="auto"/>
          <w:sz w:val="21"/>
          <w:szCs w:val="21"/>
          <w:highlight w:val="none"/>
        </w:rPr>
        <w:t>设</w:t>
      </w:r>
      <w:r>
        <w:rPr>
          <w:rFonts w:ascii="仿宋" w:hAnsi="仿宋" w:eastAsia="仿宋" w:cs="仿宋"/>
          <w:bCs/>
          <w:color w:val="auto"/>
          <w:sz w:val="21"/>
          <w:szCs w:val="21"/>
          <w:highlight w:val="none"/>
        </w:rPr>
        <w:t>防滑橡胶圈</w:t>
      </w:r>
      <w:r>
        <w:rPr>
          <w:rFonts w:hint="eastAsia" w:ascii="仿宋" w:hAnsi="仿宋" w:eastAsia="仿宋" w:cs="仿宋"/>
          <w:bCs/>
          <w:color w:val="auto"/>
          <w:sz w:val="21"/>
          <w:szCs w:val="21"/>
          <w:highlight w:val="none"/>
        </w:rPr>
        <w:t>（</w:t>
      </w:r>
      <w:r>
        <w:rPr>
          <w:rFonts w:ascii="仿宋" w:hAnsi="仿宋" w:eastAsia="仿宋" w:cs="仿宋"/>
          <w:bCs/>
          <w:color w:val="auto"/>
          <w:sz w:val="21"/>
          <w:szCs w:val="21"/>
          <w:highlight w:val="none"/>
        </w:rPr>
        <w:t>防刮地面、降噪、稳固</w:t>
      </w:r>
      <w:r>
        <w:rPr>
          <w:rFonts w:hint="eastAsia" w:ascii="仿宋" w:hAnsi="仿宋" w:eastAsia="仿宋" w:cs="仿宋"/>
          <w:bCs/>
          <w:color w:val="auto"/>
          <w:sz w:val="21"/>
          <w:szCs w:val="21"/>
          <w:highlight w:val="none"/>
        </w:rPr>
        <w:t>等）。</w:t>
      </w:r>
    </w:p>
    <w:p w14:paraId="1B01EEDD">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3.3.伸缩带：</w:t>
      </w:r>
      <w:r>
        <w:rPr>
          <w:rFonts w:ascii="仿宋" w:hAnsi="仿宋" w:eastAsia="仿宋" w:cs="仿宋"/>
          <w:bCs/>
          <w:color w:val="auto"/>
          <w:sz w:val="21"/>
          <w:szCs w:val="21"/>
          <w:highlight w:val="none"/>
        </w:rPr>
        <w:t>材质</w:t>
      </w:r>
      <w:r>
        <w:rPr>
          <w:rFonts w:hint="eastAsia" w:ascii="仿宋" w:hAnsi="仿宋" w:eastAsia="仿宋" w:cs="仿宋"/>
          <w:bCs/>
          <w:color w:val="auto"/>
          <w:sz w:val="21"/>
          <w:szCs w:val="21"/>
          <w:highlight w:val="none"/>
        </w:rPr>
        <w:t>为</w:t>
      </w:r>
      <w:r>
        <w:rPr>
          <w:rFonts w:ascii="仿宋" w:hAnsi="仿宋" w:eastAsia="仿宋" w:cs="仿宋"/>
          <w:bCs/>
          <w:color w:val="auto"/>
          <w:sz w:val="21"/>
          <w:szCs w:val="21"/>
          <w:highlight w:val="none"/>
        </w:rPr>
        <w:t>高强涤纶/尼龙织带</w:t>
      </w:r>
      <w:r>
        <w:rPr>
          <w:rFonts w:hint="eastAsia" w:ascii="仿宋" w:hAnsi="仿宋" w:eastAsia="仿宋" w:cs="仿宋"/>
          <w:bCs/>
          <w:color w:val="auto"/>
          <w:sz w:val="21"/>
          <w:szCs w:val="21"/>
          <w:highlight w:val="none"/>
        </w:rPr>
        <w:t>；带宽≥</w:t>
      </w:r>
      <w:r>
        <w:rPr>
          <w:rFonts w:ascii="仿宋" w:hAnsi="仿宋" w:eastAsia="仿宋" w:cs="仿宋"/>
          <w:bCs/>
          <w:color w:val="auto"/>
          <w:sz w:val="21"/>
          <w:szCs w:val="21"/>
          <w:highlight w:val="none"/>
        </w:rPr>
        <w:t>48mm</w:t>
      </w:r>
      <w:r>
        <w:rPr>
          <w:rFonts w:hint="eastAsia" w:ascii="仿宋" w:hAnsi="仿宋" w:eastAsia="仿宋" w:cs="仿宋"/>
          <w:bCs/>
          <w:color w:val="auto"/>
          <w:sz w:val="21"/>
          <w:szCs w:val="21"/>
          <w:highlight w:val="none"/>
        </w:rPr>
        <w:t>，带厚≥1.2</w:t>
      </w:r>
      <w:r>
        <w:rPr>
          <w:rFonts w:ascii="仿宋" w:hAnsi="仿宋" w:eastAsia="仿宋" w:cs="仿宋"/>
          <w:bCs/>
          <w:color w:val="auto"/>
          <w:sz w:val="21"/>
          <w:szCs w:val="21"/>
          <w:highlight w:val="none"/>
        </w:rPr>
        <w:t>mm</w:t>
      </w:r>
      <w:r>
        <w:rPr>
          <w:rFonts w:hint="eastAsia" w:ascii="仿宋" w:hAnsi="仿宋" w:eastAsia="仿宋" w:cs="仿宋"/>
          <w:bCs/>
          <w:color w:val="auto"/>
          <w:sz w:val="21"/>
          <w:szCs w:val="21"/>
          <w:highlight w:val="none"/>
        </w:rPr>
        <w:t>。</w:t>
      </w:r>
    </w:p>
    <w:p w14:paraId="7228EDC1">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3.4.软隔离长度根据现场实际情况定制。</w:t>
      </w:r>
    </w:p>
    <w:p w14:paraId="709A0C37">
      <w:pPr>
        <w:pStyle w:val="2"/>
        <w:spacing w:line="360" w:lineRule="auto"/>
        <w:contextualSpacing/>
        <w:rPr>
          <w:rFonts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（十九）品目1-19</w:t>
      </w:r>
      <w:r>
        <w:rPr>
          <w:rFonts w:ascii="仿宋" w:hAnsi="仿宋" w:eastAsia="仿宋" w:cs="仿宋"/>
          <w:b/>
          <w:bCs/>
          <w:color w:val="auto"/>
          <w:sz w:val="21"/>
          <w:szCs w:val="21"/>
          <w:highlight w:val="none"/>
        </w:rPr>
        <w:t>速通门管理终端</w:t>
      </w:r>
    </w:p>
    <w:p w14:paraId="47EB2DF9">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w:t>
      </w:r>
      <w:r>
        <w:rPr>
          <w:rFonts w:ascii="仿宋" w:hAnsi="仿宋" w:eastAsia="仿宋" w:cs="仿宋"/>
          <w:bCs/>
          <w:color w:val="auto"/>
          <w:sz w:val="21"/>
          <w:szCs w:val="21"/>
          <w:highlight w:val="none"/>
        </w:rPr>
        <w:t>数量：</w:t>
      </w:r>
      <w:r>
        <w:rPr>
          <w:rFonts w:hint="eastAsia" w:ascii="仿宋" w:hAnsi="仿宋" w:eastAsia="仿宋" w:cs="仿宋"/>
          <w:bCs/>
          <w:color w:val="auto"/>
          <w:sz w:val="21"/>
          <w:szCs w:val="21"/>
          <w:highlight w:val="none"/>
        </w:rPr>
        <w:t>1台。</w:t>
      </w:r>
    </w:p>
    <w:p w14:paraId="153FB9BF">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w:t>
      </w:r>
      <w:r>
        <w:rPr>
          <w:rFonts w:ascii="仿宋" w:hAnsi="仿宋" w:eastAsia="仿宋" w:cs="仿宋"/>
          <w:bCs/>
          <w:color w:val="auto"/>
          <w:sz w:val="21"/>
          <w:szCs w:val="21"/>
          <w:highlight w:val="none"/>
        </w:rPr>
        <w:t>用途：用于</w:t>
      </w:r>
      <w:r>
        <w:rPr>
          <w:rFonts w:hint="eastAsia" w:ascii="仿宋" w:hAnsi="仿宋" w:eastAsia="仿宋" w:cs="仿宋"/>
          <w:bCs/>
          <w:color w:val="auto"/>
          <w:sz w:val="21"/>
          <w:szCs w:val="21"/>
          <w:highlight w:val="none"/>
        </w:rPr>
        <w:t>速通门控制管理。</w:t>
      </w:r>
    </w:p>
    <w:p w14:paraId="619CC17E">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ascii="仿宋" w:hAnsi="仿宋" w:eastAsia="仿宋" w:cs="仿宋"/>
          <w:bCs/>
          <w:color w:val="auto"/>
          <w:sz w:val="21"/>
          <w:szCs w:val="21"/>
          <w:highlight w:val="none"/>
        </w:rPr>
        <w:t>技术参数</w:t>
      </w:r>
      <w:r>
        <w:rPr>
          <w:rFonts w:hint="eastAsia" w:ascii="仿宋" w:hAnsi="仿宋" w:eastAsia="仿宋" w:cs="仿宋"/>
          <w:bCs/>
          <w:color w:val="auto"/>
          <w:sz w:val="21"/>
          <w:szCs w:val="21"/>
          <w:highlight w:val="none"/>
        </w:rPr>
        <w:t>及要求：</w:t>
      </w:r>
    </w:p>
    <w:p w14:paraId="6EF621AD">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3.1.机架式服务器；</w:t>
      </w:r>
    </w:p>
    <w:p w14:paraId="3BBEBAD6">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3.2.CPU：≥2颗，C86</w:t>
      </w:r>
      <w:bookmarkStart w:id="23" w:name="OLE_LINK25"/>
      <w:r>
        <w:rPr>
          <w:rFonts w:hint="eastAsia" w:ascii="仿宋" w:hAnsi="仿宋" w:eastAsia="仿宋" w:cs="仿宋"/>
          <w:bCs/>
          <w:color w:val="auto"/>
          <w:sz w:val="21"/>
          <w:szCs w:val="21"/>
          <w:highlight w:val="none"/>
        </w:rPr>
        <w:t>处理器</w:t>
      </w:r>
      <w:bookmarkEnd w:id="23"/>
      <w:r>
        <w:rPr>
          <w:rFonts w:hint="eastAsia" w:ascii="仿宋" w:hAnsi="仿宋" w:eastAsia="仿宋" w:cs="仿宋"/>
          <w:bCs/>
          <w:color w:val="auto"/>
          <w:sz w:val="21"/>
          <w:szCs w:val="21"/>
          <w:highlight w:val="none"/>
        </w:rPr>
        <w:t xml:space="preserve">，单处理器物理核心数≥8核，主频≥3.0 GHz，末级缓存容量≥16MB，线程数≥16线程； </w:t>
      </w:r>
    </w:p>
    <w:p w14:paraId="55591E9E">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3.3.内存：≥64G DDR4，≥8根内存插槽；</w:t>
      </w:r>
    </w:p>
    <w:p w14:paraId="4EFE71E0">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3.4.硬盘：≥2块1.2T 10K SAS；</w:t>
      </w:r>
    </w:p>
    <w:p w14:paraId="5BB77CAF">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3.5.PCIE扩展：≥4个标准PCIE插槽；</w:t>
      </w:r>
    </w:p>
    <w:p w14:paraId="73A1AB04">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3.6.网口：≥2个千兆电口；</w:t>
      </w:r>
    </w:p>
    <w:p w14:paraId="70A7E60F">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3.7.其他接口：≥1个IPMI RJ-45管理接口；≥7个USB 3.0接口；≥2个VGA接口；</w:t>
      </w:r>
    </w:p>
    <w:p w14:paraId="688BE542">
      <w:pPr>
        <w:pStyle w:val="2"/>
        <w:spacing w:line="360" w:lineRule="auto"/>
        <w:contextualSpacing/>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3.8.电源：≥550W（1+1）冗余电源。</w:t>
      </w:r>
    </w:p>
    <w:p w14:paraId="688FA4A1">
      <w:pPr>
        <w:pStyle w:val="2"/>
        <w:spacing w:line="360" w:lineRule="auto"/>
        <w:contextualSpacing/>
        <w:rPr>
          <w:rFonts w:ascii="仿宋" w:hAnsi="仿宋" w:eastAsia="仿宋" w:cs="仿宋"/>
          <w:b/>
          <w:bCs/>
          <w:color w:val="auto"/>
          <w:highlight w:val="none"/>
        </w:rPr>
      </w:pPr>
    </w:p>
    <w:p w14:paraId="79642E7A">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2、采购标的需满足的服务标准、期限、效率等要求；</w:t>
      </w:r>
    </w:p>
    <w:p w14:paraId="7E754990">
      <w:pPr>
        <w:spacing w:line="360" w:lineRule="auto"/>
        <w:ind w:firstLine="482" w:firstLineChars="200"/>
        <w:contextualSpacing/>
        <w:rPr>
          <w:rFonts w:ascii="仿宋" w:hAnsi="仿宋" w:eastAsia="仿宋" w:cs="仿宋"/>
          <w:b/>
          <w:bCs/>
          <w:color w:val="auto"/>
          <w:sz w:val="24"/>
          <w:highlight w:val="none"/>
        </w:rPr>
      </w:pPr>
      <w:r>
        <w:rPr>
          <w:rFonts w:hint="eastAsia" w:ascii="仿宋" w:hAnsi="仿宋" w:eastAsia="仿宋" w:cs="仿宋"/>
          <w:b/>
          <w:bCs/>
          <w:color w:val="auto"/>
          <w:sz w:val="24"/>
          <w:highlight w:val="none"/>
        </w:rPr>
        <w:t>详见上文。</w:t>
      </w:r>
    </w:p>
    <w:p w14:paraId="6A0CB39E">
      <w:pPr>
        <w:pStyle w:val="2"/>
        <w:rPr>
          <w:color w:val="auto"/>
          <w:highlight w:val="none"/>
        </w:rPr>
      </w:pPr>
    </w:p>
    <w:p w14:paraId="28AE7651">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3、为落实政府采购政策需满足的要求；</w:t>
      </w:r>
    </w:p>
    <w:p w14:paraId="2B3CC18D">
      <w:pPr>
        <w:snapToGrid w:val="0"/>
        <w:spacing w:line="360" w:lineRule="auto"/>
        <w:ind w:firstLine="480" w:firstLineChars="200"/>
        <w:rPr>
          <w:rFonts w:ascii="仿宋" w:hAnsi="仿宋" w:eastAsia="仿宋" w:cs="仿宋"/>
          <w:b/>
          <w:color w:val="auto"/>
          <w:sz w:val="24"/>
          <w:highlight w:val="none"/>
        </w:rPr>
      </w:pPr>
      <w:r>
        <w:rPr>
          <w:rFonts w:hint="eastAsia" w:ascii="仿宋" w:hAnsi="仿宋" w:eastAsia="仿宋" w:cs="仿宋"/>
          <w:bCs/>
          <w:color w:val="auto"/>
          <w:sz w:val="24"/>
          <w:highlight w:val="none"/>
        </w:rPr>
        <w:t>3.1、促进中小企业</w:t>
      </w:r>
      <w:r>
        <w:rPr>
          <w:rFonts w:hint="eastAsia" w:ascii="仿宋" w:hAnsi="仿宋" w:eastAsia="仿宋" w:cs="仿宋"/>
          <w:bCs/>
          <w:color w:val="auto"/>
          <w:sz w:val="24"/>
          <w:highlight w:val="none"/>
        </w:rPr>
        <w:t>发展政策：根据《政府采购促进中小企业发展管理办法》规定，本项目采购货物为中型、小型或微型</w:t>
      </w:r>
      <w:r>
        <w:rPr>
          <w:rFonts w:hint="eastAsia" w:ascii="仿宋" w:hAnsi="仿宋" w:eastAsia="仿宋" w:cs="仿宋"/>
          <w:bCs/>
          <w:color w:val="auto"/>
          <w:sz w:val="24"/>
          <w:highlight w:val="none"/>
        </w:rPr>
        <w:t>企业制造的，投标人应出具招标文件要求的《中小企业声明函》给予证明，否则评标时不予认可。投标人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14:paraId="5FC7E593">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3.2、监狱企业扶持政策：投标人如为监狱企业将视同为小型或微型企业，且所投产品为小型或微型企业生产的，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14:paraId="31F1BE7C">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投标人为残疾人福利性单位的，采购代理机构将随中标结果同时公告其《残疾人福利性单位声明函》，接受社会监督。残疾人福利性单位视同小型、微型企业。不重复享受政策。</w:t>
      </w:r>
    </w:p>
    <w:p w14:paraId="24F3B69B">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14:paraId="6FF94648">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14:paraId="19BDF73E">
      <w:pPr>
        <w:snapToGrid w:val="0"/>
        <w:spacing w:line="360" w:lineRule="auto"/>
        <w:ind w:firstLine="480" w:firstLineChars="200"/>
        <w:rPr>
          <w:rFonts w:ascii="仿宋" w:hAnsi="仿宋" w:eastAsia="仿宋" w:cs="仿宋"/>
          <w:bCs/>
          <w:color w:val="auto"/>
          <w:sz w:val="24"/>
          <w:highlight w:val="none"/>
        </w:rPr>
      </w:pPr>
      <w:bookmarkStart w:id="24" w:name="OLE_LINK113"/>
      <w:r>
        <w:rPr>
          <w:rFonts w:hint="eastAsia" w:ascii="仿宋" w:hAnsi="仿宋" w:eastAsia="仿宋" w:cs="仿宋"/>
          <w:bCs/>
          <w:color w:val="auto"/>
          <w:sz w:val="24"/>
          <w:highlight w:val="none"/>
        </w:rPr>
        <w:t>3.6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w:t>
      </w:r>
      <w:bookmarkStart w:id="25" w:name="OLE_LINK56"/>
      <w:bookmarkStart w:id="26" w:name="OLE_LINK55"/>
      <w:r>
        <w:rPr>
          <w:rFonts w:hint="eastAsia" w:ascii="仿宋" w:hAnsi="仿宋" w:eastAsia="仿宋" w:cs="仿宋"/>
          <w:b/>
          <w:bCs/>
          <w:color w:val="auto"/>
          <w:sz w:val="24"/>
          <w:highlight w:val="none"/>
        </w:rPr>
        <w:t>投标人</w:t>
      </w:r>
      <w:bookmarkEnd w:id="25"/>
      <w:bookmarkEnd w:id="26"/>
      <w:r>
        <w:rPr>
          <w:rFonts w:hint="eastAsia" w:ascii="仿宋" w:hAnsi="仿宋" w:eastAsia="仿宋" w:cs="仿宋"/>
          <w:b/>
          <w:bCs/>
          <w:color w:val="auto"/>
          <w:sz w:val="24"/>
          <w:highlight w:val="none"/>
        </w:rPr>
        <w:t>应出具招标文件要求的证明材料给予证明，否则评标时不予认可。投标人应对提交的证明材料真实性负责，</w:t>
      </w:r>
      <w:r>
        <w:rPr>
          <w:rFonts w:hint="eastAsia" w:ascii="仿宋" w:hAnsi="仿宋" w:eastAsia="仿宋" w:cs="仿宋"/>
          <w:bCs/>
          <w:color w:val="auto"/>
          <w:sz w:val="24"/>
          <w:highlight w:val="none"/>
        </w:rPr>
        <w:t>提交证明材料不真实的，应承担相应的法律责任。</w:t>
      </w:r>
      <w:bookmarkEnd w:id="24"/>
    </w:p>
    <w:p w14:paraId="7F8000CA">
      <w:pPr>
        <w:pStyle w:val="2"/>
        <w:rPr>
          <w:color w:val="auto"/>
          <w:highlight w:val="none"/>
        </w:rPr>
      </w:pPr>
    </w:p>
    <w:p w14:paraId="7F888DF5">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4、采购标的的其他技术、服务等要求；</w:t>
      </w:r>
    </w:p>
    <w:p w14:paraId="76954E16">
      <w:pPr>
        <w:spacing w:line="360" w:lineRule="auto"/>
        <w:ind w:firstLine="482" w:firstLineChars="200"/>
        <w:contextualSpacing/>
        <w:rPr>
          <w:rFonts w:ascii="仿宋" w:hAnsi="仿宋" w:eastAsia="仿宋" w:cs="仿宋"/>
          <w:b/>
          <w:bCs/>
          <w:color w:val="auto"/>
          <w:sz w:val="24"/>
          <w:highlight w:val="none"/>
        </w:rPr>
      </w:pPr>
      <w:r>
        <w:rPr>
          <w:rFonts w:hint="eastAsia" w:ascii="仿宋" w:hAnsi="仿宋" w:eastAsia="仿宋" w:cs="仿宋"/>
          <w:b/>
          <w:bCs/>
          <w:color w:val="auto"/>
          <w:sz w:val="24"/>
          <w:highlight w:val="none"/>
        </w:rPr>
        <w:t>4.1、项目实施需求：</w:t>
      </w:r>
    </w:p>
    <w:p w14:paraId="2AD16414">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1）投标人提供针对本项目的实施方案，同时严格按照采购人及合同要求的工期完成安装调试工作。</w:t>
      </w:r>
    </w:p>
    <w:p w14:paraId="516151F4">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2）投标人应当做好安全管理工作，负责货物安装及施工现场的安全。</w:t>
      </w:r>
    </w:p>
    <w:p w14:paraId="154E8AAE">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3）投标人保证提供的货物是全新的未经使用的产品，投标人提供满足技术要求的设备。投标人免费提供全套、完整的中文书面技术资料，包括操作手册等。</w:t>
      </w:r>
    </w:p>
    <w:p w14:paraId="5C9A4A8E">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4）投标人负责货物的运输及全部保险，包括但不限于购买或者要求承运人购买货运保险及其他第三者责任险，并对其在项目现场提供服务、培训的人员进行保险。运输费和保险费包含在合同总价款中。</w:t>
      </w:r>
    </w:p>
    <w:p w14:paraId="2909A4BC">
      <w:pPr>
        <w:spacing w:line="360" w:lineRule="auto"/>
        <w:ind w:firstLine="482" w:firstLineChars="200"/>
        <w:contextualSpacing/>
        <w:rPr>
          <w:rFonts w:ascii="仿宋" w:hAnsi="仿宋" w:eastAsia="仿宋" w:cs="仿宋"/>
          <w:b/>
          <w:bCs/>
          <w:color w:val="auto"/>
          <w:sz w:val="24"/>
          <w:highlight w:val="none"/>
        </w:rPr>
      </w:pPr>
      <w:r>
        <w:rPr>
          <w:rFonts w:hint="eastAsia" w:ascii="仿宋" w:hAnsi="仿宋" w:eastAsia="仿宋" w:cs="仿宋"/>
          <w:b/>
          <w:bCs/>
          <w:color w:val="auto"/>
          <w:sz w:val="24"/>
          <w:highlight w:val="none"/>
        </w:rPr>
        <w:t>4.2、供货及安装要求</w:t>
      </w:r>
      <w:r>
        <w:rPr>
          <w:rFonts w:hint="eastAsia" w:ascii="仿宋" w:hAnsi="仿宋" w:eastAsia="仿宋" w:cs="仿宋"/>
          <w:b/>
          <w:bCs/>
          <w:color w:val="auto"/>
          <w:sz w:val="24"/>
          <w:highlight w:val="none"/>
        </w:rPr>
        <w:tab/>
      </w:r>
    </w:p>
    <w:p w14:paraId="212850BA">
      <w:pPr>
        <w:spacing w:line="360" w:lineRule="auto"/>
        <w:ind w:firstLine="480" w:firstLineChars="200"/>
        <w:contextualSpacing/>
        <w:rPr>
          <w:rFonts w:ascii="仿宋" w:hAnsi="仿宋" w:eastAsia="仿宋" w:cs="仿宋"/>
          <w:bCs/>
          <w:color w:val="auto"/>
          <w:sz w:val="24"/>
          <w:highlight w:val="none"/>
        </w:rPr>
      </w:pPr>
      <w:bookmarkStart w:id="27" w:name="OLE_LINK202"/>
      <w:bookmarkStart w:id="28" w:name="OLE_LINK203"/>
      <w:r>
        <w:rPr>
          <w:rFonts w:hint="eastAsia" w:ascii="仿宋" w:hAnsi="仿宋" w:eastAsia="仿宋" w:cs="仿宋"/>
          <w:bCs/>
          <w:color w:val="auto"/>
          <w:sz w:val="24"/>
          <w:highlight w:val="none"/>
        </w:rPr>
        <w:t>4.2.1、</w:t>
      </w:r>
      <w:bookmarkEnd w:id="27"/>
      <w:bookmarkEnd w:id="28"/>
      <w:r>
        <w:rPr>
          <w:rFonts w:hint="eastAsia" w:ascii="仿宋" w:hAnsi="仿宋" w:eastAsia="仿宋" w:cs="仿宋"/>
          <w:bCs/>
          <w:color w:val="auto"/>
          <w:sz w:val="24"/>
          <w:highlight w:val="none"/>
        </w:rPr>
        <w:t>投标人发运货物时，每台设备要提供一整套中文的技术资料，包括安装、操作手册、使用说明、维修保养手册等，这些资料费应包括在投标报价内。如果采购人确认投标人提供的技术资料不完整或在运输过程中丢失，投标人需保证在收到采购人通知后3天内将这些资料免费寄给采购人。</w:t>
      </w:r>
    </w:p>
    <w:p w14:paraId="5B953B7E">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4.2.2、投标人应在保证在接到采购人通知的一周内，自付费用在采购人指定所在地对设备进行安装、调试和试运行，直到该产品的技术指标完全符合合同要求为止。投标人技术人员的费用，如：差旅费、住宿费等应计入投标报价。投标人安装人员应自备必要的专用工具、量具及调试用的材料等。</w:t>
      </w:r>
    </w:p>
    <w:p w14:paraId="14D1BC0C">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4.2.3、投标人所提供的部件之间及设备之间的连线或接插件均视为设备内部部件，应包含在相应的配置中。</w:t>
      </w:r>
    </w:p>
    <w:p w14:paraId="2A70FF83">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4.2.4、工作条件：除了在技术规格中另有规定外，投标人提供的一切仪器、设备和系统，应符合下列条件：</w:t>
      </w:r>
    </w:p>
    <w:p w14:paraId="2B76AC8A">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1）仪器设备的插头要符合中国电工标准。如不符合，则应提供适合仪器插头的插座，必须要有接地。</w:t>
      </w:r>
    </w:p>
    <w:p w14:paraId="5E47EE14">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2）如果仪器设备需特殊的工作条件（如：水、电源、磁场强度、特殊温度、湿度、震动强度等），投标人应在有关投标文件中加以说明。</w:t>
      </w:r>
    </w:p>
    <w:p w14:paraId="199CEACE">
      <w:pPr>
        <w:pStyle w:val="2"/>
        <w:spacing w:line="360" w:lineRule="auto"/>
        <w:contextualSpacing/>
        <w:rPr>
          <w:rFonts w:ascii="仿宋" w:hAnsi="仿宋" w:eastAsia="仿宋" w:cs="仿宋"/>
          <w:bCs/>
          <w:color w:val="auto"/>
          <w:highlight w:val="none"/>
        </w:rPr>
      </w:pPr>
      <w:r>
        <w:rPr>
          <w:rFonts w:hint="eastAsia" w:ascii="仿宋" w:hAnsi="仿宋" w:eastAsia="仿宋" w:cs="仿宋"/>
          <w:bCs/>
          <w:color w:val="auto"/>
          <w:highlight w:val="none"/>
        </w:rPr>
        <w:t>4.2.5、中标人负责本包的设备采购、运输、安装、调试工作。投标人投标报价包括产品费、运输费、应缴纳的税费、验收费、培训费、安装调试费等交付采购人使用的一切费用。</w:t>
      </w:r>
    </w:p>
    <w:p w14:paraId="22DC8687">
      <w:pPr>
        <w:pStyle w:val="2"/>
        <w:spacing w:line="360" w:lineRule="auto"/>
        <w:contextualSpacing/>
        <w:rPr>
          <w:color w:val="auto"/>
          <w:highlight w:val="none"/>
        </w:rPr>
      </w:pPr>
    </w:p>
    <w:p w14:paraId="539920E8">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5、需由投标人提供设计方案、解决方案或者组织方案的采购项目，应当说明采购标的的功能、应用场景、目标等基本要求</w:t>
      </w:r>
    </w:p>
    <w:p w14:paraId="025C6D87">
      <w:pPr>
        <w:pStyle w:val="2"/>
        <w:rPr>
          <w:rFonts w:ascii="仿宋" w:hAnsi="仿宋" w:eastAsia="仿宋"/>
          <w:color w:val="auto"/>
          <w:highlight w:val="none"/>
        </w:rPr>
      </w:pPr>
    </w:p>
    <w:p w14:paraId="4A85476D">
      <w:pPr>
        <w:snapToGrid w:val="0"/>
        <w:spacing w:line="360" w:lineRule="auto"/>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rPr>
        <w:t>（三）验收标准</w:t>
      </w:r>
    </w:p>
    <w:p w14:paraId="176D6D1C">
      <w:pPr>
        <w:numPr>
          <w:ilvl w:val="255"/>
          <w:numId w:val="0"/>
        </w:numPr>
        <w:snapToGrid w:val="0"/>
        <w:spacing w:line="360" w:lineRule="auto"/>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rPr>
        <w:t>第1包：</w:t>
      </w:r>
    </w:p>
    <w:p w14:paraId="3795E21F">
      <w:pPr>
        <w:numPr>
          <w:ilvl w:val="255"/>
          <w:numId w:val="0"/>
        </w:num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1、验收内容：设备品牌型号，数量、质量能否满足参数要求，调试是否正常。</w:t>
      </w:r>
    </w:p>
    <w:p w14:paraId="04C49A38">
      <w:pPr>
        <w:numPr>
          <w:ilvl w:val="255"/>
          <w:numId w:val="0"/>
        </w:num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2、验收标准：合同约定或国家标准、行业标准、厂标或招标文件的规定，设备产品应经制造商质量检验合格后方可以出厂，产品均需提供合格证明。因设备质量问题引起调试不合格，由中标人无偿调换。</w:t>
      </w:r>
    </w:p>
    <w:p w14:paraId="198BECD5">
      <w:pPr>
        <w:numPr>
          <w:ilvl w:val="255"/>
          <w:numId w:val="0"/>
        </w:num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中标人所提供和交付的货物应是全新的、未使用过的、完全符合以上质量技术标准的原装正品，且表面无划伤、无碰撞；货物的安装维修，须由持有有关部门核发上岗证书的安装调试人员按照国家现行安装规范来实施。</w:t>
      </w:r>
    </w:p>
    <w:p w14:paraId="7064E877">
      <w:pPr>
        <w:numPr>
          <w:ilvl w:val="255"/>
          <w:numId w:val="0"/>
        </w:numPr>
        <w:snapToGrid w:val="0"/>
        <w:spacing w:line="360" w:lineRule="auto"/>
        <w:ind w:firstLine="482" w:firstLineChars="200"/>
        <w:rPr>
          <w:rFonts w:ascii="仿宋" w:hAnsi="仿宋" w:eastAsia="仿宋" w:cs="仿宋"/>
          <w:b/>
          <w:bCs/>
          <w:color w:val="auto"/>
          <w:sz w:val="24"/>
          <w:highlight w:val="none"/>
        </w:rPr>
      </w:pPr>
    </w:p>
    <w:p w14:paraId="6B9B464C">
      <w:pPr>
        <w:numPr>
          <w:ilvl w:val="255"/>
          <w:numId w:val="0"/>
        </w:numPr>
        <w:snapToGrid w:val="0"/>
        <w:spacing w:line="360" w:lineRule="auto"/>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rPr>
        <w:t>（四）其他要求</w:t>
      </w:r>
    </w:p>
    <w:p w14:paraId="10536053">
      <w:pPr>
        <w:numPr>
          <w:ilvl w:val="255"/>
          <w:numId w:val="0"/>
        </w:num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无。</w:t>
      </w:r>
    </w:p>
    <w:p w14:paraId="0EFAC9C6">
      <w:pPr>
        <w:pStyle w:val="2"/>
        <w:rPr>
          <w:color w:val="auto"/>
          <w:highlight w:val="none"/>
        </w:rPr>
      </w:pPr>
    </w:p>
    <w:p w14:paraId="4EE1867B">
      <w:pPr>
        <w:pStyle w:val="2"/>
        <w:rPr>
          <w:color w:val="auto"/>
          <w:highlight w:val="none"/>
        </w:rPr>
        <w:sectPr>
          <w:pgSz w:w="11906" w:h="16838"/>
          <w:pgMar w:top="1440" w:right="1800" w:bottom="1440" w:left="1800" w:header="851" w:footer="992" w:gutter="0"/>
          <w:cols w:space="425" w:num="1"/>
          <w:docGrid w:type="lines" w:linePitch="312" w:charSpace="0"/>
        </w:sectPr>
      </w:pPr>
    </w:p>
    <w:p w14:paraId="6CA833C2">
      <w:pPr>
        <w:spacing w:line="360" w:lineRule="auto"/>
        <w:contextualSpacing/>
        <w:jc w:val="center"/>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第2包</w:t>
      </w:r>
    </w:p>
    <w:p w14:paraId="05315B6B">
      <w:pPr>
        <w:snapToGrid w:val="0"/>
        <w:spacing w:line="360" w:lineRule="auto"/>
        <w:jc w:val="center"/>
        <w:outlineLvl w:val="0"/>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第五章   采购需求</w:t>
      </w:r>
    </w:p>
    <w:p w14:paraId="7F07C34F">
      <w:pPr>
        <w:snapToGrid w:val="0"/>
        <w:spacing w:line="360" w:lineRule="auto"/>
        <w:contextualSpacing/>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说明：</w:t>
      </w:r>
    </w:p>
    <w:p w14:paraId="154221BA">
      <w:pPr>
        <w:snapToGrid w:val="0"/>
        <w:spacing w:line="360" w:lineRule="auto"/>
        <w:contextualSpacing/>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 当采购项目涉及政务信息系统时，采购需求应当符合《政务信息系统政府采购管理暂行办法》（财库〔2017〕210号）的相关要求。</w:t>
      </w:r>
    </w:p>
    <w:p w14:paraId="2DD20A35">
      <w:pPr>
        <w:snapToGrid w:val="0"/>
        <w:spacing w:line="360" w:lineRule="auto"/>
        <w:contextualSpacing/>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 采购人及采购代理机构应关注财政部门会同有关部门制定发布的需求标准，结合具体应用场景，根据对应《需求标准》确定采购需求。</w:t>
      </w:r>
    </w:p>
    <w:p w14:paraId="3228E6B7">
      <w:pPr>
        <w:snapToGrid w:val="0"/>
        <w:spacing w:line="360" w:lineRule="auto"/>
        <w:contextualSpacing/>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已发布的需求标准如下：</w:t>
      </w:r>
    </w:p>
    <w:p w14:paraId="0AACB6D9">
      <w:pPr>
        <w:snapToGrid w:val="0"/>
        <w:spacing w:line="360" w:lineRule="auto"/>
        <w:contextualSpacing/>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《关于印发〈商品包装政府采购需求标准（试行）〉、〈快递包装政府采购需求标准（试行）〉的通知》（财办库﹝2020﹞123号））</w:t>
      </w:r>
    </w:p>
    <w:p w14:paraId="3BABF6DD">
      <w:pPr>
        <w:pStyle w:val="270"/>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《绿色数据中心政府采购需求标准（试行）》（财库〔2023〕7号）</w:t>
      </w:r>
    </w:p>
    <w:p w14:paraId="14C75E43">
      <w:pPr>
        <w:pStyle w:val="270"/>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《台式计算机政府采购需求标准（2023年版）》（财库〔2023〕29号）</w:t>
      </w:r>
    </w:p>
    <w:p w14:paraId="5DA38577">
      <w:pPr>
        <w:pStyle w:val="270"/>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《便携式计算机政府采购需求标准（2023年版）》（财库〔2023〕30号）</w:t>
      </w:r>
    </w:p>
    <w:p w14:paraId="01795688">
      <w:pPr>
        <w:pStyle w:val="270"/>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《一体式计算机政府采购需求标准（2023年版）》（财库〔2023〕31号）</w:t>
      </w:r>
    </w:p>
    <w:p w14:paraId="17FAD3F6">
      <w:pPr>
        <w:pStyle w:val="270"/>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《工作站政府采购需求标准（2023年版）》（财库〔2023〕32号）</w:t>
      </w:r>
    </w:p>
    <w:p w14:paraId="20516B2A">
      <w:pPr>
        <w:pStyle w:val="270"/>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《通用服务器政府采购需求标准（2023年版）》（财库〔2023〕33号）</w:t>
      </w:r>
    </w:p>
    <w:p w14:paraId="7E9ABC5F">
      <w:pPr>
        <w:pStyle w:val="270"/>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《操作系统政府采购需求标准（2023年版）》（财库〔2023〕34号）</w:t>
      </w:r>
    </w:p>
    <w:p w14:paraId="7CD59018">
      <w:pPr>
        <w:pStyle w:val="270"/>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《数据库政府采购需求标准（2023年版）》（财库〔2023〕35号）</w:t>
      </w:r>
    </w:p>
    <w:p w14:paraId="1932109D">
      <w:pPr>
        <w:pStyle w:val="270"/>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《物业管理服务政府采购需求标准（办公场所类）（试行）》（财办库〔2024〕113号）</w:t>
      </w:r>
    </w:p>
    <w:p w14:paraId="646134CC">
      <w:pPr>
        <w:snapToGrid w:val="0"/>
        <w:spacing w:line="360" w:lineRule="auto"/>
        <w:ind w:firstLine="560" w:firstLineChars="200"/>
        <w:rPr>
          <w:rFonts w:ascii="仿宋" w:hAnsi="仿宋" w:eastAsia="仿宋" w:cs="仿宋"/>
          <w:b/>
          <w:color w:val="auto"/>
          <w:sz w:val="24"/>
          <w:highlight w:val="none"/>
        </w:rPr>
      </w:pPr>
      <w:r>
        <w:rPr>
          <w:rFonts w:hint="eastAsia" w:ascii="仿宋" w:hAnsi="仿宋" w:eastAsia="仿宋" w:cs="仿宋"/>
          <w:color w:val="auto"/>
          <w:sz w:val="28"/>
          <w:szCs w:val="28"/>
          <w:highlight w:val="none"/>
        </w:rPr>
        <w:t>如有更新或增加，以财政部门发布为准。</w:t>
      </w:r>
    </w:p>
    <w:p w14:paraId="171B1618">
      <w:pPr>
        <w:snapToGrid w:val="0"/>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一、采购标的</w:t>
      </w:r>
    </w:p>
    <w:p w14:paraId="0827B264">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（一）采购标的（货物需求一览表或简要服务内容及数量）</w:t>
      </w:r>
    </w:p>
    <w:tbl>
      <w:tblPr>
        <w:tblStyle w:val="4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1231"/>
        <w:gridCol w:w="3349"/>
        <w:gridCol w:w="878"/>
        <w:gridCol w:w="863"/>
        <w:gridCol w:w="1183"/>
      </w:tblGrid>
      <w:tr w14:paraId="0F2B8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46" w:hRule="atLeast"/>
        </w:trPr>
        <w:tc>
          <w:tcPr>
            <w:tcW w:w="597" w:type="pct"/>
            <w:vAlign w:val="center"/>
          </w:tcPr>
          <w:p w14:paraId="613D77B6">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包号</w:t>
            </w:r>
          </w:p>
        </w:tc>
        <w:tc>
          <w:tcPr>
            <w:tcW w:w="722" w:type="pct"/>
            <w:vAlign w:val="center"/>
          </w:tcPr>
          <w:p w14:paraId="6C6FBC94">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品目号</w:t>
            </w:r>
          </w:p>
        </w:tc>
        <w:tc>
          <w:tcPr>
            <w:tcW w:w="1964" w:type="pct"/>
            <w:tcBorders>
              <w:bottom w:val="single" w:color="auto" w:sz="4" w:space="0"/>
            </w:tcBorders>
            <w:vAlign w:val="center"/>
          </w:tcPr>
          <w:p w14:paraId="45EC389F">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标的名称</w:t>
            </w:r>
          </w:p>
        </w:tc>
        <w:tc>
          <w:tcPr>
            <w:tcW w:w="515" w:type="pct"/>
            <w:vAlign w:val="center"/>
          </w:tcPr>
          <w:p w14:paraId="43343953">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数量</w:t>
            </w:r>
          </w:p>
        </w:tc>
        <w:tc>
          <w:tcPr>
            <w:tcW w:w="506" w:type="pct"/>
            <w:vAlign w:val="center"/>
          </w:tcPr>
          <w:p w14:paraId="42BD9DCB">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单位</w:t>
            </w:r>
          </w:p>
        </w:tc>
        <w:tc>
          <w:tcPr>
            <w:tcW w:w="694" w:type="pct"/>
            <w:vAlign w:val="center"/>
          </w:tcPr>
          <w:p w14:paraId="6B04E266">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是否接受进口产品</w:t>
            </w:r>
          </w:p>
        </w:tc>
      </w:tr>
      <w:tr w14:paraId="1E15B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restart"/>
            <w:noWrap/>
            <w:vAlign w:val="center"/>
          </w:tcPr>
          <w:p w14:paraId="5057F488">
            <w:pPr>
              <w:spacing w:before="120"/>
              <w:contextualSpacing/>
              <w:jc w:val="center"/>
              <w:rPr>
                <w:rFonts w:ascii="仿宋" w:hAnsi="仿宋" w:eastAsia="仿宋"/>
                <w:color w:val="auto"/>
                <w:sz w:val="24"/>
                <w:highlight w:val="none"/>
              </w:rPr>
            </w:pPr>
            <w:r>
              <w:rPr>
                <w:rFonts w:hint="eastAsia" w:ascii="仿宋" w:hAnsi="仿宋" w:eastAsia="仿宋"/>
                <w:color w:val="auto"/>
                <w:sz w:val="24"/>
                <w:highlight w:val="none"/>
              </w:rPr>
              <w:t>2</w:t>
            </w:r>
          </w:p>
        </w:tc>
        <w:tc>
          <w:tcPr>
            <w:tcW w:w="722" w:type="pct"/>
            <w:vAlign w:val="center"/>
          </w:tcPr>
          <w:p w14:paraId="20329DE5">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2-1</w:t>
            </w:r>
          </w:p>
        </w:tc>
        <w:tc>
          <w:tcPr>
            <w:tcW w:w="1964" w:type="pct"/>
            <w:vAlign w:val="center"/>
          </w:tcPr>
          <w:p w14:paraId="73F3ED93">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防爆罐</w:t>
            </w:r>
          </w:p>
        </w:tc>
        <w:tc>
          <w:tcPr>
            <w:tcW w:w="515" w:type="pct"/>
            <w:vAlign w:val="center"/>
          </w:tcPr>
          <w:p w14:paraId="5DCD6933">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5</w:t>
            </w:r>
          </w:p>
        </w:tc>
        <w:tc>
          <w:tcPr>
            <w:tcW w:w="506" w:type="pct"/>
            <w:vAlign w:val="center"/>
          </w:tcPr>
          <w:p w14:paraId="452FDE2E">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个</w:t>
            </w:r>
          </w:p>
        </w:tc>
        <w:tc>
          <w:tcPr>
            <w:tcW w:w="694" w:type="pct"/>
            <w:vAlign w:val="center"/>
          </w:tcPr>
          <w:p w14:paraId="324A8A71">
            <w:pPr>
              <w:jc w:val="center"/>
              <w:rPr>
                <w:color w:val="auto"/>
                <w:highlight w:val="none"/>
              </w:rPr>
            </w:pPr>
            <w:r>
              <w:rPr>
                <w:rFonts w:hint="eastAsia" w:ascii="仿宋" w:hAnsi="仿宋" w:eastAsia="仿宋" w:cs="宋体"/>
                <w:color w:val="auto"/>
                <w:kern w:val="0"/>
                <w:sz w:val="24"/>
                <w:highlight w:val="none"/>
                <w:lang w:bidi="ar"/>
              </w:rPr>
              <w:t>否</w:t>
            </w:r>
          </w:p>
        </w:tc>
      </w:tr>
      <w:tr w14:paraId="0BB8E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766E6B90">
            <w:pPr>
              <w:spacing w:before="120"/>
              <w:contextualSpacing/>
              <w:jc w:val="center"/>
              <w:rPr>
                <w:rFonts w:ascii="仿宋" w:hAnsi="仿宋" w:eastAsia="仿宋"/>
                <w:color w:val="auto"/>
                <w:sz w:val="24"/>
                <w:highlight w:val="none"/>
              </w:rPr>
            </w:pPr>
          </w:p>
        </w:tc>
        <w:tc>
          <w:tcPr>
            <w:tcW w:w="722" w:type="pct"/>
            <w:vAlign w:val="center"/>
          </w:tcPr>
          <w:p w14:paraId="43CDFC27">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2-2</w:t>
            </w:r>
          </w:p>
        </w:tc>
        <w:tc>
          <w:tcPr>
            <w:tcW w:w="1964" w:type="pct"/>
            <w:vAlign w:val="center"/>
          </w:tcPr>
          <w:p w14:paraId="31C2B426">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防爆毯</w:t>
            </w:r>
          </w:p>
        </w:tc>
        <w:tc>
          <w:tcPr>
            <w:tcW w:w="515" w:type="pct"/>
            <w:vAlign w:val="center"/>
          </w:tcPr>
          <w:p w14:paraId="6769AE0F">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5</w:t>
            </w:r>
          </w:p>
        </w:tc>
        <w:tc>
          <w:tcPr>
            <w:tcW w:w="506" w:type="pct"/>
            <w:vAlign w:val="center"/>
          </w:tcPr>
          <w:p w14:paraId="6D0742A4">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个</w:t>
            </w:r>
          </w:p>
        </w:tc>
        <w:tc>
          <w:tcPr>
            <w:tcW w:w="694" w:type="pct"/>
            <w:vAlign w:val="center"/>
          </w:tcPr>
          <w:p w14:paraId="257410A4">
            <w:pPr>
              <w:jc w:val="center"/>
              <w:rPr>
                <w:color w:val="auto"/>
                <w:highlight w:val="none"/>
              </w:rPr>
            </w:pPr>
            <w:r>
              <w:rPr>
                <w:rFonts w:hint="eastAsia" w:ascii="仿宋" w:hAnsi="仿宋" w:eastAsia="仿宋" w:cs="宋体"/>
                <w:color w:val="auto"/>
                <w:kern w:val="0"/>
                <w:sz w:val="24"/>
                <w:highlight w:val="none"/>
                <w:lang w:bidi="ar"/>
              </w:rPr>
              <w:t>否</w:t>
            </w:r>
          </w:p>
        </w:tc>
      </w:tr>
      <w:tr w14:paraId="413BA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64A56B37">
            <w:pPr>
              <w:spacing w:before="120"/>
              <w:contextualSpacing/>
              <w:jc w:val="center"/>
              <w:rPr>
                <w:rFonts w:ascii="仿宋" w:hAnsi="仿宋" w:eastAsia="仿宋"/>
                <w:color w:val="auto"/>
                <w:sz w:val="24"/>
                <w:highlight w:val="none"/>
              </w:rPr>
            </w:pPr>
          </w:p>
        </w:tc>
        <w:tc>
          <w:tcPr>
            <w:tcW w:w="722" w:type="pct"/>
            <w:vAlign w:val="center"/>
          </w:tcPr>
          <w:p w14:paraId="0408FC2E">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2-3</w:t>
            </w:r>
          </w:p>
        </w:tc>
        <w:tc>
          <w:tcPr>
            <w:tcW w:w="1964" w:type="pct"/>
            <w:vAlign w:val="center"/>
          </w:tcPr>
          <w:p w14:paraId="0A9E7248">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对讲机信号放大器</w:t>
            </w:r>
          </w:p>
        </w:tc>
        <w:tc>
          <w:tcPr>
            <w:tcW w:w="515" w:type="pct"/>
            <w:vAlign w:val="center"/>
          </w:tcPr>
          <w:p w14:paraId="53BCFF1A">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2</w:t>
            </w:r>
          </w:p>
        </w:tc>
        <w:tc>
          <w:tcPr>
            <w:tcW w:w="506" w:type="pct"/>
            <w:vAlign w:val="center"/>
          </w:tcPr>
          <w:p w14:paraId="032F519C">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694" w:type="pct"/>
            <w:vAlign w:val="center"/>
          </w:tcPr>
          <w:p w14:paraId="598008F1">
            <w:pPr>
              <w:jc w:val="center"/>
              <w:rPr>
                <w:color w:val="auto"/>
                <w:highlight w:val="none"/>
              </w:rPr>
            </w:pPr>
            <w:r>
              <w:rPr>
                <w:rFonts w:hint="eastAsia" w:ascii="仿宋" w:hAnsi="仿宋" w:eastAsia="仿宋" w:cs="宋体"/>
                <w:color w:val="auto"/>
                <w:kern w:val="0"/>
                <w:sz w:val="24"/>
                <w:highlight w:val="none"/>
                <w:lang w:bidi="ar"/>
              </w:rPr>
              <w:t>否</w:t>
            </w:r>
          </w:p>
        </w:tc>
      </w:tr>
      <w:tr w14:paraId="4138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1B4E1CDC">
            <w:pPr>
              <w:spacing w:before="120"/>
              <w:contextualSpacing/>
              <w:jc w:val="center"/>
              <w:rPr>
                <w:rFonts w:ascii="仿宋" w:hAnsi="仿宋" w:eastAsia="仿宋"/>
                <w:color w:val="auto"/>
                <w:sz w:val="24"/>
                <w:highlight w:val="none"/>
              </w:rPr>
            </w:pPr>
          </w:p>
        </w:tc>
        <w:tc>
          <w:tcPr>
            <w:tcW w:w="722" w:type="pct"/>
            <w:vAlign w:val="center"/>
          </w:tcPr>
          <w:p w14:paraId="2FD6B6CF">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2-4</w:t>
            </w:r>
          </w:p>
        </w:tc>
        <w:tc>
          <w:tcPr>
            <w:tcW w:w="1964" w:type="pct"/>
            <w:vAlign w:val="center"/>
          </w:tcPr>
          <w:p w14:paraId="46F0E979">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对讲机(含耳机)</w:t>
            </w:r>
          </w:p>
        </w:tc>
        <w:tc>
          <w:tcPr>
            <w:tcW w:w="515" w:type="pct"/>
            <w:vAlign w:val="center"/>
          </w:tcPr>
          <w:p w14:paraId="2F1821BF">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120</w:t>
            </w:r>
          </w:p>
        </w:tc>
        <w:tc>
          <w:tcPr>
            <w:tcW w:w="506" w:type="pct"/>
            <w:vAlign w:val="center"/>
          </w:tcPr>
          <w:p w14:paraId="5F32F9D8">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694" w:type="pct"/>
            <w:vAlign w:val="center"/>
          </w:tcPr>
          <w:p w14:paraId="36DCFA07">
            <w:pPr>
              <w:jc w:val="center"/>
              <w:rPr>
                <w:color w:val="auto"/>
                <w:highlight w:val="none"/>
              </w:rPr>
            </w:pPr>
            <w:r>
              <w:rPr>
                <w:rFonts w:hint="eastAsia" w:ascii="仿宋" w:hAnsi="仿宋" w:eastAsia="仿宋" w:cs="宋体"/>
                <w:color w:val="auto"/>
                <w:kern w:val="0"/>
                <w:sz w:val="24"/>
                <w:highlight w:val="none"/>
                <w:lang w:bidi="ar"/>
              </w:rPr>
              <w:t>否</w:t>
            </w:r>
          </w:p>
        </w:tc>
      </w:tr>
      <w:tr w14:paraId="31468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5CFC4FD3">
            <w:pPr>
              <w:spacing w:before="120"/>
              <w:contextualSpacing/>
              <w:jc w:val="center"/>
              <w:rPr>
                <w:rFonts w:ascii="仿宋" w:hAnsi="仿宋" w:eastAsia="仿宋"/>
                <w:color w:val="auto"/>
                <w:sz w:val="24"/>
                <w:highlight w:val="none"/>
              </w:rPr>
            </w:pPr>
          </w:p>
        </w:tc>
        <w:tc>
          <w:tcPr>
            <w:tcW w:w="722" w:type="pct"/>
            <w:vAlign w:val="center"/>
          </w:tcPr>
          <w:p w14:paraId="5FB18B81">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2-5</w:t>
            </w:r>
          </w:p>
        </w:tc>
        <w:tc>
          <w:tcPr>
            <w:tcW w:w="1964" w:type="pct"/>
            <w:vAlign w:val="center"/>
          </w:tcPr>
          <w:p w14:paraId="65370FCC">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执法记录仪</w:t>
            </w:r>
          </w:p>
        </w:tc>
        <w:tc>
          <w:tcPr>
            <w:tcW w:w="515" w:type="pct"/>
            <w:vAlign w:val="center"/>
          </w:tcPr>
          <w:p w14:paraId="2213248C">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100</w:t>
            </w:r>
          </w:p>
        </w:tc>
        <w:tc>
          <w:tcPr>
            <w:tcW w:w="506" w:type="pct"/>
            <w:vAlign w:val="center"/>
          </w:tcPr>
          <w:p w14:paraId="36207D74">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部</w:t>
            </w:r>
          </w:p>
        </w:tc>
        <w:tc>
          <w:tcPr>
            <w:tcW w:w="694" w:type="pct"/>
            <w:vAlign w:val="center"/>
          </w:tcPr>
          <w:p w14:paraId="5B60F936">
            <w:pPr>
              <w:jc w:val="center"/>
              <w:rPr>
                <w:color w:val="auto"/>
                <w:highlight w:val="none"/>
              </w:rPr>
            </w:pPr>
            <w:r>
              <w:rPr>
                <w:rFonts w:hint="eastAsia" w:ascii="仿宋" w:hAnsi="仿宋" w:eastAsia="仿宋" w:cs="宋体"/>
                <w:color w:val="auto"/>
                <w:kern w:val="0"/>
                <w:sz w:val="24"/>
                <w:highlight w:val="none"/>
                <w:lang w:bidi="ar"/>
              </w:rPr>
              <w:t>否</w:t>
            </w:r>
          </w:p>
        </w:tc>
      </w:tr>
      <w:tr w14:paraId="7EDCE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6847C521">
            <w:pPr>
              <w:spacing w:before="120"/>
              <w:contextualSpacing/>
              <w:jc w:val="center"/>
              <w:rPr>
                <w:rFonts w:ascii="仿宋" w:hAnsi="仿宋" w:eastAsia="仿宋"/>
                <w:color w:val="auto"/>
                <w:sz w:val="24"/>
                <w:highlight w:val="none"/>
              </w:rPr>
            </w:pPr>
          </w:p>
        </w:tc>
        <w:tc>
          <w:tcPr>
            <w:tcW w:w="722" w:type="pct"/>
            <w:vAlign w:val="center"/>
          </w:tcPr>
          <w:p w14:paraId="6CE9B3E5">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2-6</w:t>
            </w:r>
          </w:p>
        </w:tc>
        <w:tc>
          <w:tcPr>
            <w:tcW w:w="1964" w:type="pct"/>
            <w:vAlign w:val="center"/>
          </w:tcPr>
          <w:p w14:paraId="296978E3">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两轮治安巡逻车</w:t>
            </w:r>
          </w:p>
        </w:tc>
        <w:tc>
          <w:tcPr>
            <w:tcW w:w="515" w:type="pct"/>
            <w:vAlign w:val="center"/>
          </w:tcPr>
          <w:p w14:paraId="458B771B">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8</w:t>
            </w:r>
          </w:p>
        </w:tc>
        <w:tc>
          <w:tcPr>
            <w:tcW w:w="506" w:type="pct"/>
            <w:vAlign w:val="center"/>
          </w:tcPr>
          <w:p w14:paraId="6AFE3DC2">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辆</w:t>
            </w:r>
          </w:p>
        </w:tc>
        <w:tc>
          <w:tcPr>
            <w:tcW w:w="694" w:type="pct"/>
            <w:vAlign w:val="center"/>
          </w:tcPr>
          <w:p w14:paraId="57403E43">
            <w:pPr>
              <w:jc w:val="center"/>
              <w:rPr>
                <w:color w:val="auto"/>
                <w:highlight w:val="none"/>
              </w:rPr>
            </w:pPr>
            <w:r>
              <w:rPr>
                <w:rFonts w:hint="eastAsia" w:ascii="仿宋" w:hAnsi="仿宋" w:eastAsia="仿宋" w:cs="宋体"/>
                <w:color w:val="auto"/>
                <w:kern w:val="0"/>
                <w:sz w:val="24"/>
                <w:highlight w:val="none"/>
                <w:lang w:bidi="ar"/>
              </w:rPr>
              <w:t>否</w:t>
            </w:r>
          </w:p>
        </w:tc>
      </w:tr>
      <w:tr w14:paraId="32AC8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28012930">
            <w:pPr>
              <w:spacing w:before="120"/>
              <w:contextualSpacing/>
              <w:jc w:val="center"/>
              <w:rPr>
                <w:rFonts w:ascii="仿宋" w:hAnsi="仿宋" w:eastAsia="仿宋"/>
                <w:color w:val="auto"/>
                <w:sz w:val="24"/>
                <w:highlight w:val="none"/>
              </w:rPr>
            </w:pPr>
          </w:p>
        </w:tc>
        <w:tc>
          <w:tcPr>
            <w:tcW w:w="722" w:type="pct"/>
            <w:vAlign w:val="center"/>
          </w:tcPr>
          <w:p w14:paraId="6C6FBD0F">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2-7</w:t>
            </w:r>
          </w:p>
        </w:tc>
        <w:tc>
          <w:tcPr>
            <w:tcW w:w="1964" w:type="pct"/>
            <w:vAlign w:val="center"/>
          </w:tcPr>
          <w:p w14:paraId="581E4364">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四轮治安巡逻车</w:t>
            </w:r>
          </w:p>
        </w:tc>
        <w:tc>
          <w:tcPr>
            <w:tcW w:w="515" w:type="pct"/>
            <w:vAlign w:val="center"/>
          </w:tcPr>
          <w:p w14:paraId="685D934C">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2</w:t>
            </w:r>
          </w:p>
        </w:tc>
        <w:tc>
          <w:tcPr>
            <w:tcW w:w="506" w:type="pct"/>
            <w:vAlign w:val="center"/>
          </w:tcPr>
          <w:p w14:paraId="1EE966CB">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辆</w:t>
            </w:r>
          </w:p>
        </w:tc>
        <w:tc>
          <w:tcPr>
            <w:tcW w:w="694" w:type="pct"/>
            <w:vAlign w:val="center"/>
          </w:tcPr>
          <w:p w14:paraId="2B177FCC">
            <w:pPr>
              <w:jc w:val="center"/>
              <w:rPr>
                <w:color w:val="auto"/>
                <w:highlight w:val="none"/>
              </w:rPr>
            </w:pPr>
            <w:r>
              <w:rPr>
                <w:rFonts w:hint="eastAsia" w:ascii="仿宋" w:hAnsi="仿宋" w:eastAsia="仿宋" w:cs="宋体"/>
                <w:color w:val="auto"/>
                <w:kern w:val="0"/>
                <w:sz w:val="24"/>
                <w:highlight w:val="none"/>
                <w:lang w:bidi="ar"/>
              </w:rPr>
              <w:t>否</w:t>
            </w:r>
          </w:p>
        </w:tc>
      </w:tr>
      <w:tr w14:paraId="2CBA3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33F0BA65">
            <w:pPr>
              <w:spacing w:before="120"/>
              <w:contextualSpacing/>
              <w:jc w:val="center"/>
              <w:rPr>
                <w:rFonts w:ascii="仿宋" w:hAnsi="仿宋" w:eastAsia="仿宋"/>
                <w:color w:val="auto"/>
                <w:sz w:val="24"/>
                <w:highlight w:val="none"/>
              </w:rPr>
            </w:pPr>
          </w:p>
        </w:tc>
        <w:tc>
          <w:tcPr>
            <w:tcW w:w="722" w:type="pct"/>
            <w:vAlign w:val="center"/>
          </w:tcPr>
          <w:p w14:paraId="296F4DA3">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2-8</w:t>
            </w:r>
          </w:p>
        </w:tc>
        <w:tc>
          <w:tcPr>
            <w:tcW w:w="1964" w:type="pct"/>
            <w:vAlign w:val="center"/>
          </w:tcPr>
          <w:p w14:paraId="3213AC1C">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安防设备提示牌</w:t>
            </w:r>
          </w:p>
        </w:tc>
        <w:tc>
          <w:tcPr>
            <w:tcW w:w="515" w:type="pct"/>
            <w:vAlign w:val="center"/>
          </w:tcPr>
          <w:p w14:paraId="0FCA2568">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220</w:t>
            </w:r>
          </w:p>
        </w:tc>
        <w:tc>
          <w:tcPr>
            <w:tcW w:w="506" w:type="pct"/>
            <w:vAlign w:val="center"/>
          </w:tcPr>
          <w:p w14:paraId="7D6A471E">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个</w:t>
            </w:r>
          </w:p>
        </w:tc>
        <w:tc>
          <w:tcPr>
            <w:tcW w:w="694" w:type="pct"/>
            <w:vAlign w:val="center"/>
          </w:tcPr>
          <w:p w14:paraId="41D5F0EC">
            <w:pPr>
              <w:jc w:val="center"/>
              <w:rPr>
                <w:color w:val="auto"/>
                <w:highlight w:val="none"/>
              </w:rPr>
            </w:pPr>
            <w:r>
              <w:rPr>
                <w:rFonts w:hint="eastAsia" w:ascii="仿宋" w:hAnsi="仿宋" w:eastAsia="仿宋" w:cs="宋体"/>
                <w:color w:val="auto"/>
                <w:kern w:val="0"/>
                <w:sz w:val="24"/>
                <w:highlight w:val="none"/>
                <w:lang w:bidi="ar"/>
              </w:rPr>
              <w:t>否</w:t>
            </w:r>
          </w:p>
        </w:tc>
      </w:tr>
      <w:tr w14:paraId="5EE5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3202904A">
            <w:pPr>
              <w:spacing w:before="120"/>
              <w:contextualSpacing/>
              <w:jc w:val="center"/>
              <w:rPr>
                <w:rFonts w:ascii="仿宋" w:hAnsi="仿宋" w:eastAsia="仿宋"/>
                <w:color w:val="auto"/>
                <w:sz w:val="24"/>
                <w:highlight w:val="none"/>
              </w:rPr>
            </w:pPr>
          </w:p>
        </w:tc>
        <w:tc>
          <w:tcPr>
            <w:tcW w:w="722" w:type="pct"/>
            <w:vAlign w:val="center"/>
          </w:tcPr>
          <w:p w14:paraId="37B569CD">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2-9</w:t>
            </w:r>
          </w:p>
        </w:tc>
        <w:tc>
          <w:tcPr>
            <w:tcW w:w="1964" w:type="pct"/>
            <w:vAlign w:val="center"/>
          </w:tcPr>
          <w:p w14:paraId="325532B1">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安防设备提示牌</w:t>
            </w:r>
          </w:p>
        </w:tc>
        <w:tc>
          <w:tcPr>
            <w:tcW w:w="515" w:type="pct"/>
            <w:vAlign w:val="center"/>
          </w:tcPr>
          <w:p w14:paraId="747F34C4">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100</w:t>
            </w:r>
          </w:p>
        </w:tc>
        <w:tc>
          <w:tcPr>
            <w:tcW w:w="506" w:type="pct"/>
            <w:vAlign w:val="center"/>
          </w:tcPr>
          <w:p w14:paraId="48358154">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个</w:t>
            </w:r>
          </w:p>
        </w:tc>
        <w:tc>
          <w:tcPr>
            <w:tcW w:w="694" w:type="pct"/>
            <w:vAlign w:val="center"/>
          </w:tcPr>
          <w:p w14:paraId="1D63E3A9">
            <w:pPr>
              <w:jc w:val="center"/>
              <w:rPr>
                <w:color w:val="auto"/>
                <w:highlight w:val="none"/>
              </w:rPr>
            </w:pPr>
            <w:r>
              <w:rPr>
                <w:rFonts w:hint="eastAsia" w:ascii="仿宋" w:hAnsi="仿宋" w:eastAsia="仿宋" w:cs="宋体"/>
                <w:color w:val="auto"/>
                <w:kern w:val="0"/>
                <w:sz w:val="24"/>
                <w:highlight w:val="none"/>
                <w:lang w:bidi="ar"/>
              </w:rPr>
              <w:t>否</w:t>
            </w:r>
          </w:p>
        </w:tc>
      </w:tr>
      <w:tr w14:paraId="22EA2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4EF04433">
            <w:pPr>
              <w:spacing w:before="120"/>
              <w:contextualSpacing/>
              <w:jc w:val="center"/>
              <w:rPr>
                <w:rFonts w:ascii="仿宋" w:hAnsi="仿宋" w:eastAsia="仿宋"/>
                <w:color w:val="auto"/>
                <w:sz w:val="24"/>
                <w:highlight w:val="none"/>
              </w:rPr>
            </w:pPr>
          </w:p>
        </w:tc>
        <w:tc>
          <w:tcPr>
            <w:tcW w:w="722" w:type="pct"/>
            <w:vAlign w:val="center"/>
          </w:tcPr>
          <w:p w14:paraId="719B916A">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2-10</w:t>
            </w:r>
          </w:p>
        </w:tc>
        <w:tc>
          <w:tcPr>
            <w:tcW w:w="1964" w:type="pct"/>
            <w:vAlign w:val="center"/>
          </w:tcPr>
          <w:p w14:paraId="2C4EFB4C">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医院安全秩序宣传标识</w:t>
            </w:r>
          </w:p>
        </w:tc>
        <w:tc>
          <w:tcPr>
            <w:tcW w:w="515" w:type="pct"/>
            <w:vAlign w:val="center"/>
          </w:tcPr>
          <w:p w14:paraId="79F1C89C">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100</w:t>
            </w:r>
          </w:p>
        </w:tc>
        <w:tc>
          <w:tcPr>
            <w:tcW w:w="506" w:type="pct"/>
            <w:vAlign w:val="center"/>
          </w:tcPr>
          <w:p w14:paraId="028DDA7D">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个</w:t>
            </w:r>
          </w:p>
        </w:tc>
        <w:tc>
          <w:tcPr>
            <w:tcW w:w="694" w:type="pct"/>
            <w:vAlign w:val="center"/>
          </w:tcPr>
          <w:p w14:paraId="1D4C37B8">
            <w:pPr>
              <w:jc w:val="center"/>
              <w:rPr>
                <w:color w:val="auto"/>
                <w:highlight w:val="none"/>
              </w:rPr>
            </w:pPr>
            <w:r>
              <w:rPr>
                <w:rFonts w:hint="eastAsia" w:ascii="仿宋" w:hAnsi="仿宋" w:eastAsia="仿宋" w:cs="宋体"/>
                <w:color w:val="auto"/>
                <w:kern w:val="0"/>
                <w:sz w:val="24"/>
                <w:highlight w:val="none"/>
                <w:lang w:bidi="ar"/>
              </w:rPr>
              <w:t>否</w:t>
            </w:r>
          </w:p>
        </w:tc>
      </w:tr>
      <w:tr w14:paraId="62B91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3E116FC2">
            <w:pPr>
              <w:spacing w:before="120"/>
              <w:contextualSpacing/>
              <w:jc w:val="center"/>
              <w:rPr>
                <w:rFonts w:ascii="仿宋" w:hAnsi="仿宋" w:eastAsia="仿宋"/>
                <w:color w:val="auto"/>
                <w:sz w:val="24"/>
                <w:highlight w:val="none"/>
              </w:rPr>
            </w:pPr>
          </w:p>
        </w:tc>
        <w:tc>
          <w:tcPr>
            <w:tcW w:w="722" w:type="pct"/>
            <w:vAlign w:val="center"/>
          </w:tcPr>
          <w:p w14:paraId="4E843179">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2-11</w:t>
            </w:r>
          </w:p>
        </w:tc>
        <w:tc>
          <w:tcPr>
            <w:tcW w:w="1964" w:type="pct"/>
            <w:vAlign w:val="center"/>
          </w:tcPr>
          <w:p w14:paraId="30C3EE3D">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医院安全秩序宣传标识</w:t>
            </w:r>
          </w:p>
        </w:tc>
        <w:tc>
          <w:tcPr>
            <w:tcW w:w="515" w:type="pct"/>
            <w:vAlign w:val="center"/>
          </w:tcPr>
          <w:p w14:paraId="22F59F73">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20</w:t>
            </w:r>
          </w:p>
        </w:tc>
        <w:tc>
          <w:tcPr>
            <w:tcW w:w="506" w:type="pct"/>
            <w:vAlign w:val="center"/>
          </w:tcPr>
          <w:p w14:paraId="09AFD847">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个</w:t>
            </w:r>
          </w:p>
        </w:tc>
        <w:tc>
          <w:tcPr>
            <w:tcW w:w="694" w:type="pct"/>
            <w:vAlign w:val="center"/>
          </w:tcPr>
          <w:p w14:paraId="1A0CCB29">
            <w:pPr>
              <w:jc w:val="center"/>
              <w:rPr>
                <w:color w:val="auto"/>
                <w:highlight w:val="none"/>
              </w:rPr>
            </w:pPr>
            <w:r>
              <w:rPr>
                <w:rFonts w:hint="eastAsia" w:ascii="仿宋" w:hAnsi="仿宋" w:eastAsia="仿宋" w:cs="宋体"/>
                <w:color w:val="auto"/>
                <w:kern w:val="0"/>
                <w:sz w:val="24"/>
                <w:highlight w:val="none"/>
                <w:lang w:bidi="ar"/>
              </w:rPr>
              <w:t>否</w:t>
            </w:r>
          </w:p>
        </w:tc>
      </w:tr>
      <w:tr w14:paraId="2D22F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67E3BAC0">
            <w:pPr>
              <w:spacing w:before="120"/>
              <w:contextualSpacing/>
              <w:jc w:val="center"/>
              <w:rPr>
                <w:rFonts w:ascii="仿宋" w:hAnsi="仿宋" w:eastAsia="仿宋"/>
                <w:color w:val="auto"/>
                <w:sz w:val="24"/>
                <w:highlight w:val="none"/>
              </w:rPr>
            </w:pPr>
          </w:p>
        </w:tc>
        <w:tc>
          <w:tcPr>
            <w:tcW w:w="722" w:type="pct"/>
            <w:vAlign w:val="center"/>
          </w:tcPr>
          <w:p w14:paraId="08EE5707">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2-12</w:t>
            </w:r>
          </w:p>
        </w:tc>
        <w:tc>
          <w:tcPr>
            <w:tcW w:w="1964" w:type="pct"/>
            <w:vAlign w:val="center"/>
          </w:tcPr>
          <w:p w14:paraId="5C8D1DD2">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治安岗亭</w:t>
            </w:r>
          </w:p>
        </w:tc>
        <w:tc>
          <w:tcPr>
            <w:tcW w:w="515" w:type="pct"/>
            <w:vAlign w:val="center"/>
          </w:tcPr>
          <w:p w14:paraId="6D271B86">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6</w:t>
            </w:r>
          </w:p>
        </w:tc>
        <w:tc>
          <w:tcPr>
            <w:tcW w:w="506" w:type="pct"/>
            <w:vAlign w:val="center"/>
          </w:tcPr>
          <w:p w14:paraId="37310047">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个</w:t>
            </w:r>
          </w:p>
        </w:tc>
        <w:tc>
          <w:tcPr>
            <w:tcW w:w="694" w:type="pct"/>
            <w:vAlign w:val="center"/>
          </w:tcPr>
          <w:p w14:paraId="731C0A35">
            <w:pPr>
              <w:jc w:val="center"/>
              <w:rPr>
                <w:color w:val="auto"/>
                <w:highlight w:val="none"/>
              </w:rPr>
            </w:pPr>
            <w:r>
              <w:rPr>
                <w:rFonts w:hint="eastAsia" w:ascii="仿宋" w:hAnsi="仿宋" w:eastAsia="仿宋" w:cs="宋体"/>
                <w:color w:val="auto"/>
                <w:kern w:val="0"/>
                <w:sz w:val="24"/>
                <w:highlight w:val="none"/>
                <w:lang w:bidi="ar"/>
              </w:rPr>
              <w:t>否</w:t>
            </w:r>
          </w:p>
        </w:tc>
      </w:tr>
      <w:tr w14:paraId="3989B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65CEBB5D">
            <w:pPr>
              <w:spacing w:before="120"/>
              <w:contextualSpacing/>
              <w:jc w:val="center"/>
              <w:rPr>
                <w:rFonts w:ascii="仿宋" w:hAnsi="仿宋" w:eastAsia="仿宋"/>
                <w:color w:val="auto"/>
                <w:sz w:val="24"/>
                <w:highlight w:val="none"/>
              </w:rPr>
            </w:pPr>
          </w:p>
        </w:tc>
        <w:tc>
          <w:tcPr>
            <w:tcW w:w="722" w:type="pct"/>
            <w:vAlign w:val="center"/>
          </w:tcPr>
          <w:p w14:paraId="101F8AC0">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2-13</w:t>
            </w:r>
          </w:p>
        </w:tc>
        <w:tc>
          <w:tcPr>
            <w:tcW w:w="1964" w:type="pct"/>
            <w:vAlign w:val="center"/>
          </w:tcPr>
          <w:p w14:paraId="6097FC57">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应急处置台</w:t>
            </w:r>
          </w:p>
        </w:tc>
        <w:tc>
          <w:tcPr>
            <w:tcW w:w="515" w:type="pct"/>
            <w:vAlign w:val="center"/>
          </w:tcPr>
          <w:p w14:paraId="7454DBB2">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1</w:t>
            </w:r>
          </w:p>
        </w:tc>
        <w:tc>
          <w:tcPr>
            <w:tcW w:w="506" w:type="pct"/>
            <w:vAlign w:val="center"/>
          </w:tcPr>
          <w:p w14:paraId="52352BE0">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张</w:t>
            </w:r>
          </w:p>
        </w:tc>
        <w:tc>
          <w:tcPr>
            <w:tcW w:w="694" w:type="pct"/>
            <w:vAlign w:val="center"/>
          </w:tcPr>
          <w:p w14:paraId="5BA923A2">
            <w:pPr>
              <w:jc w:val="center"/>
              <w:rPr>
                <w:color w:val="auto"/>
                <w:highlight w:val="none"/>
              </w:rPr>
            </w:pPr>
            <w:r>
              <w:rPr>
                <w:rFonts w:hint="eastAsia" w:ascii="仿宋" w:hAnsi="仿宋" w:eastAsia="仿宋" w:cs="宋体"/>
                <w:color w:val="auto"/>
                <w:kern w:val="0"/>
                <w:sz w:val="24"/>
                <w:highlight w:val="none"/>
                <w:lang w:bidi="ar"/>
              </w:rPr>
              <w:t>否</w:t>
            </w:r>
          </w:p>
        </w:tc>
      </w:tr>
      <w:tr w14:paraId="65404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11454126">
            <w:pPr>
              <w:spacing w:before="120"/>
              <w:contextualSpacing/>
              <w:jc w:val="center"/>
              <w:rPr>
                <w:rFonts w:ascii="仿宋" w:hAnsi="仿宋" w:eastAsia="仿宋"/>
                <w:color w:val="auto"/>
                <w:sz w:val="24"/>
                <w:highlight w:val="none"/>
              </w:rPr>
            </w:pPr>
          </w:p>
        </w:tc>
        <w:tc>
          <w:tcPr>
            <w:tcW w:w="722" w:type="pct"/>
            <w:vAlign w:val="center"/>
          </w:tcPr>
          <w:p w14:paraId="75CCF87B">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2-14</w:t>
            </w:r>
          </w:p>
        </w:tc>
        <w:tc>
          <w:tcPr>
            <w:tcW w:w="1964" w:type="pct"/>
            <w:vAlign w:val="center"/>
          </w:tcPr>
          <w:p w14:paraId="29DC827A">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防暴器材柜</w:t>
            </w:r>
          </w:p>
        </w:tc>
        <w:tc>
          <w:tcPr>
            <w:tcW w:w="515" w:type="pct"/>
            <w:vAlign w:val="center"/>
          </w:tcPr>
          <w:p w14:paraId="0702DF7C">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15</w:t>
            </w:r>
          </w:p>
        </w:tc>
        <w:tc>
          <w:tcPr>
            <w:tcW w:w="506" w:type="pct"/>
            <w:vAlign w:val="center"/>
          </w:tcPr>
          <w:p w14:paraId="153D1F2F">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694" w:type="pct"/>
            <w:vAlign w:val="center"/>
          </w:tcPr>
          <w:p w14:paraId="7D39E3F7">
            <w:pPr>
              <w:jc w:val="center"/>
              <w:rPr>
                <w:color w:val="auto"/>
                <w:highlight w:val="none"/>
              </w:rPr>
            </w:pPr>
            <w:r>
              <w:rPr>
                <w:rFonts w:hint="eastAsia" w:ascii="仿宋" w:hAnsi="仿宋" w:eastAsia="仿宋" w:cs="宋体"/>
                <w:color w:val="auto"/>
                <w:kern w:val="0"/>
                <w:sz w:val="24"/>
                <w:highlight w:val="none"/>
                <w:lang w:bidi="ar"/>
              </w:rPr>
              <w:t>否</w:t>
            </w:r>
          </w:p>
        </w:tc>
      </w:tr>
      <w:tr w14:paraId="75566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17185E27">
            <w:pPr>
              <w:spacing w:before="120"/>
              <w:contextualSpacing/>
              <w:jc w:val="center"/>
              <w:rPr>
                <w:rFonts w:ascii="仿宋" w:hAnsi="仿宋" w:eastAsia="仿宋"/>
                <w:color w:val="auto"/>
                <w:sz w:val="24"/>
                <w:highlight w:val="none"/>
              </w:rPr>
            </w:pPr>
          </w:p>
        </w:tc>
        <w:tc>
          <w:tcPr>
            <w:tcW w:w="722" w:type="pct"/>
            <w:vAlign w:val="center"/>
          </w:tcPr>
          <w:p w14:paraId="07A05C21">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2-15</w:t>
            </w:r>
          </w:p>
        </w:tc>
        <w:tc>
          <w:tcPr>
            <w:tcW w:w="1964" w:type="pct"/>
            <w:vAlign w:val="center"/>
          </w:tcPr>
          <w:p w14:paraId="47C48B7C">
            <w:pPr>
              <w:widowControl/>
              <w:jc w:val="center"/>
              <w:textAlignment w:val="center"/>
              <w:rPr>
                <w:rFonts w:ascii="仿宋" w:hAnsi="仿宋" w:eastAsia="仿宋" w:cs="宋体"/>
                <w:color w:val="auto"/>
                <w:kern w:val="0"/>
                <w:sz w:val="22"/>
                <w:szCs w:val="22"/>
                <w:highlight w:val="none"/>
                <w:lang w:bidi="ar"/>
              </w:rPr>
            </w:pPr>
            <w:r>
              <w:rPr>
                <w:rFonts w:hint="eastAsia" w:ascii="仿宋" w:hAnsi="仿宋" w:eastAsia="仿宋" w:cs="宋体"/>
                <w:color w:val="auto"/>
                <w:kern w:val="0"/>
                <w:sz w:val="24"/>
                <w:highlight w:val="none"/>
                <w:lang w:bidi="ar"/>
              </w:rPr>
              <w:t>防暴手电</w:t>
            </w:r>
          </w:p>
        </w:tc>
        <w:tc>
          <w:tcPr>
            <w:tcW w:w="515" w:type="pct"/>
            <w:vAlign w:val="center"/>
          </w:tcPr>
          <w:p w14:paraId="18984283">
            <w:pPr>
              <w:widowControl/>
              <w:jc w:val="center"/>
              <w:textAlignment w:val="center"/>
              <w:rPr>
                <w:rFonts w:ascii="仿宋" w:hAnsi="仿宋" w:eastAsia="仿宋" w:cs="宋体"/>
                <w:color w:val="auto"/>
                <w:kern w:val="0"/>
                <w:sz w:val="22"/>
                <w:szCs w:val="22"/>
                <w:highlight w:val="none"/>
                <w:lang w:bidi="ar"/>
              </w:rPr>
            </w:pPr>
            <w:r>
              <w:rPr>
                <w:rFonts w:hint="eastAsia" w:ascii="仿宋" w:hAnsi="仿宋" w:eastAsia="仿宋" w:cs="宋体"/>
                <w:color w:val="auto"/>
                <w:kern w:val="0"/>
                <w:sz w:val="24"/>
                <w:highlight w:val="none"/>
                <w:lang w:bidi="ar"/>
              </w:rPr>
              <w:t>26</w:t>
            </w:r>
          </w:p>
        </w:tc>
        <w:tc>
          <w:tcPr>
            <w:tcW w:w="506" w:type="pct"/>
            <w:vAlign w:val="center"/>
          </w:tcPr>
          <w:p w14:paraId="2103CC5C">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把</w:t>
            </w:r>
          </w:p>
        </w:tc>
        <w:tc>
          <w:tcPr>
            <w:tcW w:w="694" w:type="pct"/>
            <w:vAlign w:val="center"/>
          </w:tcPr>
          <w:p w14:paraId="6BDC3F91">
            <w:pPr>
              <w:jc w:val="center"/>
              <w:rPr>
                <w:color w:val="auto"/>
                <w:highlight w:val="none"/>
              </w:rPr>
            </w:pPr>
            <w:r>
              <w:rPr>
                <w:rFonts w:hint="eastAsia" w:ascii="仿宋" w:hAnsi="仿宋" w:eastAsia="仿宋" w:cs="宋体"/>
                <w:color w:val="auto"/>
                <w:kern w:val="0"/>
                <w:sz w:val="24"/>
                <w:highlight w:val="none"/>
                <w:lang w:bidi="ar"/>
              </w:rPr>
              <w:t>否</w:t>
            </w:r>
          </w:p>
        </w:tc>
      </w:tr>
      <w:tr w14:paraId="5890B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6AF51F65">
            <w:pPr>
              <w:spacing w:before="120"/>
              <w:contextualSpacing/>
              <w:jc w:val="center"/>
              <w:rPr>
                <w:rFonts w:ascii="仿宋" w:hAnsi="仿宋" w:eastAsia="仿宋"/>
                <w:color w:val="auto"/>
                <w:sz w:val="24"/>
                <w:highlight w:val="none"/>
              </w:rPr>
            </w:pPr>
          </w:p>
        </w:tc>
        <w:tc>
          <w:tcPr>
            <w:tcW w:w="722" w:type="pct"/>
            <w:vAlign w:val="center"/>
          </w:tcPr>
          <w:p w14:paraId="6D1A2057">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2-16</w:t>
            </w:r>
          </w:p>
        </w:tc>
        <w:tc>
          <w:tcPr>
            <w:tcW w:w="1964" w:type="pct"/>
            <w:vAlign w:val="center"/>
          </w:tcPr>
          <w:p w14:paraId="7C98B10B">
            <w:pPr>
              <w:widowControl/>
              <w:jc w:val="center"/>
              <w:textAlignment w:val="center"/>
              <w:rPr>
                <w:rFonts w:ascii="仿宋" w:hAnsi="仿宋" w:eastAsia="仿宋" w:cs="宋体"/>
                <w:color w:val="auto"/>
                <w:kern w:val="0"/>
                <w:sz w:val="22"/>
                <w:szCs w:val="22"/>
                <w:highlight w:val="none"/>
                <w:lang w:bidi="ar"/>
              </w:rPr>
            </w:pPr>
            <w:r>
              <w:rPr>
                <w:rFonts w:hint="eastAsia" w:ascii="仿宋" w:hAnsi="仿宋" w:eastAsia="仿宋" w:cs="宋体"/>
                <w:color w:val="auto"/>
                <w:kern w:val="0"/>
                <w:sz w:val="24"/>
                <w:highlight w:val="none"/>
                <w:lang w:bidi="ar"/>
              </w:rPr>
              <w:t>防暴头盔</w:t>
            </w:r>
          </w:p>
        </w:tc>
        <w:tc>
          <w:tcPr>
            <w:tcW w:w="515" w:type="pct"/>
            <w:vAlign w:val="center"/>
          </w:tcPr>
          <w:p w14:paraId="13E518D4">
            <w:pPr>
              <w:widowControl/>
              <w:jc w:val="center"/>
              <w:textAlignment w:val="center"/>
              <w:rPr>
                <w:rFonts w:ascii="仿宋" w:hAnsi="仿宋" w:eastAsia="仿宋" w:cs="宋体"/>
                <w:color w:val="auto"/>
                <w:kern w:val="0"/>
                <w:sz w:val="22"/>
                <w:szCs w:val="22"/>
                <w:highlight w:val="none"/>
                <w:lang w:bidi="ar"/>
              </w:rPr>
            </w:pPr>
            <w:r>
              <w:rPr>
                <w:rFonts w:hint="eastAsia" w:ascii="仿宋" w:hAnsi="仿宋" w:eastAsia="仿宋" w:cs="宋体"/>
                <w:color w:val="auto"/>
                <w:kern w:val="0"/>
                <w:sz w:val="24"/>
                <w:highlight w:val="none"/>
                <w:lang w:bidi="ar"/>
              </w:rPr>
              <w:t>26</w:t>
            </w:r>
          </w:p>
        </w:tc>
        <w:tc>
          <w:tcPr>
            <w:tcW w:w="506" w:type="pct"/>
            <w:vAlign w:val="center"/>
          </w:tcPr>
          <w:p w14:paraId="38B50B2D">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个</w:t>
            </w:r>
          </w:p>
        </w:tc>
        <w:tc>
          <w:tcPr>
            <w:tcW w:w="694" w:type="pct"/>
            <w:vAlign w:val="center"/>
          </w:tcPr>
          <w:p w14:paraId="5E81FF59">
            <w:pPr>
              <w:jc w:val="center"/>
              <w:rPr>
                <w:color w:val="auto"/>
                <w:highlight w:val="none"/>
              </w:rPr>
            </w:pPr>
            <w:r>
              <w:rPr>
                <w:rFonts w:hint="eastAsia" w:ascii="仿宋" w:hAnsi="仿宋" w:eastAsia="仿宋" w:cs="宋体"/>
                <w:color w:val="auto"/>
                <w:kern w:val="0"/>
                <w:sz w:val="24"/>
                <w:highlight w:val="none"/>
                <w:lang w:bidi="ar"/>
              </w:rPr>
              <w:t>否</w:t>
            </w:r>
          </w:p>
        </w:tc>
      </w:tr>
      <w:tr w14:paraId="137DF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0744974F">
            <w:pPr>
              <w:spacing w:before="120"/>
              <w:contextualSpacing/>
              <w:jc w:val="center"/>
              <w:rPr>
                <w:rFonts w:ascii="仿宋" w:hAnsi="仿宋" w:eastAsia="仿宋"/>
                <w:color w:val="auto"/>
                <w:sz w:val="24"/>
                <w:highlight w:val="none"/>
              </w:rPr>
            </w:pPr>
          </w:p>
        </w:tc>
        <w:tc>
          <w:tcPr>
            <w:tcW w:w="722" w:type="pct"/>
            <w:vAlign w:val="center"/>
          </w:tcPr>
          <w:p w14:paraId="387DC248">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2-17</w:t>
            </w:r>
          </w:p>
        </w:tc>
        <w:tc>
          <w:tcPr>
            <w:tcW w:w="1964" w:type="pct"/>
            <w:vAlign w:val="center"/>
          </w:tcPr>
          <w:p w14:paraId="3DC246A9">
            <w:pPr>
              <w:widowControl/>
              <w:jc w:val="center"/>
              <w:textAlignment w:val="center"/>
              <w:rPr>
                <w:rFonts w:ascii="仿宋" w:hAnsi="仿宋" w:eastAsia="仿宋" w:cs="宋体"/>
                <w:color w:val="auto"/>
                <w:kern w:val="0"/>
                <w:sz w:val="22"/>
                <w:szCs w:val="22"/>
                <w:highlight w:val="none"/>
                <w:lang w:bidi="ar"/>
              </w:rPr>
            </w:pPr>
            <w:r>
              <w:rPr>
                <w:rFonts w:hint="eastAsia" w:ascii="仿宋" w:hAnsi="仿宋" w:eastAsia="仿宋" w:cs="宋体"/>
                <w:color w:val="auto"/>
                <w:kern w:val="0"/>
                <w:sz w:val="24"/>
                <w:highlight w:val="none"/>
                <w:lang w:bidi="ar"/>
              </w:rPr>
              <w:t>防暴盾牌</w:t>
            </w:r>
          </w:p>
        </w:tc>
        <w:tc>
          <w:tcPr>
            <w:tcW w:w="515" w:type="pct"/>
            <w:vAlign w:val="center"/>
          </w:tcPr>
          <w:p w14:paraId="3B3E447F">
            <w:pPr>
              <w:widowControl/>
              <w:jc w:val="center"/>
              <w:textAlignment w:val="center"/>
              <w:rPr>
                <w:rFonts w:ascii="仿宋" w:hAnsi="仿宋" w:eastAsia="仿宋" w:cs="宋体"/>
                <w:color w:val="auto"/>
                <w:kern w:val="0"/>
                <w:sz w:val="22"/>
                <w:szCs w:val="22"/>
                <w:highlight w:val="none"/>
                <w:lang w:bidi="ar"/>
              </w:rPr>
            </w:pPr>
            <w:r>
              <w:rPr>
                <w:rFonts w:hint="eastAsia" w:ascii="仿宋" w:hAnsi="仿宋" w:eastAsia="仿宋" w:cs="宋体"/>
                <w:color w:val="auto"/>
                <w:kern w:val="0"/>
                <w:sz w:val="24"/>
                <w:highlight w:val="none"/>
                <w:lang w:bidi="ar"/>
              </w:rPr>
              <w:t>26</w:t>
            </w:r>
          </w:p>
        </w:tc>
        <w:tc>
          <w:tcPr>
            <w:tcW w:w="506" w:type="pct"/>
            <w:vAlign w:val="center"/>
          </w:tcPr>
          <w:p w14:paraId="270E3D0B">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面</w:t>
            </w:r>
          </w:p>
        </w:tc>
        <w:tc>
          <w:tcPr>
            <w:tcW w:w="694" w:type="pct"/>
            <w:vAlign w:val="center"/>
          </w:tcPr>
          <w:p w14:paraId="4FEA27D7">
            <w:pPr>
              <w:jc w:val="center"/>
              <w:rPr>
                <w:color w:val="auto"/>
                <w:highlight w:val="none"/>
              </w:rPr>
            </w:pPr>
            <w:r>
              <w:rPr>
                <w:rFonts w:hint="eastAsia" w:ascii="仿宋" w:hAnsi="仿宋" w:eastAsia="仿宋" w:cs="宋体"/>
                <w:color w:val="auto"/>
                <w:kern w:val="0"/>
                <w:sz w:val="24"/>
                <w:highlight w:val="none"/>
                <w:lang w:bidi="ar"/>
              </w:rPr>
              <w:t>否</w:t>
            </w:r>
          </w:p>
        </w:tc>
      </w:tr>
      <w:tr w14:paraId="1872D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2A4B9771">
            <w:pPr>
              <w:spacing w:before="120"/>
              <w:contextualSpacing/>
              <w:jc w:val="center"/>
              <w:rPr>
                <w:rFonts w:ascii="仿宋" w:hAnsi="仿宋" w:eastAsia="仿宋"/>
                <w:color w:val="auto"/>
                <w:sz w:val="24"/>
                <w:highlight w:val="none"/>
              </w:rPr>
            </w:pPr>
          </w:p>
        </w:tc>
        <w:tc>
          <w:tcPr>
            <w:tcW w:w="722" w:type="pct"/>
            <w:vAlign w:val="center"/>
          </w:tcPr>
          <w:p w14:paraId="0204F76B">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2-18</w:t>
            </w:r>
          </w:p>
        </w:tc>
        <w:tc>
          <w:tcPr>
            <w:tcW w:w="1964" w:type="pct"/>
            <w:vAlign w:val="center"/>
          </w:tcPr>
          <w:p w14:paraId="23446FA5">
            <w:pPr>
              <w:widowControl/>
              <w:jc w:val="center"/>
              <w:textAlignment w:val="center"/>
              <w:rPr>
                <w:rFonts w:ascii="仿宋" w:hAnsi="仿宋" w:eastAsia="仿宋" w:cs="宋体"/>
                <w:color w:val="auto"/>
                <w:kern w:val="0"/>
                <w:sz w:val="22"/>
                <w:szCs w:val="22"/>
                <w:highlight w:val="none"/>
                <w:lang w:bidi="ar"/>
              </w:rPr>
            </w:pPr>
            <w:r>
              <w:rPr>
                <w:rFonts w:hint="eastAsia" w:ascii="仿宋" w:hAnsi="仿宋" w:eastAsia="仿宋" w:cs="宋体"/>
                <w:color w:val="auto"/>
                <w:kern w:val="0"/>
                <w:sz w:val="24"/>
                <w:highlight w:val="none"/>
                <w:lang w:bidi="ar"/>
              </w:rPr>
              <w:t>防刺服</w:t>
            </w:r>
          </w:p>
        </w:tc>
        <w:tc>
          <w:tcPr>
            <w:tcW w:w="515" w:type="pct"/>
            <w:vAlign w:val="center"/>
          </w:tcPr>
          <w:p w14:paraId="031925F1">
            <w:pPr>
              <w:widowControl/>
              <w:jc w:val="center"/>
              <w:textAlignment w:val="center"/>
              <w:rPr>
                <w:rFonts w:ascii="仿宋" w:hAnsi="仿宋" w:eastAsia="仿宋" w:cs="宋体"/>
                <w:color w:val="auto"/>
                <w:kern w:val="0"/>
                <w:sz w:val="22"/>
                <w:szCs w:val="22"/>
                <w:highlight w:val="none"/>
                <w:lang w:bidi="ar"/>
              </w:rPr>
            </w:pPr>
            <w:r>
              <w:rPr>
                <w:rFonts w:hint="eastAsia" w:ascii="仿宋" w:hAnsi="仿宋" w:eastAsia="仿宋" w:cs="宋体"/>
                <w:color w:val="auto"/>
                <w:kern w:val="0"/>
                <w:sz w:val="24"/>
                <w:highlight w:val="none"/>
                <w:lang w:bidi="ar"/>
              </w:rPr>
              <w:t>26</w:t>
            </w:r>
          </w:p>
        </w:tc>
        <w:tc>
          <w:tcPr>
            <w:tcW w:w="506" w:type="pct"/>
            <w:vAlign w:val="center"/>
          </w:tcPr>
          <w:p w14:paraId="4602EB5B">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件</w:t>
            </w:r>
          </w:p>
        </w:tc>
        <w:tc>
          <w:tcPr>
            <w:tcW w:w="694" w:type="pct"/>
            <w:vAlign w:val="center"/>
          </w:tcPr>
          <w:p w14:paraId="131A55B7">
            <w:pPr>
              <w:jc w:val="center"/>
              <w:rPr>
                <w:color w:val="auto"/>
                <w:highlight w:val="none"/>
              </w:rPr>
            </w:pPr>
            <w:r>
              <w:rPr>
                <w:rFonts w:hint="eastAsia" w:ascii="仿宋" w:hAnsi="仿宋" w:eastAsia="仿宋" w:cs="宋体"/>
                <w:color w:val="auto"/>
                <w:kern w:val="0"/>
                <w:sz w:val="24"/>
                <w:highlight w:val="none"/>
                <w:lang w:bidi="ar"/>
              </w:rPr>
              <w:t>否</w:t>
            </w:r>
          </w:p>
        </w:tc>
      </w:tr>
      <w:tr w14:paraId="0FF7C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583E01CE">
            <w:pPr>
              <w:spacing w:before="120"/>
              <w:contextualSpacing/>
              <w:jc w:val="center"/>
              <w:rPr>
                <w:rFonts w:ascii="仿宋" w:hAnsi="仿宋" w:eastAsia="仿宋"/>
                <w:color w:val="auto"/>
                <w:sz w:val="24"/>
                <w:highlight w:val="none"/>
              </w:rPr>
            </w:pPr>
          </w:p>
        </w:tc>
        <w:tc>
          <w:tcPr>
            <w:tcW w:w="722" w:type="pct"/>
            <w:vAlign w:val="center"/>
          </w:tcPr>
          <w:p w14:paraId="40366821">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2-19</w:t>
            </w:r>
          </w:p>
        </w:tc>
        <w:tc>
          <w:tcPr>
            <w:tcW w:w="1964" w:type="pct"/>
            <w:vAlign w:val="center"/>
          </w:tcPr>
          <w:p w14:paraId="05226F8A">
            <w:pPr>
              <w:widowControl/>
              <w:jc w:val="center"/>
              <w:textAlignment w:val="center"/>
              <w:rPr>
                <w:rFonts w:ascii="仿宋" w:hAnsi="仿宋" w:eastAsia="仿宋" w:cs="宋体"/>
                <w:color w:val="auto"/>
                <w:kern w:val="0"/>
                <w:sz w:val="22"/>
                <w:szCs w:val="22"/>
                <w:highlight w:val="none"/>
                <w:lang w:bidi="ar"/>
              </w:rPr>
            </w:pPr>
            <w:r>
              <w:rPr>
                <w:rFonts w:hint="eastAsia" w:ascii="仿宋" w:hAnsi="仿宋" w:eastAsia="仿宋" w:cs="宋体"/>
                <w:color w:val="auto"/>
                <w:kern w:val="0"/>
                <w:sz w:val="24"/>
                <w:highlight w:val="none"/>
                <w:lang w:bidi="ar"/>
              </w:rPr>
              <w:t>防割手套</w:t>
            </w:r>
          </w:p>
        </w:tc>
        <w:tc>
          <w:tcPr>
            <w:tcW w:w="515" w:type="pct"/>
            <w:vAlign w:val="center"/>
          </w:tcPr>
          <w:p w14:paraId="1B7EB01B">
            <w:pPr>
              <w:widowControl/>
              <w:jc w:val="center"/>
              <w:textAlignment w:val="center"/>
              <w:rPr>
                <w:rFonts w:ascii="仿宋" w:hAnsi="仿宋" w:eastAsia="仿宋" w:cs="宋体"/>
                <w:color w:val="auto"/>
                <w:kern w:val="0"/>
                <w:sz w:val="22"/>
                <w:szCs w:val="22"/>
                <w:highlight w:val="none"/>
                <w:lang w:bidi="ar"/>
              </w:rPr>
            </w:pPr>
            <w:r>
              <w:rPr>
                <w:rFonts w:hint="eastAsia" w:ascii="仿宋" w:hAnsi="仿宋" w:eastAsia="仿宋" w:cs="宋体"/>
                <w:color w:val="auto"/>
                <w:kern w:val="0"/>
                <w:sz w:val="24"/>
                <w:highlight w:val="none"/>
                <w:lang w:bidi="ar"/>
              </w:rPr>
              <w:t>104</w:t>
            </w:r>
          </w:p>
        </w:tc>
        <w:tc>
          <w:tcPr>
            <w:tcW w:w="506" w:type="pct"/>
            <w:vAlign w:val="center"/>
          </w:tcPr>
          <w:p w14:paraId="29CA9978">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双</w:t>
            </w:r>
          </w:p>
        </w:tc>
        <w:tc>
          <w:tcPr>
            <w:tcW w:w="694" w:type="pct"/>
            <w:vAlign w:val="center"/>
          </w:tcPr>
          <w:p w14:paraId="4FEA1C8E">
            <w:pPr>
              <w:jc w:val="center"/>
              <w:rPr>
                <w:color w:val="auto"/>
                <w:highlight w:val="none"/>
              </w:rPr>
            </w:pPr>
            <w:r>
              <w:rPr>
                <w:rFonts w:hint="eastAsia" w:ascii="仿宋" w:hAnsi="仿宋" w:eastAsia="仿宋" w:cs="宋体"/>
                <w:color w:val="auto"/>
                <w:kern w:val="0"/>
                <w:sz w:val="24"/>
                <w:highlight w:val="none"/>
                <w:lang w:bidi="ar"/>
              </w:rPr>
              <w:t>否</w:t>
            </w:r>
          </w:p>
        </w:tc>
      </w:tr>
      <w:tr w14:paraId="36104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7BD5791B">
            <w:pPr>
              <w:spacing w:before="120"/>
              <w:contextualSpacing/>
              <w:jc w:val="center"/>
              <w:rPr>
                <w:rFonts w:ascii="仿宋" w:hAnsi="仿宋" w:eastAsia="仿宋"/>
                <w:color w:val="auto"/>
                <w:sz w:val="24"/>
                <w:highlight w:val="none"/>
              </w:rPr>
            </w:pPr>
          </w:p>
        </w:tc>
        <w:tc>
          <w:tcPr>
            <w:tcW w:w="722" w:type="pct"/>
            <w:vAlign w:val="center"/>
          </w:tcPr>
          <w:p w14:paraId="700BB9F4">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2-20</w:t>
            </w:r>
          </w:p>
        </w:tc>
        <w:tc>
          <w:tcPr>
            <w:tcW w:w="1964" w:type="pct"/>
            <w:vAlign w:val="center"/>
          </w:tcPr>
          <w:p w14:paraId="1C8547F9">
            <w:pPr>
              <w:widowControl/>
              <w:jc w:val="center"/>
              <w:textAlignment w:val="center"/>
              <w:rPr>
                <w:rFonts w:ascii="仿宋" w:hAnsi="仿宋" w:eastAsia="仿宋" w:cs="宋体"/>
                <w:color w:val="auto"/>
                <w:kern w:val="0"/>
                <w:sz w:val="22"/>
                <w:szCs w:val="22"/>
                <w:highlight w:val="none"/>
                <w:lang w:bidi="ar"/>
              </w:rPr>
            </w:pPr>
            <w:r>
              <w:rPr>
                <w:rFonts w:hint="eastAsia" w:ascii="仿宋" w:hAnsi="仿宋" w:eastAsia="仿宋" w:cs="宋体"/>
                <w:color w:val="auto"/>
                <w:kern w:val="0"/>
                <w:sz w:val="24"/>
                <w:highlight w:val="none"/>
                <w:lang w:bidi="ar"/>
              </w:rPr>
              <w:t>肩闪</w:t>
            </w:r>
          </w:p>
        </w:tc>
        <w:tc>
          <w:tcPr>
            <w:tcW w:w="515" w:type="pct"/>
            <w:vAlign w:val="center"/>
          </w:tcPr>
          <w:p w14:paraId="34F38A80">
            <w:pPr>
              <w:widowControl/>
              <w:jc w:val="center"/>
              <w:textAlignment w:val="center"/>
              <w:rPr>
                <w:rFonts w:ascii="仿宋" w:hAnsi="仿宋" w:eastAsia="仿宋" w:cs="宋体"/>
                <w:color w:val="auto"/>
                <w:kern w:val="0"/>
                <w:sz w:val="22"/>
                <w:szCs w:val="22"/>
                <w:highlight w:val="none"/>
                <w:lang w:bidi="ar"/>
              </w:rPr>
            </w:pPr>
            <w:r>
              <w:rPr>
                <w:rFonts w:hint="eastAsia" w:ascii="仿宋" w:hAnsi="仿宋" w:eastAsia="仿宋" w:cs="宋体"/>
                <w:color w:val="auto"/>
                <w:kern w:val="0"/>
                <w:sz w:val="24"/>
                <w:highlight w:val="none"/>
                <w:lang w:bidi="ar"/>
              </w:rPr>
              <w:t>26</w:t>
            </w:r>
          </w:p>
        </w:tc>
        <w:tc>
          <w:tcPr>
            <w:tcW w:w="506" w:type="pct"/>
            <w:vAlign w:val="center"/>
          </w:tcPr>
          <w:p w14:paraId="2A5945AE">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个</w:t>
            </w:r>
          </w:p>
        </w:tc>
        <w:tc>
          <w:tcPr>
            <w:tcW w:w="694" w:type="pct"/>
            <w:vAlign w:val="center"/>
          </w:tcPr>
          <w:p w14:paraId="2ABF6E23">
            <w:pPr>
              <w:jc w:val="center"/>
              <w:rPr>
                <w:color w:val="auto"/>
                <w:highlight w:val="none"/>
              </w:rPr>
            </w:pPr>
            <w:r>
              <w:rPr>
                <w:rFonts w:hint="eastAsia" w:ascii="仿宋" w:hAnsi="仿宋" w:eastAsia="仿宋" w:cs="宋体"/>
                <w:color w:val="auto"/>
                <w:kern w:val="0"/>
                <w:sz w:val="24"/>
                <w:highlight w:val="none"/>
                <w:lang w:bidi="ar"/>
              </w:rPr>
              <w:t>否</w:t>
            </w:r>
          </w:p>
        </w:tc>
      </w:tr>
      <w:tr w14:paraId="75301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39717A00">
            <w:pPr>
              <w:spacing w:before="120"/>
              <w:contextualSpacing/>
              <w:jc w:val="center"/>
              <w:rPr>
                <w:rFonts w:ascii="仿宋" w:hAnsi="仿宋" w:eastAsia="仿宋"/>
                <w:color w:val="auto"/>
                <w:sz w:val="24"/>
                <w:highlight w:val="none"/>
              </w:rPr>
            </w:pPr>
          </w:p>
        </w:tc>
        <w:tc>
          <w:tcPr>
            <w:tcW w:w="722" w:type="pct"/>
            <w:vAlign w:val="center"/>
          </w:tcPr>
          <w:p w14:paraId="7FC2B30B">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2-21</w:t>
            </w:r>
          </w:p>
        </w:tc>
        <w:tc>
          <w:tcPr>
            <w:tcW w:w="1964" w:type="pct"/>
            <w:vAlign w:val="center"/>
          </w:tcPr>
          <w:p w14:paraId="3CBF0547">
            <w:pPr>
              <w:widowControl/>
              <w:jc w:val="center"/>
              <w:textAlignment w:val="center"/>
              <w:rPr>
                <w:rFonts w:ascii="仿宋" w:hAnsi="仿宋" w:eastAsia="仿宋" w:cs="宋体"/>
                <w:color w:val="auto"/>
                <w:kern w:val="0"/>
                <w:sz w:val="22"/>
                <w:szCs w:val="22"/>
                <w:highlight w:val="none"/>
                <w:lang w:bidi="ar"/>
              </w:rPr>
            </w:pPr>
            <w:r>
              <w:rPr>
                <w:rFonts w:hint="eastAsia" w:ascii="仿宋" w:hAnsi="仿宋" w:eastAsia="仿宋" w:cs="宋体"/>
                <w:color w:val="auto"/>
                <w:kern w:val="0"/>
                <w:sz w:val="24"/>
                <w:highlight w:val="none"/>
                <w:lang w:bidi="ar"/>
              </w:rPr>
              <w:t>LED引导棒</w:t>
            </w:r>
          </w:p>
        </w:tc>
        <w:tc>
          <w:tcPr>
            <w:tcW w:w="515" w:type="pct"/>
            <w:vAlign w:val="center"/>
          </w:tcPr>
          <w:p w14:paraId="615FD578">
            <w:pPr>
              <w:widowControl/>
              <w:jc w:val="center"/>
              <w:textAlignment w:val="center"/>
              <w:rPr>
                <w:rFonts w:ascii="仿宋" w:hAnsi="仿宋" w:eastAsia="仿宋" w:cs="宋体"/>
                <w:color w:val="auto"/>
                <w:kern w:val="0"/>
                <w:sz w:val="22"/>
                <w:szCs w:val="22"/>
                <w:highlight w:val="none"/>
                <w:lang w:bidi="ar"/>
              </w:rPr>
            </w:pPr>
            <w:r>
              <w:rPr>
                <w:rFonts w:hint="eastAsia" w:ascii="仿宋" w:hAnsi="仿宋" w:eastAsia="仿宋" w:cs="宋体"/>
                <w:color w:val="auto"/>
                <w:kern w:val="0"/>
                <w:sz w:val="24"/>
                <w:highlight w:val="none"/>
                <w:lang w:bidi="ar"/>
              </w:rPr>
              <w:t>26</w:t>
            </w:r>
          </w:p>
        </w:tc>
        <w:tc>
          <w:tcPr>
            <w:tcW w:w="506" w:type="pct"/>
            <w:vAlign w:val="center"/>
          </w:tcPr>
          <w:p w14:paraId="725E93D0">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个</w:t>
            </w:r>
          </w:p>
        </w:tc>
        <w:tc>
          <w:tcPr>
            <w:tcW w:w="694" w:type="pct"/>
            <w:vAlign w:val="center"/>
          </w:tcPr>
          <w:p w14:paraId="20543C7B">
            <w:pPr>
              <w:jc w:val="center"/>
              <w:rPr>
                <w:color w:val="auto"/>
                <w:highlight w:val="none"/>
              </w:rPr>
            </w:pPr>
            <w:r>
              <w:rPr>
                <w:rFonts w:hint="eastAsia" w:ascii="仿宋" w:hAnsi="仿宋" w:eastAsia="仿宋" w:cs="宋体"/>
                <w:color w:val="auto"/>
                <w:kern w:val="0"/>
                <w:sz w:val="24"/>
                <w:highlight w:val="none"/>
                <w:lang w:bidi="ar"/>
              </w:rPr>
              <w:t>否</w:t>
            </w:r>
          </w:p>
        </w:tc>
      </w:tr>
      <w:tr w14:paraId="51C43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15498EEB">
            <w:pPr>
              <w:spacing w:before="120"/>
              <w:contextualSpacing/>
              <w:jc w:val="center"/>
              <w:rPr>
                <w:rFonts w:ascii="仿宋" w:hAnsi="仿宋" w:eastAsia="仿宋"/>
                <w:color w:val="auto"/>
                <w:sz w:val="24"/>
                <w:highlight w:val="none"/>
              </w:rPr>
            </w:pPr>
          </w:p>
        </w:tc>
        <w:tc>
          <w:tcPr>
            <w:tcW w:w="722" w:type="pct"/>
            <w:vAlign w:val="center"/>
          </w:tcPr>
          <w:p w14:paraId="3BE0A531">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2-22</w:t>
            </w:r>
          </w:p>
        </w:tc>
        <w:tc>
          <w:tcPr>
            <w:tcW w:w="1964" w:type="pct"/>
            <w:vAlign w:val="center"/>
          </w:tcPr>
          <w:p w14:paraId="58ED4BF6">
            <w:pPr>
              <w:widowControl/>
              <w:jc w:val="center"/>
              <w:textAlignment w:val="center"/>
              <w:rPr>
                <w:rFonts w:ascii="仿宋" w:hAnsi="仿宋" w:eastAsia="仿宋" w:cs="宋体"/>
                <w:color w:val="auto"/>
                <w:kern w:val="0"/>
                <w:sz w:val="22"/>
                <w:szCs w:val="22"/>
                <w:highlight w:val="none"/>
                <w:lang w:bidi="ar"/>
              </w:rPr>
            </w:pPr>
            <w:r>
              <w:rPr>
                <w:rFonts w:hint="eastAsia" w:ascii="仿宋" w:hAnsi="仿宋" w:eastAsia="仿宋" w:cs="宋体"/>
                <w:color w:val="auto"/>
                <w:kern w:val="0"/>
                <w:sz w:val="24"/>
                <w:highlight w:val="none"/>
                <w:lang w:bidi="ar"/>
              </w:rPr>
              <w:t>防暴钢叉</w:t>
            </w:r>
          </w:p>
        </w:tc>
        <w:tc>
          <w:tcPr>
            <w:tcW w:w="515" w:type="pct"/>
            <w:vAlign w:val="center"/>
          </w:tcPr>
          <w:p w14:paraId="3DF7FB80">
            <w:pPr>
              <w:widowControl/>
              <w:jc w:val="center"/>
              <w:textAlignment w:val="center"/>
              <w:rPr>
                <w:rFonts w:ascii="仿宋" w:hAnsi="仿宋" w:eastAsia="仿宋" w:cs="宋体"/>
                <w:color w:val="auto"/>
                <w:kern w:val="0"/>
                <w:sz w:val="22"/>
                <w:szCs w:val="22"/>
                <w:highlight w:val="none"/>
                <w:lang w:bidi="ar"/>
              </w:rPr>
            </w:pPr>
            <w:r>
              <w:rPr>
                <w:rFonts w:hint="eastAsia" w:ascii="仿宋" w:hAnsi="仿宋" w:eastAsia="仿宋" w:cs="宋体"/>
                <w:color w:val="auto"/>
                <w:kern w:val="0"/>
                <w:sz w:val="24"/>
                <w:highlight w:val="none"/>
                <w:lang w:bidi="ar"/>
              </w:rPr>
              <w:t>20</w:t>
            </w:r>
          </w:p>
        </w:tc>
        <w:tc>
          <w:tcPr>
            <w:tcW w:w="506" w:type="pct"/>
            <w:vAlign w:val="center"/>
          </w:tcPr>
          <w:p w14:paraId="39C41EB7">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个</w:t>
            </w:r>
          </w:p>
        </w:tc>
        <w:tc>
          <w:tcPr>
            <w:tcW w:w="694" w:type="pct"/>
            <w:vAlign w:val="center"/>
          </w:tcPr>
          <w:p w14:paraId="6B6C37F1">
            <w:pPr>
              <w:jc w:val="center"/>
              <w:rPr>
                <w:color w:val="auto"/>
                <w:highlight w:val="none"/>
              </w:rPr>
            </w:pPr>
            <w:r>
              <w:rPr>
                <w:rFonts w:hint="eastAsia" w:ascii="仿宋" w:hAnsi="仿宋" w:eastAsia="仿宋" w:cs="宋体"/>
                <w:color w:val="auto"/>
                <w:kern w:val="0"/>
                <w:sz w:val="24"/>
                <w:highlight w:val="none"/>
                <w:lang w:bidi="ar"/>
              </w:rPr>
              <w:t>否</w:t>
            </w:r>
          </w:p>
        </w:tc>
      </w:tr>
      <w:tr w14:paraId="39CBA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347BFBC9">
            <w:pPr>
              <w:spacing w:before="120"/>
              <w:contextualSpacing/>
              <w:jc w:val="center"/>
              <w:rPr>
                <w:rFonts w:ascii="仿宋" w:hAnsi="仿宋" w:eastAsia="仿宋"/>
                <w:color w:val="auto"/>
                <w:sz w:val="24"/>
                <w:highlight w:val="none"/>
              </w:rPr>
            </w:pPr>
          </w:p>
        </w:tc>
        <w:tc>
          <w:tcPr>
            <w:tcW w:w="722" w:type="pct"/>
            <w:vAlign w:val="center"/>
          </w:tcPr>
          <w:p w14:paraId="053D3010">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2-23</w:t>
            </w:r>
          </w:p>
        </w:tc>
        <w:tc>
          <w:tcPr>
            <w:tcW w:w="1964" w:type="pct"/>
            <w:vAlign w:val="center"/>
          </w:tcPr>
          <w:p w14:paraId="507A8362">
            <w:pPr>
              <w:widowControl/>
              <w:jc w:val="center"/>
              <w:textAlignment w:val="center"/>
              <w:rPr>
                <w:rFonts w:ascii="仿宋" w:hAnsi="仿宋" w:eastAsia="仿宋" w:cs="宋体"/>
                <w:color w:val="auto"/>
                <w:kern w:val="0"/>
                <w:sz w:val="22"/>
                <w:szCs w:val="22"/>
                <w:highlight w:val="none"/>
                <w:lang w:bidi="ar"/>
              </w:rPr>
            </w:pPr>
            <w:r>
              <w:rPr>
                <w:rFonts w:hint="eastAsia" w:ascii="仿宋" w:hAnsi="仿宋" w:eastAsia="仿宋" w:cs="宋体"/>
                <w:color w:val="auto"/>
                <w:kern w:val="0"/>
                <w:sz w:val="24"/>
                <w:highlight w:val="none"/>
                <w:lang w:bidi="ar"/>
              </w:rPr>
              <w:t>抓捕脚叉</w:t>
            </w:r>
          </w:p>
        </w:tc>
        <w:tc>
          <w:tcPr>
            <w:tcW w:w="515" w:type="pct"/>
            <w:vAlign w:val="center"/>
          </w:tcPr>
          <w:p w14:paraId="03B8DB80">
            <w:pPr>
              <w:widowControl/>
              <w:jc w:val="center"/>
              <w:textAlignment w:val="center"/>
              <w:rPr>
                <w:rFonts w:ascii="仿宋" w:hAnsi="仿宋" w:eastAsia="仿宋" w:cs="宋体"/>
                <w:color w:val="auto"/>
                <w:kern w:val="0"/>
                <w:sz w:val="22"/>
                <w:szCs w:val="22"/>
                <w:highlight w:val="none"/>
                <w:lang w:bidi="ar"/>
              </w:rPr>
            </w:pPr>
            <w:r>
              <w:rPr>
                <w:rFonts w:hint="eastAsia" w:ascii="仿宋" w:hAnsi="仿宋" w:eastAsia="仿宋" w:cs="宋体"/>
                <w:color w:val="auto"/>
                <w:kern w:val="0"/>
                <w:sz w:val="24"/>
                <w:highlight w:val="none"/>
                <w:lang w:bidi="ar"/>
              </w:rPr>
              <w:t>20</w:t>
            </w:r>
          </w:p>
        </w:tc>
        <w:tc>
          <w:tcPr>
            <w:tcW w:w="506" w:type="pct"/>
            <w:vAlign w:val="center"/>
          </w:tcPr>
          <w:p w14:paraId="110ECCD6">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个</w:t>
            </w:r>
          </w:p>
        </w:tc>
        <w:tc>
          <w:tcPr>
            <w:tcW w:w="694" w:type="pct"/>
            <w:vAlign w:val="center"/>
          </w:tcPr>
          <w:p w14:paraId="33811D44">
            <w:pPr>
              <w:jc w:val="center"/>
              <w:rPr>
                <w:color w:val="auto"/>
                <w:highlight w:val="none"/>
              </w:rPr>
            </w:pPr>
            <w:r>
              <w:rPr>
                <w:rFonts w:hint="eastAsia" w:ascii="仿宋" w:hAnsi="仿宋" w:eastAsia="仿宋" w:cs="宋体"/>
                <w:color w:val="auto"/>
                <w:kern w:val="0"/>
                <w:sz w:val="24"/>
                <w:highlight w:val="none"/>
                <w:lang w:bidi="ar"/>
              </w:rPr>
              <w:t>否</w:t>
            </w:r>
          </w:p>
        </w:tc>
      </w:tr>
      <w:tr w14:paraId="5B487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6B7CCC0C">
            <w:pPr>
              <w:spacing w:before="120"/>
              <w:contextualSpacing/>
              <w:jc w:val="center"/>
              <w:rPr>
                <w:rFonts w:ascii="仿宋" w:hAnsi="仿宋" w:eastAsia="仿宋"/>
                <w:color w:val="auto"/>
                <w:sz w:val="24"/>
                <w:highlight w:val="none"/>
              </w:rPr>
            </w:pPr>
          </w:p>
        </w:tc>
        <w:tc>
          <w:tcPr>
            <w:tcW w:w="722" w:type="pct"/>
            <w:vAlign w:val="center"/>
          </w:tcPr>
          <w:p w14:paraId="030696DA">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2-24</w:t>
            </w:r>
          </w:p>
        </w:tc>
        <w:tc>
          <w:tcPr>
            <w:tcW w:w="1964" w:type="pct"/>
            <w:vAlign w:val="center"/>
          </w:tcPr>
          <w:p w14:paraId="1062272C">
            <w:pPr>
              <w:widowControl/>
              <w:jc w:val="center"/>
              <w:textAlignment w:val="center"/>
              <w:rPr>
                <w:rFonts w:ascii="仿宋" w:hAnsi="仿宋" w:eastAsia="仿宋" w:cs="宋体"/>
                <w:color w:val="auto"/>
                <w:kern w:val="0"/>
                <w:sz w:val="22"/>
                <w:szCs w:val="22"/>
                <w:highlight w:val="none"/>
                <w:lang w:bidi="ar"/>
              </w:rPr>
            </w:pPr>
            <w:r>
              <w:rPr>
                <w:rFonts w:hint="eastAsia" w:ascii="仿宋" w:hAnsi="仿宋" w:eastAsia="仿宋" w:cs="宋体"/>
                <w:color w:val="auto"/>
                <w:kern w:val="0"/>
                <w:sz w:val="24"/>
                <w:highlight w:val="none"/>
                <w:lang w:bidi="ar"/>
              </w:rPr>
              <w:t>短警棍</w:t>
            </w:r>
          </w:p>
        </w:tc>
        <w:tc>
          <w:tcPr>
            <w:tcW w:w="515" w:type="pct"/>
            <w:vAlign w:val="center"/>
          </w:tcPr>
          <w:p w14:paraId="1A6D9A58">
            <w:pPr>
              <w:widowControl/>
              <w:jc w:val="center"/>
              <w:textAlignment w:val="center"/>
              <w:rPr>
                <w:rFonts w:ascii="仿宋" w:hAnsi="仿宋" w:eastAsia="仿宋" w:cs="宋体"/>
                <w:color w:val="auto"/>
                <w:kern w:val="0"/>
                <w:sz w:val="22"/>
                <w:szCs w:val="22"/>
                <w:highlight w:val="none"/>
                <w:lang w:bidi="ar"/>
              </w:rPr>
            </w:pPr>
            <w:r>
              <w:rPr>
                <w:rFonts w:hint="eastAsia" w:ascii="仿宋" w:hAnsi="仿宋" w:eastAsia="仿宋" w:cs="宋体"/>
                <w:color w:val="auto"/>
                <w:kern w:val="0"/>
                <w:sz w:val="24"/>
                <w:highlight w:val="none"/>
                <w:lang w:bidi="ar"/>
              </w:rPr>
              <w:t>80</w:t>
            </w:r>
          </w:p>
        </w:tc>
        <w:tc>
          <w:tcPr>
            <w:tcW w:w="506" w:type="pct"/>
            <w:vAlign w:val="center"/>
          </w:tcPr>
          <w:p w14:paraId="451A61B3">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根</w:t>
            </w:r>
          </w:p>
        </w:tc>
        <w:tc>
          <w:tcPr>
            <w:tcW w:w="694" w:type="pct"/>
            <w:vAlign w:val="center"/>
          </w:tcPr>
          <w:p w14:paraId="7A0C1808">
            <w:pPr>
              <w:jc w:val="center"/>
              <w:rPr>
                <w:color w:val="auto"/>
                <w:highlight w:val="none"/>
              </w:rPr>
            </w:pPr>
            <w:r>
              <w:rPr>
                <w:rFonts w:hint="eastAsia" w:ascii="仿宋" w:hAnsi="仿宋" w:eastAsia="仿宋" w:cs="宋体"/>
                <w:color w:val="auto"/>
                <w:kern w:val="0"/>
                <w:sz w:val="24"/>
                <w:highlight w:val="none"/>
                <w:lang w:bidi="ar"/>
              </w:rPr>
              <w:t>否</w:t>
            </w:r>
          </w:p>
        </w:tc>
      </w:tr>
      <w:tr w14:paraId="65672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2176F4CE">
            <w:pPr>
              <w:spacing w:before="120"/>
              <w:contextualSpacing/>
              <w:jc w:val="center"/>
              <w:rPr>
                <w:rFonts w:ascii="仿宋" w:hAnsi="仿宋" w:eastAsia="仿宋"/>
                <w:color w:val="auto"/>
                <w:sz w:val="24"/>
                <w:highlight w:val="none"/>
              </w:rPr>
            </w:pPr>
          </w:p>
        </w:tc>
        <w:tc>
          <w:tcPr>
            <w:tcW w:w="722" w:type="pct"/>
            <w:vAlign w:val="center"/>
          </w:tcPr>
          <w:p w14:paraId="342A03B4">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2-25</w:t>
            </w:r>
          </w:p>
        </w:tc>
        <w:tc>
          <w:tcPr>
            <w:tcW w:w="1964" w:type="pct"/>
            <w:vAlign w:val="center"/>
          </w:tcPr>
          <w:p w14:paraId="3F5A5452">
            <w:pPr>
              <w:widowControl/>
              <w:jc w:val="center"/>
              <w:textAlignment w:val="center"/>
              <w:rPr>
                <w:rFonts w:ascii="仿宋" w:hAnsi="仿宋" w:eastAsia="仿宋" w:cs="宋体"/>
                <w:color w:val="auto"/>
                <w:kern w:val="0"/>
                <w:sz w:val="22"/>
                <w:szCs w:val="22"/>
                <w:highlight w:val="none"/>
                <w:lang w:bidi="ar"/>
              </w:rPr>
            </w:pPr>
            <w:r>
              <w:rPr>
                <w:rFonts w:hint="eastAsia" w:ascii="仿宋" w:hAnsi="仿宋" w:eastAsia="仿宋" w:cs="宋体"/>
                <w:color w:val="auto"/>
                <w:kern w:val="0"/>
                <w:sz w:val="24"/>
                <w:highlight w:val="none"/>
                <w:lang w:bidi="ar"/>
              </w:rPr>
              <w:t>警用喊话器</w:t>
            </w:r>
          </w:p>
        </w:tc>
        <w:tc>
          <w:tcPr>
            <w:tcW w:w="515" w:type="pct"/>
            <w:vAlign w:val="center"/>
          </w:tcPr>
          <w:p w14:paraId="40EB4822">
            <w:pPr>
              <w:widowControl/>
              <w:jc w:val="center"/>
              <w:textAlignment w:val="center"/>
              <w:rPr>
                <w:rFonts w:ascii="仿宋" w:hAnsi="仿宋" w:eastAsia="仿宋" w:cs="宋体"/>
                <w:color w:val="auto"/>
                <w:kern w:val="0"/>
                <w:sz w:val="22"/>
                <w:szCs w:val="22"/>
                <w:highlight w:val="none"/>
                <w:lang w:bidi="ar"/>
              </w:rPr>
            </w:pPr>
            <w:r>
              <w:rPr>
                <w:rFonts w:hint="eastAsia" w:ascii="仿宋" w:hAnsi="仿宋" w:eastAsia="仿宋" w:cs="宋体"/>
                <w:color w:val="auto"/>
                <w:kern w:val="0"/>
                <w:sz w:val="24"/>
                <w:highlight w:val="none"/>
                <w:lang w:bidi="ar"/>
              </w:rPr>
              <w:t>15</w:t>
            </w:r>
          </w:p>
        </w:tc>
        <w:tc>
          <w:tcPr>
            <w:tcW w:w="506" w:type="pct"/>
            <w:vAlign w:val="center"/>
          </w:tcPr>
          <w:p w14:paraId="6CC79D19">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个</w:t>
            </w:r>
          </w:p>
        </w:tc>
        <w:tc>
          <w:tcPr>
            <w:tcW w:w="694" w:type="pct"/>
            <w:vAlign w:val="center"/>
          </w:tcPr>
          <w:p w14:paraId="3DD061B5">
            <w:pPr>
              <w:jc w:val="center"/>
              <w:rPr>
                <w:color w:val="auto"/>
                <w:highlight w:val="none"/>
              </w:rPr>
            </w:pPr>
            <w:r>
              <w:rPr>
                <w:rFonts w:hint="eastAsia" w:ascii="仿宋" w:hAnsi="仿宋" w:eastAsia="仿宋" w:cs="宋体"/>
                <w:color w:val="auto"/>
                <w:kern w:val="0"/>
                <w:sz w:val="24"/>
                <w:highlight w:val="none"/>
                <w:lang w:bidi="ar"/>
              </w:rPr>
              <w:t>否</w:t>
            </w:r>
          </w:p>
        </w:tc>
      </w:tr>
      <w:tr w14:paraId="29A38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75320ABE">
            <w:pPr>
              <w:spacing w:before="120"/>
              <w:contextualSpacing/>
              <w:jc w:val="center"/>
              <w:rPr>
                <w:rFonts w:ascii="仿宋" w:hAnsi="仿宋" w:eastAsia="仿宋"/>
                <w:color w:val="auto"/>
                <w:sz w:val="24"/>
                <w:highlight w:val="none"/>
              </w:rPr>
            </w:pPr>
          </w:p>
        </w:tc>
        <w:tc>
          <w:tcPr>
            <w:tcW w:w="722" w:type="pct"/>
            <w:vAlign w:val="center"/>
          </w:tcPr>
          <w:p w14:paraId="13BD2F4E">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2-26</w:t>
            </w:r>
          </w:p>
        </w:tc>
        <w:tc>
          <w:tcPr>
            <w:tcW w:w="1964" w:type="pct"/>
            <w:vAlign w:val="center"/>
          </w:tcPr>
          <w:p w14:paraId="46C62DF8">
            <w:pPr>
              <w:widowControl/>
              <w:jc w:val="center"/>
              <w:textAlignment w:val="center"/>
              <w:rPr>
                <w:rFonts w:ascii="仿宋" w:hAnsi="仿宋" w:eastAsia="仿宋" w:cs="宋体"/>
                <w:color w:val="auto"/>
                <w:kern w:val="0"/>
                <w:sz w:val="22"/>
                <w:szCs w:val="22"/>
                <w:highlight w:val="none"/>
                <w:lang w:bidi="ar"/>
              </w:rPr>
            </w:pPr>
            <w:r>
              <w:rPr>
                <w:rFonts w:hint="eastAsia" w:ascii="仿宋" w:hAnsi="仿宋" w:eastAsia="仿宋" w:cs="宋体"/>
                <w:color w:val="auto"/>
                <w:kern w:val="0"/>
                <w:sz w:val="24"/>
                <w:highlight w:val="none"/>
                <w:lang w:bidi="ar"/>
              </w:rPr>
              <w:t>警戒带</w:t>
            </w:r>
          </w:p>
        </w:tc>
        <w:tc>
          <w:tcPr>
            <w:tcW w:w="515" w:type="pct"/>
            <w:vAlign w:val="center"/>
          </w:tcPr>
          <w:p w14:paraId="6A802260">
            <w:pPr>
              <w:widowControl/>
              <w:jc w:val="center"/>
              <w:textAlignment w:val="center"/>
              <w:rPr>
                <w:rFonts w:ascii="仿宋" w:hAnsi="仿宋" w:eastAsia="仿宋" w:cs="宋体"/>
                <w:color w:val="auto"/>
                <w:kern w:val="0"/>
                <w:sz w:val="22"/>
                <w:szCs w:val="22"/>
                <w:highlight w:val="none"/>
                <w:lang w:bidi="ar"/>
              </w:rPr>
            </w:pPr>
            <w:r>
              <w:rPr>
                <w:rFonts w:hint="eastAsia" w:ascii="仿宋" w:hAnsi="仿宋" w:eastAsia="仿宋" w:cs="宋体"/>
                <w:color w:val="auto"/>
                <w:kern w:val="0"/>
                <w:sz w:val="24"/>
                <w:highlight w:val="none"/>
                <w:lang w:bidi="ar"/>
              </w:rPr>
              <w:t>80</w:t>
            </w:r>
          </w:p>
        </w:tc>
        <w:tc>
          <w:tcPr>
            <w:tcW w:w="506" w:type="pct"/>
            <w:vAlign w:val="center"/>
          </w:tcPr>
          <w:p w14:paraId="6B3CE7A0">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盘</w:t>
            </w:r>
          </w:p>
        </w:tc>
        <w:tc>
          <w:tcPr>
            <w:tcW w:w="694" w:type="pct"/>
            <w:vAlign w:val="center"/>
          </w:tcPr>
          <w:p w14:paraId="33F99C38">
            <w:pPr>
              <w:jc w:val="center"/>
              <w:rPr>
                <w:color w:val="auto"/>
                <w:highlight w:val="none"/>
              </w:rPr>
            </w:pPr>
            <w:r>
              <w:rPr>
                <w:rFonts w:hint="eastAsia" w:ascii="仿宋" w:hAnsi="仿宋" w:eastAsia="仿宋" w:cs="宋体"/>
                <w:color w:val="auto"/>
                <w:kern w:val="0"/>
                <w:sz w:val="24"/>
                <w:highlight w:val="none"/>
                <w:lang w:bidi="ar"/>
              </w:rPr>
              <w:t>否</w:t>
            </w:r>
          </w:p>
        </w:tc>
      </w:tr>
      <w:tr w14:paraId="599E0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3D3CFC1A">
            <w:pPr>
              <w:spacing w:before="120"/>
              <w:contextualSpacing/>
              <w:jc w:val="center"/>
              <w:rPr>
                <w:rFonts w:ascii="仿宋" w:hAnsi="仿宋" w:eastAsia="仿宋"/>
                <w:color w:val="auto"/>
                <w:sz w:val="24"/>
                <w:highlight w:val="none"/>
              </w:rPr>
            </w:pPr>
          </w:p>
        </w:tc>
        <w:tc>
          <w:tcPr>
            <w:tcW w:w="722" w:type="pct"/>
            <w:vAlign w:val="center"/>
          </w:tcPr>
          <w:p w14:paraId="6B3A427C">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2-27</w:t>
            </w:r>
          </w:p>
        </w:tc>
        <w:tc>
          <w:tcPr>
            <w:tcW w:w="1964" w:type="pct"/>
            <w:vAlign w:val="center"/>
          </w:tcPr>
          <w:p w14:paraId="3F3B83B5">
            <w:pPr>
              <w:widowControl/>
              <w:jc w:val="center"/>
              <w:textAlignment w:val="center"/>
              <w:rPr>
                <w:rFonts w:ascii="仿宋" w:hAnsi="仿宋" w:eastAsia="仿宋" w:cs="宋体"/>
                <w:color w:val="auto"/>
                <w:kern w:val="0"/>
                <w:sz w:val="22"/>
                <w:szCs w:val="22"/>
                <w:highlight w:val="none"/>
                <w:lang w:bidi="ar"/>
              </w:rPr>
            </w:pPr>
            <w:r>
              <w:rPr>
                <w:rFonts w:hint="eastAsia" w:ascii="仿宋" w:hAnsi="仿宋" w:eastAsia="仿宋" w:cs="宋体"/>
                <w:color w:val="auto"/>
                <w:kern w:val="0"/>
                <w:sz w:val="24"/>
                <w:highlight w:val="none"/>
                <w:lang w:bidi="ar"/>
              </w:rPr>
              <w:t>长警棍</w:t>
            </w:r>
          </w:p>
        </w:tc>
        <w:tc>
          <w:tcPr>
            <w:tcW w:w="515" w:type="pct"/>
            <w:vAlign w:val="center"/>
          </w:tcPr>
          <w:p w14:paraId="38885BFE">
            <w:pPr>
              <w:widowControl/>
              <w:jc w:val="center"/>
              <w:textAlignment w:val="center"/>
              <w:rPr>
                <w:rFonts w:ascii="仿宋" w:hAnsi="仿宋" w:eastAsia="仿宋" w:cs="宋体"/>
                <w:color w:val="auto"/>
                <w:kern w:val="0"/>
                <w:sz w:val="22"/>
                <w:szCs w:val="22"/>
                <w:highlight w:val="none"/>
                <w:lang w:bidi="ar"/>
              </w:rPr>
            </w:pPr>
            <w:r>
              <w:rPr>
                <w:rFonts w:hint="eastAsia" w:ascii="仿宋" w:hAnsi="仿宋" w:eastAsia="仿宋" w:cs="宋体"/>
                <w:color w:val="auto"/>
                <w:kern w:val="0"/>
                <w:sz w:val="24"/>
                <w:highlight w:val="none"/>
                <w:lang w:bidi="ar"/>
              </w:rPr>
              <w:t>30</w:t>
            </w:r>
          </w:p>
        </w:tc>
        <w:tc>
          <w:tcPr>
            <w:tcW w:w="506" w:type="pct"/>
            <w:vAlign w:val="center"/>
          </w:tcPr>
          <w:p w14:paraId="16CD21D7">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根</w:t>
            </w:r>
          </w:p>
        </w:tc>
        <w:tc>
          <w:tcPr>
            <w:tcW w:w="694" w:type="pct"/>
            <w:vAlign w:val="center"/>
          </w:tcPr>
          <w:p w14:paraId="3B3B34CA">
            <w:pPr>
              <w:jc w:val="center"/>
              <w:rPr>
                <w:color w:val="auto"/>
                <w:highlight w:val="none"/>
              </w:rPr>
            </w:pPr>
            <w:r>
              <w:rPr>
                <w:rFonts w:hint="eastAsia" w:ascii="仿宋" w:hAnsi="仿宋" w:eastAsia="仿宋" w:cs="宋体"/>
                <w:color w:val="auto"/>
                <w:kern w:val="0"/>
                <w:sz w:val="24"/>
                <w:highlight w:val="none"/>
                <w:lang w:bidi="ar"/>
              </w:rPr>
              <w:t>否</w:t>
            </w:r>
          </w:p>
        </w:tc>
      </w:tr>
    </w:tbl>
    <w:p w14:paraId="50D4C673">
      <w:pPr>
        <w:pStyle w:val="2"/>
        <w:rPr>
          <w:color w:val="auto"/>
          <w:highlight w:val="none"/>
        </w:rPr>
      </w:pPr>
    </w:p>
    <w:p w14:paraId="4BCA295A">
      <w:pPr>
        <w:tabs>
          <w:tab w:val="left" w:pos="4600"/>
        </w:tabs>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（二）项目背景/项目概述（如有）</w:t>
      </w:r>
    </w:p>
    <w:p w14:paraId="028EB1D3">
      <w:pPr>
        <w:spacing w:line="360" w:lineRule="auto"/>
        <w:ind w:firstLine="480" w:firstLineChars="200"/>
        <w:rPr>
          <w:rFonts w:ascii="仿宋" w:hAnsi="仿宋" w:eastAsia="仿宋"/>
          <w:color w:val="auto"/>
          <w:sz w:val="24"/>
          <w:highlight w:val="none"/>
        </w:rPr>
      </w:pPr>
      <w:r>
        <w:rPr>
          <w:rFonts w:hint="eastAsia" w:ascii="仿宋" w:hAnsi="仿宋" w:eastAsia="仿宋"/>
          <w:color w:val="auto"/>
          <w:sz w:val="24"/>
          <w:highlight w:val="none"/>
        </w:rPr>
        <w:t>首都医科大学附属首都儿童医学中心通州院区作为区域性重点儿童诊疗机构，人流量大、人员结构复杂，就医群众集中，院区公共区域开放范围广，安全维稳、秩序管控及应急处置工作压力较大。为严格落实《平安医院建设标准》《医疗机构治安保卫管理办法》相关要求，全面筑牢院区安全防线，防范化解暴力冲突、突发险情等各类安全风险，保障就诊患儿、家属及医护人员人身财产安全，维护医院正常诊疗秩序，现实施本次防暴警用器材及防护设施采购项目。</w:t>
      </w:r>
    </w:p>
    <w:p w14:paraId="160744F0">
      <w:pPr>
        <w:spacing w:line="360" w:lineRule="auto"/>
        <w:ind w:firstLine="480" w:firstLineChars="200"/>
        <w:rPr>
          <w:rFonts w:ascii="仿宋" w:hAnsi="仿宋" w:eastAsia="仿宋"/>
          <w:color w:val="auto"/>
          <w:sz w:val="24"/>
          <w:highlight w:val="none"/>
        </w:rPr>
      </w:pPr>
      <w:r>
        <w:rPr>
          <w:rFonts w:hint="eastAsia" w:ascii="仿宋" w:hAnsi="仿宋" w:eastAsia="仿宋"/>
          <w:color w:val="auto"/>
          <w:sz w:val="24"/>
          <w:highlight w:val="none"/>
        </w:rPr>
        <w:t>本项目的实施，将进一步健全通州院区立体化治安防控体系，确保安保力量在面临突发事件时能够“快速响应、规范处置、有效防护”，为医院的高质量发展提供坚实的安全保障。</w:t>
      </w:r>
    </w:p>
    <w:p w14:paraId="20B51302">
      <w:pPr>
        <w:pStyle w:val="2"/>
        <w:rPr>
          <w:color w:val="auto"/>
          <w:highlight w:val="none"/>
        </w:rPr>
      </w:pPr>
    </w:p>
    <w:p w14:paraId="210C9FBC">
      <w:pPr>
        <w:tabs>
          <w:tab w:val="left" w:pos="5456"/>
        </w:tabs>
        <w:snapToGrid w:val="0"/>
        <w:spacing w:line="360" w:lineRule="auto"/>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rPr>
        <w:t>二、商务要求</w:t>
      </w:r>
      <w:r>
        <w:rPr>
          <w:rFonts w:ascii="仿宋" w:hAnsi="仿宋" w:eastAsia="仿宋" w:cs="仿宋"/>
          <w:b/>
          <w:bCs/>
          <w:color w:val="auto"/>
          <w:sz w:val="24"/>
          <w:highlight w:val="none"/>
        </w:rPr>
        <w:tab/>
      </w:r>
    </w:p>
    <w:p w14:paraId="2DFF6C77">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（一）交付（实施）的时间（期限）和地点（范围）</w:t>
      </w:r>
    </w:p>
    <w:p w14:paraId="7C1D4B81">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1、交付时间：</w:t>
      </w:r>
    </w:p>
    <w:p w14:paraId="784E3453">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第2包：自合同签订生效之日起60个日历日内完成供货安装调试经采购人验收合格为交付完成。</w:t>
      </w:r>
    </w:p>
    <w:p w14:paraId="7FD809EB">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2、交付地点：首都医科大学附属首都儿童医学中心新址，采购人指定地点。</w:t>
      </w:r>
    </w:p>
    <w:p w14:paraId="7CF28357">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（二）付款条件（进度和方式）</w:t>
      </w:r>
    </w:p>
    <w:p w14:paraId="6C9ED7D2">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详见第六章拟签订的合同文本。</w:t>
      </w:r>
    </w:p>
    <w:p w14:paraId="3FC13E61">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（三）包装和运输</w:t>
      </w:r>
    </w:p>
    <w:p w14:paraId="4B29E140">
      <w:pPr>
        <w:snapToGrid w:val="0"/>
        <w:spacing w:line="360" w:lineRule="auto"/>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rPr>
        <w:t>如适用，须满足《关于印发〈商品包装政府采购需求标准（试行）〉、〈快递包装政府采购需求标准（试行）〉的通知》（财办库﹝2020﹞123号）。</w:t>
      </w:r>
    </w:p>
    <w:p w14:paraId="2883A94E">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投标人负责包装和运输。投标人交付的产品应符合相关包装储运的国家标准，能承受水平受力、垂直受力、适合长途运输，防潮、防湿、防震、防锈、耐粗暴搬运。由于采用不充分或不妥善的防护措施而造成的任何锈损，投标人应负担由此而产生的一切费用和/或损失。投标人应在每件包装上，用不褪色油墨清楚地标刷件号、目的地、尺码、毛重、净重、“此端向上”，“小心轻放”，“切勿受潮”等字样。</w:t>
      </w:r>
    </w:p>
    <w:p w14:paraId="730CFE38">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（四）售后服务（质保期）</w:t>
      </w:r>
    </w:p>
    <w:p w14:paraId="2703C78A">
      <w:pPr>
        <w:pStyle w:val="2"/>
        <w:spacing w:line="360" w:lineRule="auto"/>
        <w:contextualSpacing/>
        <w:rPr>
          <w:rFonts w:ascii="仿宋" w:hAnsi="仿宋" w:eastAsia="仿宋" w:cs="仿宋"/>
          <w:b/>
          <w:bCs/>
          <w:color w:val="auto"/>
          <w:highlight w:val="none"/>
        </w:rPr>
      </w:pPr>
      <w:r>
        <w:rPr>
          <w:rFonts w:hint="eastAsia" w:ascii="仿宋" w:hAnsi="仿宋" w:eastAsia="仿宋" w:cs="仿宋"/>
          <w:b/>
          <w:bCs/>
          <w:color w:val="auto"/>
          <w:highlight w:val="none"/>
        </w:rPr>
        <w:t>第2包</w:t>
      </w:r>
    </w:p>
    <w:p w14:paraId="04AF9A66">
      <w:pPr>
        <w:pStyle w:val="2"/>
        <w:numPr>
          <w:ilvl w:val="255"/>
          <w:numId w:val="0"/>
        </w:numPr>
        <w:spacing w:line="360" w:lineRule="auto"/>
        <w:ind w:firstLine="480" w:firstLineChars="200"/>
        <w:contextualSpacing/>
        <w:rPr>
          <w:rFonts w:ascii="仿宋" w:hAnsi="仿宋" w:eastAsia="仿宋" w:cs="仿宋"/>
          <w:bCs/>
          <w:color w:val="auto"/>
          <w:highlight w:val="none"/>
        </w:rPr>
      </w:pPr>
      <w:r>
        <w:rPr>
          <w:rFonts w:hint="eastAsia" w:ascii="仿宋" w:hAnsi="仿宋" w:eastAsia="仿宋" w:cs="仿宋"/>
          <w:bCs/>
          <w:color w:val="auto"/>
          <w:highlight w:val="none"/>
        </w:rPr>
        <w:t>1、所有投标设备须提供不少于2年（含）的免费质保期（自最终验收合格之日起计算）。</w:t>
      </w:r>
    </w:p>
    <w:p w14:paraId="56863E34">
      <w:pPr>
        <w:pStyle w:val="2"/>
        <w:numPr>
          <w:ilvl w:val="255"/>
          <w:numId w:val="0"/>
        </w:numPr>
        <w:spacing w:line="360" w:lineRule="auto"/>
        <w:ind w:firstLine="480" w:firstLineChars="200"/>
        <w:contextualSpacing/>
        <w:rPr>
          <w:rFonts w:ascii="仿宋" w:hAnsi="仿宋" w:eastAsia="仿宋" w:cs="仿宋"/>
          <w:bCs/>
          <w:color w:val="auto"/>
          <w:highlight w:val="none"/>
        </w:rPr>
      </w:pPr>
      <w:r>
        <w:rPr>
          <w:rFonts w:hint="eastAsia" w:ascii="仿宋" w:hAnsi="仿宋" w:eastAsia="仿宋" w:cs="仿宋"/>
          <w:bCs/>
          <w:color w:val="auto"/>
          <w:highlight w:val="none"/>
        </w:rPr>
        <w:t>2、投标人应具备完善的售后服务体系，有固定的维护中心且维护人员并有能力及时处理所有可能发生的故障。</w:t>
      </w:r>
    </w:p>
    <w:p w14:paraId="02E235ED">
      <w:pPr>
        <w:pStyle w:val="2"/>
        <w:spacing w:line="360" w:lineRule="auto"/>
        <w:contextualSpacing/>
        <w:rPr>
          <w:rFonts w:ascii="仿宋" w:hAnsi="仿宋" w:eastAsia="仿宋" w:cs="仿宋"/>
          <w:bCs/>
          <w:color w:val="auto"/>
          <w:highlight w:val="none"/>
        </w:rPr>
      </w:pPr>
      <w:r>
        <w:rPr>
          <w:rFonts w:hint="eastAsia" w:ascii="仿宋" w:hAnsi="仿宋" w:eastAsia="仿宋" w:cs="仿宋"/>
          <w:bCs/>
          <w:color w:val="auto"/>
          <w:highlight w:val="none"/>
        </w:rPr>
        <w:t>（1）投标人须提供7×8小时电话技术支持服务，并指定专人负责本项目的售后联络，提供联系人和联系方式。</w:t>
      </w:r>
    </w:p>
    <w:p w14:paraId="04945334">
      <w:pPr>
        <w:pStyle w:val="2"/>
        <w:spacing w:line="360" w:lineRule="auto"/>
        <w:contextualSpacing/>
        <w:rPr>
          <w:rFonts w:ascii="仿宋" w:hAnsi="仿宋" w:eastAsia="仿宋" w:cs="仿宋"/>
          <w:bCs/>
          <w:color w:val="auto"/>
          <w:highlight w:val="none"/>
        </w:rPr>
      </w:pPr>
      <w:r>
        <w:rPr>
          <w:rFonts w:hint="eastAsia" w:ascii="仿宋" w:hAnsi="仿宋" w:eastAsia="仿宋" w:cs="仿宋"/>
          <w:bCs/>
          <w:color w:val="auto"/>
          <w:highlight w:val="none"/>
        </w:rPr>
        <w:t>（2）故障响应时间：接到采购人报修通知后，1小时内响应，24小时内派技术人员到达现场，并在15天内完成故障修复。</w:t>
      </w:r>
    </w:p>
    <w:p w14:paraId="514EB6BF">
      <w:pPr>
        <w:pStyle w:val="2"/>
        <w:spacing w:line="360" w:lineRule="auto"/>
        <w:contextualSpacing/>
        <w:rPr>
          <w:rFonts w:ascii="仿宋" w:hAnsi="仿宋" w:eastAsia="仿宋" w:cs="仿宋"/>
          <w:bCs/>
          <w:color w:val="auto"/>
          <w:highlight w:val="none"/>
        </w:rPr>
      </w:pPr>
      <w:r>
        <w:rPr>
          <w:rFonts w:hint="eastAsia" w:ascii="仿宋" w:hAnsi="仿宋" w:eastAsia="仿宋" w:cs="仿宋"/>
          <w:bCs/>
          <w:color w:val="auto"/>
          <w:highlight w:val="none"/>
        </w:rPr>
        <w:t>（3）故障解决时限：</w:t>
      </w:r>
    </w:p>
    <w:p w14:paraId="60EF8F3D">
      <w:pPr>
        <w:pStyle w:val="2"/>
        <w:spacing w:line="360" w:lineRule="auto"/>
        <w:contextualSpacing/>
        <w:rPr>
          <w:rFonts w:ascii="仿宋" w:hAnsi="仿宋" w:eastAsia="仿宋" w:cs="仿宋"/>
          <w:bCs/>
          <w:color w:val="auto"/>
          <w:highlight w:val="none"/>
        </w:rPr>
      </w:pPr>
      <w:r>
        <w:rPr>
          <w:rFonts w:hint="eastAsia" w:ascii="仿宋" w:hAnsi="仿宋" w:eastAsia="仿宋" w:cs="仿宋"/>
          <w:bCs/>
          <w:color w:val="auto"/>
          <w:highlight w:val="none"/>
        </w:rPr>
        <w:t>1）一般故障应在15天内修复。</w:t>
      </w:r>
    </w:p>
    <w:p w14:paraId="73ABF69C">
      <w:pPr>
        <w:pStyle w:val="2"/>
        <w:spacing w:line="360" w:lineRule="auto"/>
        <w:contextualSpacing/>
        <w:rPr>
          <w:rFonts w:ascii="仿宋" w:hAnsi="仿宋" w:eastAsia="仿宋" w:cs="仿宋"/>
          <w:bCs/>
          <w:color w:val="auto"/>
          <w:highlight w:val="none"/>
        </w:rPr>
      </w:pPr>
      <w:r>
        <w:rPr>
          <w:rFonts w:hint="eastAsia" w:ascii="仿宋" w:hAnsi="仿宋" w:eastAsia="仿宋" w:cs="仿宋"/>
          <w:bCs/>
          <w:color w:val="auto"/>
          <w:highlight w:val="none"/>
        </w:rPr>
        <w:t>2）重大故障（影响设备主要功能或涉及安全）应在48小时内解决。</w:t>
      </w:r>
    </w:p>
    <w:p w14:paraId="69DFB9DC">
      <w:pPr>
        <w:pStyle w:val="2"/>
        <w:spacing w:line="360" w:lineRule="auto"/>
        <w:contextualSpacing/>
        <w:rPr>
          <w:rFonts w:ascii="仿宋" w:hAnsi="仿宋" w:eastAsia="仿宋" w:cs="仿宋"/>
          <w:bCs/>
          <w:color w:val="auto"/>
          <w:highlight w:val="none"/>
        </w:rPr>
      </w:pPr>
      <w:r>
        <w:rPr>
          <w:rFonts w:hint="eastAsia" w:ascii="仿宋" w:hAnsi="仿宋" w:eastAsia="仿宋" w:cs="仿宋"/>
          <w:bCs/>
          <w:color w:val="auto"/>
          <w:highlight w:val="none"/>
        </w:rPr>
        <w:t>3）若无法在规定时限内修复，投标人须提供备用设备或采取其他有效措施，确保采购人正常工作不受影响。</w:t>
      </w:r>
    </w:p>
    <w:p w14:paraId="0062F012">
      <w:pPr>
        <w:pStyle w:val="2"/>
        <w:spacing w:line="360" w:lineRule="auto"/>
        <w:contextualSpacing/>
        <w:rPr>
          <w:rFonts w:ascii="仿宋" w:hAnsi="仿宋" w:eastAsia="仿宋" w:cs="仿宋"/>
          <w:bCs/>
          <w:color w:val="auto"/>
          <w:highlight w:val="none"/>
        </w:rPr>
      </w:pPr>
      <w:r>
        <w:rPr>
          <w:rFonts w:hint="eastAsia" w:ascii="仿宋" w:hAnsi="仿宋" w:eastAsia="仿宋" w:cs="仿宋"/>
          <w:bCs/>
          <w:color w:val="auto"/>
          <w:highlight w:val="none"/>
        </w:rPr>
        <w:t>3、具体的服务方式和要求：</w:t>
      </w:r>
    </w:p>
    <w:p w14:paraId="0461FD0A">
      <w:pPr>
        <w:pStyle w:val="2"/>
        <w:spacing w:line="360" w:lineRule="auto"/>
        <w:contextualSpacing/>
        <w:rPr>
          <w:rFonts w:ascii="仿宋" w:hAnsi="仿宋" w:eastAsia="仿宋" w:cs="仿宋"/>
          <w:bCs/>
          <w:color w:val="auto"/>
          <w:highlight w:val="none"/>
        </w:rPr>
      </w:pPr>
      <w:r>
        <w:rPr>
          <w:rFonts w:hint="eastAsia" w:ascii="仿宋" w:hAnsi="仿宋" w:eastAsia="仿宋" w:cs="仿宋"/>
          <w:bCs/>
          <w:color w:val="auto"/>
          <w:highlight w:val="none"/>
        </w:rPr>
        <w:t>电话支持：投标人提供的电话支持服务且不限次数。应提供服务联系人及联系方式。</w:t>
      </w:r>
    </w:p>
    <w:p w14:paraId="57C4F6C7">
      <w:pPr>
        <w:pStyle w:val="2"/>
        <w:spacing w:line="360" w:lineRule="auto"/>
        <w:contextualSpacing/>
        <w:rPr>
          <w:rFonts w:ascii="仿宋" w:hAnsi="仿宋" w:eastAsia="仿宋" w:cs="仿宋"/>
          <w:bCs/>
          <w:color w:val="auto"/>
          <w:highlight w:val="none"/>
        </w:rPr>
      </w:pPr>
      <w:r>
        <w:rPr>
          <w:rFonts w:hint="eastAsia" w:ascii="仿宋" w:hAnsi="仿宋" w:eastAsia="仿宋" w:cs="仿宋"/>
          <w:bCs/>
          <w:color w:val="auto"/>
          <w:highlight w:val="none"/>
        </w:rPr>
        <w:t>远程支持：投标人提供邮件和远程拨入用户的系统，进行咨询、诊断和修复，且不限次数。应提供邮箱地址。</w:t>
      </w:r>
    </w:p>
    <w:p w14:paraId="63A1390F">
      <w:pPr>
        <w:pStyle w:val="2"/>
        <w:spacing w:line="360" w:lineRule="auto"/>
        <w:contextualSpacing/>
        <w:rPr>
          <w:rFonts w:ascii="仿宋" w:hAnsi="仿宋" w:eastAsia="仿宋" w:cs="仿宋"/>
          <w:bCs/>
          <w:color w:val="auto"/>
          <w:highlight w:val="none"/>
        </w:rPr>
      </w:pPr>
      <w:r>
        <w:rPr>
          <w:rFonts w:hint="eastAsia" w:ascii="仿宋" w:hAnsi="仿宋" w:eastAsia="仿宋" w:cs="仿宋"/>
          <w:bCs/>
          <w:color w:val="auto"/>
          <w:highlight w:val="none"/>
        </w:rPr>
        <w:t>现场故障处理：如果投标人不能通过电话服务或远程支持方式解决采购人问题，投标人到达现场并解决故障。</w:t>
      </w:r>
    </w:p>
    <w:p w14:paraId="7BD838F6">
      <w:pPr>
        <w:pStyle w:val="2"/>
        <w:spacing w:line="360" w:lineRule="auto"/>
        <w:contextualSpacing/>
        <w:rPr>
          <w:rFonts w:ascii="仿宋" w:hAnsi="仿宋" w:eastAsia="仿宋" w:cs="仿宋"/>
          <w:bCs/>
          <w:color w:val="auto"/>
          <w:highlight w:val="none"/>
        </w:rPr>
      </w:pPr>
      <w:r>
        <w:rPr>
          <w:rFonts w:hint="eastAsia" w:ascii="仿宋" w:hAnsi="仿宋" w:eastAsia="仿宋" w:cs="仿宋"/>
          <w:bCs/>
          <w:color w:val="auto"/>
          <w:highlight w:val="none"/>
        </w:rPr>
        <w:t>4、质保期内，因产品设计、制造缺陷或材料问题导致的任何故障，投标人应免费维修或更换，并承担由此产生的一切费用（包括但不限于运输费、人工费、上门费、更换零部件费用）。</w:t>
      </w:r>
    </w:p>
    <w:p w14:paraId="31D1429B">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5、培训要求</w:t>
      </w:r>
    </w:p>
    <w:p w14:paraId="04FB5ECA">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投标人应为采购人制定完整的培训计划，并负责免费集中培训采购人的技术人员、使用人员。培训内容应包括所提供设备的技术性能、维护保养、日常使用等全部内容，并提供全套的中文教材。</w:t>
      </w:r>
    </w:p>
    <w:p w14:paraId="1DF89F5D">
      <w:pPr>
        <w:pStyle w:val="2"/>
        <w:spacing w:line="360" w:lineRule="auto"/>
        <w:contextualSpacing/>
        <w:rPr>
          <w:rFonts w:ascii="仿宋" w:hAnsi="仿宋" w:eastAsia="仿宋" w:cs="仿宋"/>
          <w:bCs/>
          <w:color w:val="auto"/>
          <w:highlight w:val="none"/>
        </w:rPr>
      </w:pPr>
      <w:r>
        <w:rPr>
          <w:rFonts w:ascii="仿宋" w:hAnsi="仿宋" w:eastAsia="仿宋" w:cs="仿宋"/>
          <w:bCs/>
          <w:color w:val="auto"/>
          <w:highlight w:val="none"/>
        </w:rPr>
        <w:t>6</w:t>
      </w:r>
      <w:r>
        <w:rPr>
          <w:rFonts w:hint="eastAsia" w:ascii="仿宋" w:hAnsi="仿宋" w:eastAsia="仿宋" w:cs="仿宋"/>
          <w:bCs/>
          <w:color w:val="auto"/>
          <w:highlight w:val="none"/>
        </w:rPr>
        <w:t>、验收前，投标人应将完整的资料（包括但不限于技术文档、相关图纸、设备说明书、操作手册等）提交给采购人存档管理。</w:t>
      </w:r>
    </w:p>
    <w:p w14:paraId="4A5F6BA0">
      <w:pPr>
        <w:spacing w:line="360" w:lineRule="auto"/>
        <w:ind w:firstLine="482" w:firstLineChars="200"/>
        <w:contextualSpacing/>
        <w:rPr>
          <w:rFonts w:ascii="仿宋" w:hAnsi="仿宋" w:eastAsia="仿宋" w:cs="仿宋"/>
          <w:b/>
          <w:bCs/>
          <w:color w:val="auto"/>
          <w:sz w:val="24"/>
          <w:highlight w:val="none"/>
        </w:rPr>
      </w:pPr>
      <w:r>
        <w:rPr>
          <w:rFonts w:hint="eastAsia" w:ascii="仿宋" w:hAnsi="仿宋" w:eastAsia="仿宋" w:cs="仿宋"/>
          <w:b/>
          <w:bCs/>
          <w:color w:val="auto"/>
          <w:sz w:val="24"/>
          <w:highlight w:val="none"/>
        </w:rPr>
        <w:t>三、技术要求</w:t>
      </w:r>
    </w:p>
    <w:p w14:paraId="4FA25335">
      <w:pPr>
        <w:spacing w:line="360" w:lineRule="auto"/>
        <w:ind w:firstLine="482" w:firstLineChars="200"/>
        <w:contextualSpacing/>
        <w:rPr>
          <w:rFonts w:ascii="仿宋" w:hAnsi="仿宋" w:eastAsia="仿宋" w:cs="仿宋"/>
          <w:b/>
          <w:bCs/>
          <w:color w:val="auto"/>
          <w:sz w:val="24"/>
          <w:highlight w:val="none"/>
        </w:rPr>
      </w:pPr>
      <w:r>
        <w:rPr>
          <w:rFonts w:hint="eastAsia" w:ascii="仿宋" w:hAnsi="仿宋" w:eastAsia="仿宋" w:cs="仿宋"/>
          <w:b/>
          <w:bCs/>
          <w:color w:val="auto"/>
          <w:sz w:val="24"/>
          <w:highlight w:val="none"/>
        </w:rPr>
        <w:t>（一）基本要求</w:t>
      </w:r>
    </w:p>
    <w:p w14:paraId="6FE0BD02">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1、采购标的需实现的功能或者目标</w:t>
      </w:r>
    </w:p>
    <w:p w14:paraId="44E7E0C1">
      <w:pPr>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本采购标的旨在落实平安医院建设及医疗场所安防维稳要求，全面完善院区安全防控与应急处置体系。</w:t>
      </w:r>
    </w:p>
    <w:p w14:paraId="5084371C">
      <w:pPr>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1.1、强化防暴与应急处置能力，有效隔离和处置疑似爆炸物及突发暴力事件，保障医护人员及患者的人身安全。</w:t>
      </w:r>
    </w:p>
    <w:p w14:paraId="61801146">
      <w:pPr>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1.2、提升巡逻与指挥调度效率，实现院区全方位、无死角巡逻，并确保通讯畅通，提高快速响应与协同处置能力。</w:t>
      </w:r>
    </w:p>
    <w:p w14:paraId="1F59F771">
      <w:pPr>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1.3、规范秩序与现场管控，规范安保人员的执勤行为，实现全过程音视频记录，并在突发事件中有效进行现场封控、秩序维护与人群疏散。</w:t>
      </w:r>
    </w:p>
    <w:p w14:paraId="37AE9283">
      <w:pPr>
        <w:pStyle w:val="2"/>
        <w:rPr>
          <w:color w:val="auto"/>
          <w:highlight w:val="none"/>
        </w:rPr>
      </w:pPr>
    </w:p>
    <w:p w14:paraId="5155EF37">
      <w:pPr>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2、需执行的国家相关标准、行业标准、地方标准或者其他标准、规范</w:t>
      </w:r>
    </w:p>
    <w:p w14:paraId="2CD0E8C7">
      <w:pPr>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2.1、所有设备的设计、制造、检验、包装、运输、安装及验收均须需满足国家、北京市及采购人各项最新标准及规范要求。注：以上均按最新标准执行。</w:t>
      </w:r>
    </w:p>
    <w:p w14:paraId="0701D249">
      <w:pPr>
        <w:spacing w:line="360" w:lineRule="auto"/>
        <w:ind w:firstLine="480" w:firstLineChars="200"/>
        <w:rPr>
          <w:rFonts w:ascii="仿宋" w:hAnsi="仿宋" w:eastAsia="仿宋" w:cs="仿宋"/>
          <w:bCs/>
          <w:color w:val="auto"/>
          <w:highlight w:val="none"/>
        </w:rPr>
      </w:pPr>
      <w:r>
        <w:rPr>
          <w:rFonts w:hint="eastAsia" w:ascii="仿宋" w:hAnsi="仿宋" w:eastAsia="仿宋" w:cs="仿宋"/>
          <w:bCs/>
          <w:color w:val="auto"/>
          <w:sz w:val="24"/>
          <w:highlight w:val="none"/>
        </w:rPr>
        <w:t>2.2、如采购内容涉及节能产品政府采购品目清单中标注★的政府强制采购产品，需按市场监管总局关于发布参与实施政府采购节能产品、环境标志产品认证机构名录的公告（2019年第16号）等政策要求在投标文件中提供对应产品的证明材料。</w:t>
      </w:r>
    </w:p>
    <w:p w14:paraId="52C656F4">
      <w:pPr>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2.3、</w:t>
      </w:r>
      <w:bookmarkStart w:id="29" w:name="OLE_LINK11"/>
      <w:r>
        <w:rPr>
          <w:rFonts w:hint="eastAsia" w:ascii="仿宋" w:hAnsi="仿宋" w:eastAsia="仿宋" w:cs="仿宋"/>
          <w:bCs/>
          <w:color w:val="auto"/>
          <w:sz w:val="24"/>
          <w:highlight w:val="none"/>
        </w:rPr>
        <w:t>两轮治安巡逻车</w:t>
      </w:r>
      <w:bookmarkEnd w:id="29"/>
      <w:r>
        <w:rPr>
          <w:rFonts w:hint="eastAsia" w:ascii="仿宋" w:hAnsi="仿宋" w:eastAsia="仿宋" w:cs="仿宋"/>
          <w:bCs/>
          <w:color w:val="auto"/>
          <w:sz w:val="24"/>
          <w:highlight w:val="none"/>
        </w:rPr>
        <w:t>警具（符合GB13954-2009、GB8108-2014标准）。</w:t>
      </w:r>
    </w:p>
    <w:p w14:paraId="19E78E03">
      <w:pPr>
        <w:pStyle w:val="2"/>
        <w:rPr>
          <w:rFonts w:ascii="仿宋" w:hAnsi="仿宋" w:eastAsia="仿宋"/>
          <w:color w:val="auto"/>
          <w:highlight w:val="none"/>
        </w:rPr>
      </w:pPr>
    </w:p>
    <w:p w14:paraId="342FDC6D">
      <w:pPr>
        <w:snapToGrid w:val="0"/>
        <w:spacing w:line="360" w:lineRule="auto"/>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rPr>
        <w:t>（二）服务内容及要求/货物技术要求</w:t>
      </w:r>
    </w:p>
    <w:p w14:paraId="4CCDF1E2">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1、采购标的需满足的性能、材料、结构、外观、质量、安全、技术规格、物理特性等要求：</w:t>
      </w:r>
    </w:p>
    <w:p w14:paraId="68CDC47B">
      <w:pPr>
        <w:pStyle w:val="2"/>
        <w:spacing w:line="360" w:lineRule="auto"/>
        <w:contextualSpacing/>
        <w:jc w:val="center"/>
        <w:rPr>
          <w:rFonts w:ascii="仿宋" w:hAnsi="仿宋" w:eastAsia="仿宋" w:cs="仿宋"/>
          <w:b/>
          <w:bCs/>
          <w:color w:val="auto"/>
          <w:highlight w:val="none"/>
        </w:rPr>
      </w:pPr>
      <w:r>
        <w:rPr>
          <w:rFonts w:hint="eastAsia" w:ascii="仿宋" w:hAnsi="仿宋" w:eastAsia="仿宋" w:cs="仿宋"/>
          <w:b/>
          <w:bCs/>
          <w:color w:val="auto"/>
          <w:highlight w:val="none"/>
        </w:rPr>
        <w:t>第2包 防暴警用器材及防护设施</w:t>
      </w:r>
    </w:p>
    <w:p w14:paraId="10631FF0">
      <w:pPr>
        <w:pStyle w:val="2"/>
        <w:spacing w:line="360" w:lineRule="auto"/>
        <w:contextualSpacing/>
        <w:rPr>
          <w:rFonts w:ascii="仿宋" w:hAnsi="仿宋" w:eastAsia="仿宋" w:cs="仿宋"/>
          <w:b/>
          <w:bCs/>
          <w:color w:val="auto"/>
          <w:sz w:val="21"/>
          <w:highlight w:val="none"/>
        </w:rPr>
      </w:pPr>
      <w:r>
        <w:rPr>
          <w:rFonts w:hint="eastAsia" w:ascii="仿宋" w:hAnsi="仿宋" w:eastAsia="仿宋" w:cs="仿宋"/>
          <w:b/>
          <w:bCs/>
          <w:color w:val="auto"/>
          <w:sz w:val="21"/>
          <w:highlight w:val="none"/>
        </w:rPr>
        <w:t>一、技术参数</w:t>
      </w:r>
    </w:p>
    <w:tbl>
      <w:tblPr>
        <w:tblStyle w:val="44"/>
        <w:tblW w:w="861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63"/>
        <w:gridCol w:w="1185"/>
        <w:gridCol w:w="6663"/>
      </w:tblGrid>
      <w:tr w14:paraId="63B165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3" w:type="dxa"/>
            <w:vAlign w:val="center"/>
          </w:tcPr>
          <w:p w14:paraId="184037D1">
            <w:pPr>
              <w:spacing w:line="276" w:lineRule="auto"/>
              <w:contextualSpacing/>
              <w:jc w:val="center"/>
              <w:rPr>
                <w:rFonts w:ascii="仿宋" w:hAnsi="仿宋" w:eastAsia="仿宋" w:cs="宋体"/>
                <w:b/>
                <w:color w:val="auto"/>
                <w:szCs w:val="21"/>
                <w:highlight w:val="none"/>
              </w:rPr>
            </w:pPr>
            <w:r>
              <w:rPr>
                <w:rFonts w:hint="eastAsia" w:ascii="仿宋" w:hAnsi="仿宋" w:eastAsia="仿宋" w:cs="宋体"/>
                <w:b/>
                <w:color w:val="auto"/>
                <w:szCs w:val="21"/>
                <w:highlight w:val="none"/>
              </w:rPr>
              <w:t>序号</w:t>
            </w:r>
          </w:p>
        </w:tc>
        <w:tc>
          <w:tcPr>
            <w:tcW w:w="1185" w:type="dxa"/>
            <w:vAlign w:val="center"/>
          </w:tcPr>
          <w:p w14:paraId="3A25141D">
            <w:pPr>
              <w:spacing w:line="276" w:lineRule="auto"/>
              <w:contextualSpacing/>
              <w:jc w:val="center"/>
              <w:rPr>
                <w:rFonts w:ascii="仿宋" w:hAnsi="仿宋" w:eastAsia="仿宋" w:cs="宋体"/>
                <w:b/>
                <w:color w:val="auto"/>
                <w:szCs w:val="21"/>
                <w:highlight w:val="none"/>
              </w:rPr>
            </w:pPr>
            <w:r>
              <w:rPr>
                <w:rFonts w:hint="eastAsia" w:ascii="仿宋" w:hAnsi="仿宋" w:eastAsia="仿宋" w:cs="宋体"/>
                <w:b/>
                <w:color w:val="auto"/>
                <w:szCs w:val="21"/>
                <w:highlight w:val="none"/>
              </w:rPr>
              <w:t>货物名称</w:t>
            </w:r>
          </w:p>
        </w:tc>
        <w:tc>
          <w:tcPr>
            <w:tcW w:w="6663" w:type="dxa"/>
            <w:vAlign w:val="center"/>
          </w:tcPr>
          <w:p w14:paraId="33CBE3CF">
            <w:pPr>
              <w:spacing w:line="276" w:lineRule="auto"/>
              <w:contextualSpacing/>
              <w:jc w:val="center"/>
              <w:rPr>
                <w:rFonts w:ascii="仿宋" w:hAnsi="仿宋" w:eastAsia="仿宋" w:cs="宋体"/>
                <w:b/>
                <w:color w:val="auto"/>
                <w:szCs w:val="21"/>
                <w:highlight w:val="none"/>
              </w:rPr>
            </w:pPr>
            <w:r>
              <w:rPr>
                <w:rFonts w:hint="eastAsia" w:ascii="仿宋" w:hAnsi="仿宋" w:eastAsia="仿宋" w:cs="宋体"/>
                <w:b/>
                <w:color w:val="auto"/>
                <w:szCs w:val="21"/>
                <w:highlight w:val="none"/>
              </w:rPr>
              <w:t>技术参数要求</w:t>
            </w:r>
          </w:p>
        </w:tc>
      </w:tr>
      <w:tr w14:paraId="354FD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3" w:type="dxa"/>
            <w:vAlign w:val="center"/>
          </w:tcPr>
          <w:p w14:paraId="7D9AF87D">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1</w:t>
            </w:r>
          </w:p>
        </w:tc>
        <w:tc>
          <w:tcPr>
            <w:tcW w:w="1185" w:type="dxa"/>
            <w:vAlign w:val="center"/>
          </w:tcPr>
          <w:p w14:paraId="4AD5EF86">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防爆罐</w:t>
            </w:r>
          </w:p>
        </w:tc>
        <w:tc>
          <w:tcPr>
            <w:tcW w:w="6663" w:type="dxa"/>
            <w:vAlign w:val="center"/>
          </w:tcPr>
          <w:p w14:paraId="6CC4341D">
            <w:pPr>
              <w:widowControl/>
              <w:spacing w:line="276" w:lineRule="auto"/>
              <w:contextualSpacing/>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1、执行标准：产品符合GA 871-2010《防爆罐》的相关要求；</w:t>
            </w:r>
          </w:p>
          <w:p w14:paraId="665E1DFA">
            <w:pPr>
              <w:widowControl/>
              <w:spacing w:line="276" w:lineRule="auto"/>
              <w:contextualSpacing/>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2、防爆能力：能抵御1.5KG的TNT的爆炸能量并能容纳所有横向爆炸破片，外罐罐体完整，罐体无掉块；</w:t>
            </w:r>
          </w:p>
          <w:p w14:paraId="2E7214DF">
            <w:pPr>
              <w:widowControl/>
              <w:spacing w:line="276" w:lineRule="auto"/>
              <w:contextualSpacing/>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3、外直径：≥600㎜；</w:t>
            </w:r>
          </w:p>
          <w:p w14:paraId="15FD66C4">
            <w:pPr>
              <w:widowControl/>
              <w:spacing w:line="276" w:lineRule="auto"/>
              <w:contextualSpacing/>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4、内直径：≥550㎜；</w:t>
            </w:r>
          </w:p>
          <w:p w14:paraId="51C31656">
            <w:pPr>
              <w:widowControl/>
              <w:spacing w:line="276" w:lineRule="auto"/>
              <w:contextualSpacing/>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5、总高度：≥750㎜；</w:t>
            </w:r>
          </w:p>
          <w:p w14:paraId="1884BF0C">
            <w:pPr>
              <w:widowControl/>
              <w:spacing w:line="276" w:lineRule="auto"/>
              <w:contextualSpacing/>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6、总重量：≥150kg；</w:t>
            </w:r>
          </w:p>
        </w:tc>
      </w:tr>
      <w:tr w14:paraId="4A214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3" w:type="dxa"/>
            <w:vAlign w:val="center"/>
          </w:tcPr>
          <w:p w14:paraId="5A15AB51">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2</w:t>
            </w:r>
          </w:p>
        </w:tc>
        <w:tc>
          <w:tcPr>
            <w:tcW w:w="1185" w:type="dxa"/>
            <w:vAlign w:val="center"/>
          </w:tcPr>
          <w:p w14:paraId="05C743DC">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防爆毯</w:t>
            </w:r>
          </w:p>
        </w:tc>
        <w:tc>
          <w:tcPr>
            <w:tcW w:w="6663" w:type="dxa"/>
            <w:vAlign w:val="center"/>
          </w:tcPr>
          <w:p w14:paraId="2E4D9A06">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1、执行标准：GA 69-2007《防爆毯》行业标准；</w:t>
            </w:r>
          </w:p>
          <w:p w14:paraId="291B3C5C">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▲2、整套质量：27±0.2kg；</w:t>
            </w:r>
          </w:p>
          <w:p w14:paraId="50EFC183">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▲3、盖毯的外形尺寸：≥1650mm*1650mm；</w:t>
            </w:r>
          </w:p>
          <w:p w14:paraId="3BEC37AC">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4、盖毯质量：10±0.3kg；</w:t>
            </w:r>
          </w:p>
          <w:p w14:paraId="5B51D86F">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5、外围栏的高度为≥150mm，内径为630±20mm；</w:t>
            </w:r>
          </w:p>
          <w:p w14:paraId="69A52E2D">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6、外围栏质量：5±0.1kg；</w:t>
            </w:r>
          </w:p>
          <w:p w14:paraId="6679D3F5">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7、内围栏的高度为≥300mm，内径为440±10mm；</w:t>
            </w:r>
          </w:p>
          <w:p w14:paraId="774E7EE1">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8、内围栏质量：≤12kg；</w:t>
            </w:r>
          </w:p>
          <w:p w14:paraId="181F4F14">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9、外套材料抗渗水性能：耐静水压＞12kPa；</w:t>
            </w:r>
          </w:p>
          <w:p w14:paraId="20731117">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▲10、外套材料的断裂强力：经向为＞3300N，纬向为＞2000N；</w:t>
            </w:r>
          </w:p>
          <w:p w14:paraId="42DEB000">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▲11、外套材料的撕破强力：经向为＞440N，纬向为＞220N；</w:t>
            </w:r>
          </w:p>
          <w:p w14:paraId="55D008A7">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12、当82-2制式手榴弹引爆时，在模拟靶标上没有穿透孔；</w:t>
            </w:r>
          </w:p>
          <w:p w14:paraId="39F97381">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13、投标人若为代理商需提供制造商针对此项目的有效售后服务承诺书并加盖制造商公章；</w:t>
            </w:r>
          </w:p>
          <w:p w14:paraId="6DECE336">
            <w:pPr>
              <w:pStyle w:val="15"/>
              <w:spacing w:line="276" w:lineRule="auto"/>
              <w:contextualSpacing/>
              <w:rPr>
                <w:rFonts w:ascii="仿宋" w:hAnsi="仿宋" w:eastAsia="仿宋" w:cs="仿宋"/>
                <w:b/>
                <w:bCs/>
                <w:color w:val="auto"/>
                <w:szCs w:val="21"/>
                <w:highlight w:val="none"/>
              </w:rPr>
            </w:pPr>
            <w:r>
              <w:rPr>
                <w:rFonts w:hint="eastAsia" w:ascii="仿宋" w:hAnsi="仿宋" w:eastAsia="仿宋" w:cs="宋体"/>
                <w:b/>
                <w:color w:val="auto"/>
                <w:szCs w:val="21"/>
                <w:highlight w:val="none"/>
              </w:rPr>
              <w:t>以上1-12条技术要求</w:t>
            </w:r>
            <w:bookmarkStart w:id="30" w:name="OLE_LINK37"/>
            <w:bookmarkStart w:id="31" w:name="OLE_LINK36"/>
            <w:bookmarkStart w:id="32" w:name="OLE_LINK38"/>
            <w:r>
              <w:rPr>
                <w:rFonts w:hint="eastAsia" w:ascii="仿宋" w:hAnsi="仿宋" w:eastAsia="仿宋" w:cs="仿宋"/>
                <w:b/>
                <w:bCs/>
                <w:color w:val="auto"/>
                <w:szCs w:val="21"/>
                <w:highlight w:val="none"/>
              </w:rPr>
              <w:t>需提供具备CMA资质的第三方检测报告复印件作为证明材料（原件备查）并加盖制造商公章，否则视作不满足</w:t>
            </w:r>
            <w:bookmarkEnd w:id="30"/>
            <w:bookmarkEnd w:id="31"/>
            <w:r>
              <w:rPr>
                <w:rFonts w:hint="eastAsia" w:ascii="仿宋" w:hAnsi="仿宋" w:eastAsia="仿宋" w:cs="仿宋"/>
                <w:b/>
                <w:bCs/>
                <w:color w:val="auto"/>
                <w:szCs w:val="21"/>
                <w:highlight w:val="none"/>
              </w:rPr>
              <w:t>。</w:t>
            </w:r>
            <w:bookmarkEnd w:id="32"/>
          </w:p>
        </w:tc>
      </w:tr>
      <w:tr w14:paraId="3F8E94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3" w:type="dxa"/>
            <w:vAlign w:val="center"/>
          </w:tcPr>
          <w:p w14:paraId="4E5EB35F">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3</w:t>
            </w:r>
          </w:p>
        </w:tc>
        <w:tc>
          <w:tcPr>
            <w:tcW w:w="1185" w:type="dxa"/>
            <w:vAlign w:val="center"/>
          </w:tcPr>
          <w:p w14:paraId="373C9361">
            <w:pPr>
              <w:widowControl/>
              <w:spacing w:line="276" w:lineRule="auto"/>
              <w:contextualSpacing/>
              <w:jc w:val="left"/>
              <w:textAlignment w:val="center"/>
              <w:rPr>
                <w:rFonts w:ascii="仿宋" w:hAnsi="仿宋" w:eastAsia="仿宋" w:cs="宋体"/>
                <w:color w:val="auto"/>
                <w:kern w:val="0"/>
                <w:szCs w:val="21"/>
                <w:highlight w:val="none"/>
                <w:lang w:bidi="ar"/>
              </w:rPr>
            </w:pPr>
            <w:r>
              <w:rPr>
                <w:rFonts w:hint="eastAsia" w:ascii="仿宋" w:hAnsi="仿宋" w:eastAsia="仿宋" w:cs="宋体"/>
                <w:color w:val="auto"/>
                <w:kern w:val="0"/>
                <w:szCs w:val="21"/>
                <w:highlight w:val="none"/>
                <w:lang w:bidi="ar"/>
              </w:rPr>
              <w:t>对讲机信号放大器</w:t>
            </w:r>
          </w:p>
        </w:tc>
        <w:tc>
          <w:tcPr>
            <w:tcW w:w="6663" w:type="dxa"/>
            <w:vAlign w:val="center"/>
          </w:tcPr>
          <w:p w14:paraId="17B7523F">
            <w:pPr>
              <w:widowControl/>
              <w:numPr>
                <w:ilvl w:val="0"/>
                <w:numId w:val="1"/>
              </w:numPr>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频率范围：</w:t>
            </w:r>
          </w:p>
          <w:p w14:paraId="69A4A709">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LTE FDD:B1/B3/B5/B8</w:t>
            </w:r>
          </w:p>
          <w:p w14:paraId="1C2E018C">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LTE TDD:B34/B38/B39/B40/B41</w:t>
            </w:r>
          </w:p>
          <w:p w14:paraId="56C817B9">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WCDMA:B1/B8</w:t>
            </w:r>
          </w:p>
          <w:p w14:paraId="30CE2385">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TD-SCDMA:B34/B39</w:t>
            </w:r>
          </w:p>
          <w:p w14:paraId="4CBC0D02">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CDMA:BCO</w:t>
            </w:r>
          </w:p>
          <w:p w14:paraId="15566A8F">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GSM:900/1800MHZ</w:t>
            </w:r>
          </w:p>
          <w:p w14:paraId="05B50851">
            <w:pPr>
              <w:pStyle w:val="28"/>
              <w:snapToGrid/>
              <w:spacing w:line="276" w:lineRule="auto"/>
              <w:contextualSpacing/>
              <w:rPr>
                <w:rFonts w:ascii="仿宋" w:hAnsi="仿宋" w:eastAsia="仿宋" w:cs="宋体"/>
                <w:strike/>
                <w:color w:val="auto"/>
                <w:sz w:val="21"/>
                <w:szCs w:val="21"/>
                <w:highlight w:val="none"/>
              </w:rPr>
            </w:pPr>
            <w:r>
              <w:rPr>
                <w:rFonts w:hint="eastAsia" w:ascii="仿宋" w:hAnsi="仿宋" w:eastAsia="仿宋" w:cs="宋体"/>
                <w:color w:val="auto"/>
                <w:sz w:val="21"/>
                <w:szCs w:val="21"/>
                <w:highlight w:val="none"/>
              </w:rPr>
              <w:t>2、显示屏：≥2.8</w:t>
            </w:r>
            <w:r>
              <w:rPr>
                <w:rFonts w:hint="eastAsia" w:ascii="仿宋" w:hAnsi="仿宋" w:eastAsia="仿宋" w:cs="宋体"/>
                <w:color w:val="auto"/>
                <w:sz w:val="21"/>
                <w:szCs w:val="21"/>
                <w:highlight w:val="none"/>
              </w:rPr>
              <w:t>"；</w:t>
            </w:r>
          </w:p>
          <w:p w14:paraId="12499787">
            <w:pPr>
              <w:pStyle w:val="28"/>
              <w:snapToGrid/>
              <w:spacing w:line="276" w:lineRule="auto"/>
              <w:contextualSpacing/>
              <w:rPr>
                <w:rFonts w:ascii="仿宋" w:hAnsi="仿宋" w:eastAsia="仿宋" w:cs="宋体"/>
                <w:color w:val="auto"/>
                <w:sz w:val="21"/>
                <w:szCs w:val="21"/>
                <w:highlight w:val="none"/>
              </w:rPr>
            </w:pPr>
            <w:r>
              <w:rPr>
                <w:rFonts w:hint="eastAsia" w:ascii="仿宋" w:hAnsi="仿宋" w:eastAsia="仿宋" w:cs="宋体"/>
                <w:color w:val="auto"/>
                <w:sz w:val="21"/>
                <w:szCs w:val="21"/>
                <w:highlight w:val="none"/>
              </w:rPr>
              <w:t>3、SIM卡类型：Standard SIM Card；</w:t>
            </w:r>
          </w:p>
          <w:p w14:paraId="14EDCA26">
            <w:pPr>
              <w:pStyle w:val="28"/>
              <w:snapToGrid/>
              <w:spacing w:line="276" w:lineRule="auto"/>
              <w:contextualSpacing/>
              <w:rPr>
                <w:rFonts w:ascii="仿宋" w:hAnsi="仿宋" w:eastAsia="仿宋" w:cs="宋体"/>
                <w:color w:val="auto"/>
                <w:sz w:val="21"/>
                <w:szCs w:val="21"/>
                <w:highlight w:val="none"/>
              </w:rPr>
            </w:pPr>
            <w:r>
              <w:rPr>
                <w:rFonts w:hint="eastAsia" w:ascii="仿宋" w:hAnsi="仿宋" w:eastAsia="仿宋" w:cs="宋体"/>
                <w:color w:val="auto"/>
                <w:sz w:val="21"/>
                <w:szCs w:val="21"/>
                <w:highlight w:val="none"/>
              </w:rPr>
              <w:t>4、工温度：-20℃～+60℃；</w:t>
            </w:r>
          </w:p>
          <w:p w14:paraId="6E23D971">
            <w:pPr>
              <w:pStyle w:val="28"/>
              <w:snapToGrid/>
              <w:spacing w:line="276" w:lineRule="auto"/>
              <w:contextualSpacing/>
              <w:rPr>
                <w:rFonts w:ascii="仿宋" w:hAnsi="仿宋" w:eastAsia="仿宋" w:cs="宋体"/>
                <w:color w:val="auto"/>
                <w:sz w:val="21"/>
                <w:szCs w:val="21"/>
                <w:highlight w:val="none"/>
              </w:rPr>
            </w:pPr>
            <w:r>
              <w:rPr>
                <w:rFonts w:hint="eastAsia" w:ascii="仿宋" w:hAnsi="仿宋" w:eastAsia="仿宋" w:cs="宋体"/>
                <w:color w:val="auto"/>
                <w:sz w:val="21"/>
                <w:szCs w:val="21"/>
                <w:highlight w:val="none"/>
              </w:rPr>
              <w:t>5、工作模式：F2D/F3E；</w:t>
            </w:r>
          </w:p>
          <w:p w14:paraId="2CA4C096">
            <w:pPr>
              <w:pStyle w:val="28"/>
              <w:snapToGrid/>
              <w:spacing w:line="276" w:lineRule="auto"/>
              <w:contextualSpacing/>
              <w:rPr>
                <w:rFonts w:ascii="仿宋" w:hAnsi="仿宋" w:eastAsia="仿宋" w:cs="宋体"/>
                <w:color w:val="auto"/>
                <w:sz w:val="21"/>
                <w:szCs w:val="21"/>
                <w:highlight w:val="none"/>
              </w:rPr>
            </w:pPr>
            <w:r>
              <w:rPr>
                <w:rFonts w:hint="eastAsia" w:ascii="仿宋" w:hAnsi="仿宋" w:eastAsia="仿宋" w:cs="宋体"/>
                <w:color w:val="auto"/>
                <w:sz w:val="21"/>
                <w:szCs w:val="21"/>
                <w:highlight w:val="none"/>
              </w:rPr>
              <w:t>6、电源要求：12V/24V  DC±15%；</w:t>
            </w:r>
          </w:p>
          <w:p w14:paraId="64CE5167">
            <w:pPr>
              <w:pStyle w:val="28"/>
              <w:snapToGrid/>
              <w:spacing w:line="276" w:lineRule="auto"/>
              <w:contextualSpacing/>
              <w:rPr>
                <w:rFonts w:ascii="仿宋" w:hAnsi="仿宋" w:eastAsia="仿宋" w:cs="宋体"/>
                <w:color w:val="auto"/>
                <w:sz w:val="21"/>
                <w:szCs w:val="21"/>
                <w:highlight w:val="none"/>
              </w:rPr>
            </w:pPr>
            <w:r>
              <w:rPr>
                <w:rFonts w:hint="eastAsia" w:ascii="仿宋" w:hAnsi="仿宋" w:eastAsia="仿宋" w:cs="宋体"/>
                <w:color w:val="auto"/>
                <w:sz w:val="21"/>
                <w:szCs w:val="21"/>
                <w:highlight w:val="none"/>
              </w:rPr>
              <w:t>7、外形尺寸：165±2x85±2x75±2mm；</w:t>
            </w:r>
          </w:p>
          <w:p w14:paraId="06A8062D">
            <w:pPr>
              <w:pStyle w:val="28"/>
              <w:snapToGrid/>
              <w:spacing w:line="276" w:lineRule="auto"/>
              <w:contextualSpacing/>
              <w:rPr>
                <w:rFonts w:ascii="仿宋" w:hAnsi="仿宋" w:eastAsia="仿宋"/>
                <w:color w:val="auto"/>
                <w:sz w:val="21"/>
                <w:szCs w:val="21"/>
                <w:highlight w:val="none"/>
              </w:rPr>
            </w:pPr>
            <w:r>
              <w:rPr>
                <w:rFonts w:hint="eastAsia" w:ascii="仿宋" w:hAnsi="仿宋" w:eastAsia="仿宋" w:cs="宋体"/>
                <w:color w:val="auto"/>
                <w:sz w:val="21"/>
                <w:szCs w:val="21"/>
                <w:highlight w:val="none"/>
              </w:rPr>
              <w:t>8、重量：390±5g；</w:t>
            </w:r>
          </w:p>
        </w:tc>
      </w:tr>
      <w:tr w14:paraId="6764B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3" w:type="dxa"/>
            <w:vAlign w:val="center"/>
          </w:tcPr>
          <w:p w14:paraId="216BA8E4">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4</w:t>
            </w:r>
          </w:p>
        </w:tc>
        <w:tc>
          <w:tcPr>
            <w:tcW w:w="1185" w:type="dxa"/>
            <w:vAlign w:val="center"/>
          </w:tcPr>
          <w:p w14:paraId="644DEDF1">
            <w:pPr>
              <w:widowControl/>
              <w:spacing w:line="276" w:lineRule="auto"/>
              <w:contextualSpacing/>
              <w:jc w:val="left"/>
              <w:textAlignment w:val="center"/>
              <w:rPr>
                <w:color w:val="auto"/>
                <w:highlight w:val="none"/>
              </w:rPr>
            </w:pPr>
            <w:r>
              <w:rPr>
                <w:rFonts w:hint="eastAsia" w:ascii="仿宋" w:hAnsi="仿宋" w:eastAsia="仿宋" w:cs="宋体"/>
                <w:color w:val="auto"/>
                <w:kern w:val="0"/>
                <w:szCs w:val="21"/>
                <w:highlight w:val="none"/>
                <w:lang w:bidi="ar"/>
              </w:rPr>
              <w:t>对讲机(含耳机)</w:t>
            </w:r>
          </w:p>
        </w:tc>
        <w:tc>
          <w:tcPr>
            <w:tcW w:w="6663" w:type="dxa"/>
            <w:vAlign w:val="center"/>
          </w:tcPr>
          <w:p w14:paraId="7B7C6E6E">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1、网络制式：全网通2G/3G/4G/5G模式；</w:t>
            </w:r>
          </w:p>
          <w:p w14:paraId="37C922F2">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2、操作系统：安卓操作系统；</w:t>
            </w:r>
          </w:p>
          <w:p w14:paraId="6F8B3561">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3、频率范围：</w:t>
            </w:r>
          </w:p>
          <w:p w14:paraId="33FA3E7E">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3.1、发射频段：B5</w:t>
            </w:r>
            <w:r>
              <w:rPr>
                <w:rFonts w:hint="eastAsia" w:ascii="宋体" w:hAnsi="宋体" w:cs="宋体"/>
                <w:color w:val="auto"/>
                <w:szCs w:val="21"/>
                <w:highlight w:val="none"/>
              </w:rPr>
              <w:t> </w:t>
            </w:r>
            <w:r>
              <w:rPr>
                <w:rFonts w:hint="eastAsia" w:ascii="仿宋" w:hAnsi="仿宋" w:eastAsia="仿宋" w:cs="宋体"/>
                <w:color w:val="auto"/>
                <w:szCs w:val="21"/>
                <w:highlight w:val="none"/>
              </w:rPr>
              <w:t>824-849MHz   接收频段：869-894MHZ；</w:t>
            </w:r>
          </w:p>
          <w:p w14:paraId="719E1524">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3.2、发射频段：B1</w:t>
            </w:r>
            <w:r>
              <w:rPr>
                <w:rFonts w:hint="eastAsia" w:ascii="宋体" w:hAnsi="宋体" w:cs="宋体"/>
                <w:color w:val="auto"/>
                <w:szCs w:val="21"/>
                <w:highlight w:val="none"/>
              </w:rPr>
              <w:t> </w:t>
            </w:r>
            <w:r>
              <w:rPr>
                <w:rFonts w:hint="eastAsia" w:ascii="仿宋" w:hAnsi="仿宋" w:eastAsia="仿宋" w:cs="宋体"/>
                <w:color w:val="auto"/>
                <w:szCs w:val="21"/>
                <w:highlight w:val="none"/>
              </w:rPr>
              <w:t>1920-1980MHz 接收频段：2110-2170MHZ；</w:t>
            </w:r>
          </w:p>
          <w:p w14:paraId="7F87D487">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3.3、发射频段：B3</w:t>
            </w:r>
            <w:r>
              <w:rPr>
                <w:rFonts w:hint="eastAsia" w:ascii="宋体" w:hAnsi="宋体" w:cs="宋体"/>
                <w:color w:val="auto"/>
                <w:szCs w:val="21"/>
                <w:highlight w:val="none"/>
              </w:rPr>
              <w:t> </w:t>
            </w:r>
            <w:r>
              <w:rPr>
                <w:rFonts w:hint="eastAsia" w:ascii="仿宋" w:hAnsi="仿宋" w:eastAsia="仿宋" w:cs="宋体"/>
                <w:color w:val="auto"/>
                <w:szCs w:val="21"/>
                <w:highlight w:val="none"/>
              </w:rPr>
              <w:t>1710-1785MHz 接收频段：1805-1880MHZ</w:t>
            </w:r>
            <w:r>
              <w:rPr>
                <w:rFonts w:hint="eastAsia" w:ascii="宋体" w:hAnsi="宋体" w:cs="宋体"/>
                <w:color w:val="auto"/>
                <w:szCs w:val="21"/>
                <w:highlight w:val="none"/>
              </w:rPr>
              <w:t>；</w:t>
            </w:r>
          </w:p>
          <w:p w14:paraId="64022960">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4、工作电压：3.7V；</w:t>
            </w:r>
          </w:p>
          <w:p w14:paraId="10EEAD86">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5、群组最大个数：≥200；</w:t>
            </w:r>
          </w:p>
          <w:p w14:paraId="050D1FC7">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6、电池容量：≥7800mAh；</w:t>
            </w:r>
          </w:p>
          <w:p w14:paraId="66C25872">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7、外形尺寸（不含天线）：≤110mm*60mm*32mm；</w:t>
            </w:r>
          </w:p>
          <w:p w14:paraId="59D50D3C">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8、整机重量（标配电池与天线）：≤215g；</w:t>
            </w:r>
          </w:p>
          <w:p w14:paraId="58754BA8">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9、显示屏：≥1.77寸彩屏；</w:t>
            </w:r>
          </w:p>
          <w:p w14:paraId="64ACF878">
            <w:pPr>
              <w:spacing w:line="276" w:lineRule="auto"/>
              <w:contextualSpacing/>
              <w:rPr>
                <w:rFonts w:hint="eastAsia" w:ascii="仿宋" w:hAnsi="仿宋" w:eastAsia="仿宋" w:cs="宋体"/>
                <w:color w:val="auto"/>
                <w:szCs w:val="21"/>
                <w:highlight w:val="none"/>
              </w:rPr>
            </w:pPr>
            <w:r>
              <w:rPr>
                <w:rFonts w:hint="eastAsia" w:ascii="仿宋" w:hAnsi="仿宋" w:eastAsia="仿宋" w:cs="宋体"/>
                <w:color w:val="auto"/>
                <w:szCs w:val="21"/>
                <w:highlight w:val="none"/>
              </w:rPr>
              <w:t>10、发射功率：26dBm~27dBm；</w:t>
            </w:r>
          </w:p>
          <w:p w14:paraId="3D05F2BC">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11、防水防尘：优于IP54；</w:t>
            </w:r>
          </w:p>
          <w:p w14:paraId="1DF1A4D3">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12、支持：单呼、群呼；</w:t>
            </w:r>
          </w:p>
          <w:p w14:paraId="3137F2D5">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13、集群业务：单呼、组呼、动态组呼、临时组呼、预定义组呼、话权优先级、群组成员状态显示、通话状态显示、多群组监听；</w:t>
            </w:r>
          </w:p>
          <w:p w14:paraId="29BD9AE9">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14、管理业务：管理员管理（账号名称修改、添加分组）、用户分配、设备管理、群组创建和管理。</w:t>
            </w:r>
          </w:p>
        </w:tc>
      </w:tr>
      <w:tr w14:paraId="4FDD5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3" w:type="dxa"/>
            <w:vAlign w:val="center"/>
          </w:tcPr>
          <w:p w14:paraId="10699908">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5</w:t>
            </w:r>
          </w:p>
        </w:tc>
        <w:tc>
          <w:tcPr>
            <w:tcW w:w="1185" w:type="dxa"/>
            <w:vAlign w:val="center"/>
          </w:tcPr>
          <w:p w14:paraId="4BB3C66E">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执法记录仪</w:t>
            </w:r>
          </w:p>
        </w:tc>
        <w:tc>
          <w:tcPr>
            <w:tcW w:w="6663" w:type="dxa"/>
            <w:vAlign w:val="center"/>
          </w:tcPr>
          <w:p w14:paraId="5084889D">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1、尺寸：执法记录仪尺寸（背夹、外接设备除外）≤80×55×35mm；</w:t>
            </w:r>
          </w:p>
          <w:p w14:paraId="73826561">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▲2、防护等级：执法记录仪外壳防护等级应符合GB/T4208-2017中IP68要求。</w:t>
            </w:r>
          </w:p>
          <w:p w14:paraId="5E317A8E">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3、设备重量：执法记录仪重量≤150克。</w:t>
            </w:r>
          </w:p>
          <w:p w14:paraId="0E9B7614">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4、夜视功能：执法记录仪具有夜视功能在≥3m处能看清人物面部特征；在红外补光范围在3m处覆盖摄录画面≥70%。</w:t>
            </w:r>
          </w:p>
          <w:p w14:paraId="1CC89FC1">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5、异常报警功能：执法记录仪具有电池欠压、存储溢出报警功能，电池欠压报警后电池剩余容量能保证执法记录仪正常摄录≥5min，但≤30min。</w:t>
            </w:r>
          </w:p>
          <w:p w14:paraId="1BDB190E">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▲6、几何失真与视场角：执法记录仪记录的几何失真≤10%，执法记录仪在所有分辨率下的视场角≥115°。</w:t>
            </w:r>
          </w:p>
          <w:p w14:paraId="03AB713D">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7、一键切换分辨率：执法记录仪在摄像状态下，可通过一次按键实现1440P、1296P、1080P、720P、480P五种分辨率之间的切换。</w:t>
            </w:r>
          </w:p>
          <w:p w14:paraId="46A67621">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8、显示屏亮度：执法记录仪在在回放模式显示全场白测试信号。显示全场白测试信号时的最大亮度≥350cd/㎡。</w:t>
            </w:r>
          </w:p>
          <w:p w14:paraId="665890CD">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9、显示屏对比度：执法记录仪能在回放模式分别显示全场白和全场黑测试信号。全场白和全场黑测试信号亮度值的比&gt;400：1。</w:t>
            </w:r>
          </w:p>
          <w:p w14:paraId="09B542A5">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▲10、电池续航时间：执法记录仪采用内置不可更换电池供电，单块电池在1280×720分辨率条件下，可连续摄录时间≥15h。</w:t>
            </w:r>
          </w:p>
          <w:p w14:paraId="56BF128F">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11、视频性能：当执法记录仪视频分辨率为2560×1440，帧率为30帧/s时，视频分辨力≥1100线。</w:t>
            </w:r>
          </w:p>
          <w:p w14:paraId="62CF2B34">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12、拍照性能：拍照像素≥3200万。</w:t>
            </w:r>
          </w:p>
          <w:p w14:paraId="4A7AC279">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13、抓拍：执法记录仪在摄录过程中通过按下照相键应能抓拍与视频分辨率相同的照片，但不影响正常的摄录。</w:t>
            </w:r>
          </w:p>
          <w:p w14:paraId="208A3E53">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▲14、低温试验：执法记录仪采用不可更换电池供电，在温度（-30±3）℃条件下，单块电池供电时</w:t>
            </w:r>
            <w:r>
              <w:rPr>
                <w:rFonts w:hint="eastAsia" w:ascii="仿宋" w:hAnsi="仿宋" w:eastAsia="仿宋" w:cs="宋体"/>
                <w:color w:val="auto"/>
                <w:szCs w:val="21"/>
                <w:highlight w:val="none"/>
              </w:rPr>
              <w:t>间≥5h,</w:t>
            </w:r>
            <w:r>
              <w:rPr>
                <w:rFonts w:hint="eastAsia" w:ascii="仿宋" w:hAnsi="仿宋" w:eastAsia="仿宋" w:cs="宋体"/>
                <w:color w:val="auto"/>
                <w:szCs w:val="21"/>
                <w:highlight w:val="none"/>
              </w:rPr>
              <w:t>试验期间执法记录仪处于工作状态，试验后执法记录仪能正常工作。</w:t>
            </w:r>
          </w:p>
          <w:p w14:paraId="6ACC80AD">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15、计时误差：执法记录仪的时间与标准时的计时误差≤3s/天。</w:t>
            </w:r>
          </w:p>
          <w:p w14:paraId="57A0B3D1">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16、自由跌落：执法记录仪在裸机高度≥2000mm，水泥地面，任意6个面各跌落≥5次，试验期间执法记录仪处于工作状态，试验后执法记录仪能正常工作，存储的数据不丢失。</w:t>
            </w:r>
          </w:p>
          <w:p w14:paraId="1173B52C">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17、充电时间：≤4h。</w:t>
            </w:r>
          </w:p>
          <w:p w14:paraId="78716BB2">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18、语音控制：可通过语音来控制执法记录仪开始/停止录像、立即拍照、重要视频标记、关机等操作。</w:t>
            </w:r>
          </w:p>
          <w:p w14:paraId="5889E008">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19、静音模式：执法记录仪支持静音开机，支持静音录像、录音、拍照；</w:t>
            </w:r>
          </w:p>
          <w:p w14:paraId="0A6DFBC1">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▲20、最大记录间隔：执法记录仪采用分段记录，在分辨率为1080P条件下 ，相邻两段间最大记录间隔时间≤0.1s。</w:t>
            </w:r>
          </w:p>
          <w:p w14:paraId="589521D6">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▲21、移动侦测：执法记录仪具备移动侦测功能，当侦测区域内有移动物体时，样机可自动摄录并标记为重点文件，移动侦测响应时间≤2s。</w:t>
            </w:r>
          </w:p>
          <w:p w14:paraId="44688777">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22、紧急录像：执法记录仪具有开启/关闭紧急摄录功能，在紧急摄录功能开启状态下，在待机状态下发生撞击时，可自动进入录像模式并标记为重要视频。</w:t>
            </w:r>
          </w:p>
          <w:p w14:paraId="3894B033">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23、语音播报：执法记录仪具备语音播报功能，开启后可在开机、录像、录音、重点文件标记时进行语音播报，并具有摄录时长播报及整点报时功能。</w:t>
            </w:r>
          </w:p>
          <w:p w14:paraId="640ED162">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▲24、文件分类标记：可通过菜单设置文件分类，并可通过文件名后缀差异进行区分和保存。</w:t>
            </w:r>
          </w:p>
          <w:p w14:paraId="44F719E9">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25、预录/延录：执法记录仪具备内预录、延录功能，预录时间≥10s，延录时间≥30s。</w:t>
            </w:r>
          </w:p>
          <w:p w14:paraId="72F47AFC">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▲26、最小录制文件大小：执法记录仪一小时最小录制文件大小应支持≤250MB。</w:t>
            </w:r>
          </w:p>
          <w:p w14:paraId="46D49E9E">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27、存储容量：≥32GB。</w:t>
            </w:r>
          </w:p>
          <w:p w14:paraId="78C63B38">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28、投标人若为代理商需提供制造商针对此项目的有效售后服务承诺书并加盖制造商公章。</w:t>
            </w:r>
          </w:p>
          <w:p w14:paraId="32417982">
            <w:pPr>
              <w:spacing w:line="276" w:lineRule="auto"/>
              <w:contextualSpacing/>
              <w:rPr>
                <w:rFonts w:ascii="仿宋" w:hAnsi="仿宋" w:eastAsia="仿宋"/>
                <w:b/>
                <w:color w:val="auto"/>
                <w:szCs w:val="21"/>
                <w:highlight w:val="none"/>
              </w:rPr>
            </w:pPr>
            <w:r>
              <w:rPr>
                <w:rFonts w:hint="eastAsia" w:ascii="仿宋" w:hAnsi="仿宋" w:eastAsia="仿宋" w:cs="宋体"/>
                <w:b/>
                <w:color w:val="auto"/>
                <w:szCs w:val="21"/>
                <w:highlight w:val="none"/>
              </w:rPr>
              <w:t>以上1至26条技术要求基于</w:t>
            </w:r>
            <w:bookmarkStart w:id="33" w:name="OLE_LINK39"/>
            <w:bookmarkStart w:id="34" w:name="OLE_LINK40"/>
            <w:r>
              <w:rPr>
                <w:rFonts w:hint="eastAsia" w:ascii="仿宋" w:hAnsi="仿宋" w:eastAsia="仿宋" w:cs="宋体"/>
                <w:b/>
                <w:color w:val="auto"/>
                <w:szCs w:val="21"/>
                <w:highlight w:val="none"/>
              </w:rPr>
              <w:t>GA/T 947.2-2015行业标准</w:t>
            </w:r>
            <w:bookmarkEnd w:id="33"/>
            <w:bookmarkEnd w:id="34"/>
            <w:r>
              <w:rPr>
                <w:rFonts w:hint="eastAsia" w:ascii="仿宋" w:hAnsi="仿宋" w:eastAsia="仿宋" w:cs="宋体"/>
                <w:b/>
                <w:color w:val="auto"/>
                <w:szCs w:val="21"/>
                <w:highlight w:val="none"/>
              </w:rPr>
              <w:t>需提供具备CMA资质的第三方检测报告复印件作为证明材料（原件备查）并加盖制造商公章，否则视作不满足。</w:t>
            </w:r>
          </w:p>
        </w:tc>
      </w:tr>
      <w:tr w14:paraId="67FF9F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3" w:type="dxa"/>
            <w:vAlign w:val="center"/>
          </w:tcPr>
          <w:p w14:paraId="304A625D">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6</w:t>
            </w:r>
          </w:p>
        </w:tc>
        <w:tc>
          <w:tcPr>
            <w:tcW w:w="1185" w:type="dxa"/>
            <w:vAlign w:val="center"/>
          </w:tcPr>
          <w:p w14:paraId="43CD5A7C">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两轮治安巡逻车</w:t>
            </w:r>
          </w:p>
        </w:tc>
        <w:tc>
          <w:tcPr>
            <w:tcW w:w="6663" w:type="dxa"/>
            <w:vAlign w:val="center"/>
          </w:tcPr>
          <w:p w14:paraId="6EF0E972">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1、速度：≥35 Km/h。</w:t>
            </w:r>
          </w:p>
          <w:p w14:paraId="14AAED36">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2、续驶里程：≥60km。</w:t>
            </w:r>
          </w:p>
          <w:p w14:paraId="19487DF7">
            <w:pPr>
              <w:widowControl/>
              <w:spacing w:line="276" w:lineRule="auto"/>
              <w:contextualSpacing/>
              <w:jc w:val="left"/>
              <w:textAlignment w:val="center"/>
              <w:rPr>
                <w:rFonts w:ascii="仿宋" w:hAnsi="仿宋" w:eastAsia="仿宋" w:cs="宋体"/>
                <w:strike/>
                <w:color w:val="auto"/>
                <w:szCs w:val="21"/>
                <w:highlight w:val="none"/>
              </w:rPr>
            </w:pPr>
            <w:r>
              <w:rPr>
                <w:rFonts w:hint="eastAsia" w:ascii="仿宋" w:hAnsi="仿宋" w:eastAsia="仿宋" w:cs="宋体"/>
                <w:color w:val="auto"/>
                <w:szCs w:val="21"/>
                <w:highlight w:val="none"/>
              </w:rPr>
              <w:t>3、电池：≥60V23A。</w:t>
            </w:r>
          </w:p>
          <w:p w14:paraId="7BE39D72">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4、规格尺寸：≥1750</w:t>
            </w:r>
            <w:r>
              <w:rPr>
                <w:rFonts w:ascii="Arial" w:hAnsi="Arial" w:eastAsia="仿宋" w:cs="Arial"/>
                <w:color w:val="auto"/>
                <w:szCs w:val="21"/>
                <w:highlight w:val="none"/>
              </w:rPr>
              <w:t>×</w:t>
            </w:r>
            <w:r>
              <w:rPr>
                <w:rFonts w:hint="eastAsia" w:ascii="仿宋" w:hAnsi="仿宋" w:eastAsia="仿宋" w:cs="宋体"/>
                <w:color w:val="auto"/>
                <w:szCs w:val="21"/>
                <w:highlight w:val="none"/>
              </w:rPr>
              <w:t>680</w:t>
            </w:r>
            <w:r>
              <w:rPr>
                <w:rFonts w:ascii="Arial" w:hAnsi="Arial" w:eastAsia="仿宋" w:cs="Arial"/>
                <w:color w:val="auto"/>
                <w:szCs w:val="21"/>
                <w:highlight w:val="none"/>
              </w:rPr>
              <w:t>×</w:t>
            </w:r>
            <w:r>
              <w:rPr>
                <w:rFonts w:hint="eastAsia" w:ascii="仿宋" w:hAnsi="仿宋" w:eastAsia="仿宋" w:cs="宋体"/>
                <w:color w:val="auto"/>
                <w:szCs w:val="21"/>
                <w:highlight w:val="none"/>
              </w:rPr>
              <w:t>1100mm。</w:t>
            </w:r>
          </w:p>
          <w:p w14:paraId="78BFFB4F">
            <w:pPr>
              <w:widowControl/>
              <w:spacing w:line="276" w:lineRule="auto"/>
              <w:contextualSpacing/>
              <w:jc w:val="left"/>
              <w:textAlignment w:val="center"/>
              <w:rPr>
                <w:rFonts w:ascii="仿宋" w:hAnsi="仿宋" w:eastAsia="仿宋" w:cs="宋体"/>
                <w:strike/>
                <w:color w:val="auto"/>
                <w:szCs w:val="21"/>
                <w:highlight w:val="none"/>
              </w:rPr>
            </w:pPr>
            <w:r>
              <w:rPr>
                <w:rFonts w:hint="eastAsia" w:ascii="仿宋" w:hAnsi="仿宋" w:eastAsia="仿宋" w:cs="宋体"/>
                <w:color w:val="auto"/>
                <w:szCs w:val="21"/>
                <w:highlight w:val="none"/>
              </w:rPr>
              <w:t>5、大灯：LED。</w:t>
            </w:r>
          </w:p>
          <w:p w14:paraId="65D9ABC8">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6、电机型式：直流无刷电机。</w:t>
            </w:r>
          </w:p>
          <w:p w14:paraId="5010CA8A">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7、电机：TTFAR能量回收电机。</w:t>
            </w:r>
          </w:p>
          <w:p w14:paraId="4A437D6F">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8、额定转速：≥500r/min。</w:t>
            </w:r>
          </w:p>
          <w:p w14:paraId="643C6E24">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9、额定电压：≥60V。</w:t>
            </w:r>
          </w:p>
          <w:p w14:paraId="00CB6A3A">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10、额定输出转矩：≥19N.m。</w:t>
            </w:r>
          </w:p>
          <w:p w14:paraId="5C4753CC">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11、前减震器：液压减震。</w:t>
            </w:r>
          </w:p>
          <w:p w14:paraId="76560F29">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12、后减震器：液压减震。</w:t>
            </w:r>
          </w:p>
          <w:p w14:paraId="68436C24">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13、前制动器：碟刹。</w:t>
            </w:r>
          </w:p>
          <w:p w14:paraId="49A0B7DA">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14、后制动器：鼓刹。</w:t>
            </w:r>
          </w:p>
          <w:p w14:paraId="714B4549">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15、护杠尾箱：大护杠尾箱。</w:t>
            </w:r>
          </w:p>
          <w:p w14:paraId="551F411A">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16、</w:t>
            </w:r>
            <w:bookmarkStart w:id="35" w:name="OLE_LINK10"/>
            <w:r>
              <w:rPr>
                <w:rFonts w:hint="eastAsia" w:ascii="仿宋" w:hAnsi="仿宋" w:eastAsia="仿宋" w:cs="宋体"/>
                <w:color w:val="auto"/>
                <w:szCs w:val="21"/>
                <w:highlight w:val="none"/>
              </w:rPr>
              <w:t>警具</w:t>
            </w:r>
            <w:bookmarkEnd w:id="35"/>
            <w:r>
              <w:rPr>
                <w:rFonts w:hint="eastAsia" w:ascii="仿宋" w:hAnsi="仿宋" w:eastAsia="仿宋" w:cs="宋体"/>
                <w:color w:val="auto"/>
                <w:szCs w:val="21"/>
                <w:highlight w:val="none"/>
              </w:rPr>
              <w:t>：前红蓝爆闪、后警灯杆、喊话器。</w:t>
            </w:r>
          </w:p>
          <w:p w14:paraId="4037C088">
            <w:pPr>
              <w:pStyle w:val="2"/>
              <w:spacing w:line="276" w:lineRule="auto"/>
              <w:ind w:firstLine="0"/>
              <w:rPr>
                <w:rFonts w:ascii="仿宋" w:hAnsi="仿宋" w:eastAsia="仿宋" w:cs="宋体"/>
                <w:color w:val="auto"/>
                <w:szCs w:val="21"/>
                <w:highlight w:val="none"/>
              </w:rPr>
            </w:pPr>
            <w:r>
              <w:rPr>
                <w:rFonts w:hint="eastAsia" w:ascii="仿宋" w:hAnsi="仿宋" w:eastAsia="仿宋" w:cs="宋体"/>
                <w:color w:val="auto"/>
                <w:sz w:val="21"/>
                <w:szCs w:val="21"/>
                <w:highlight w:val="none"/>
              </w:rPr>
              <w:t>注：该车辆仅限在【首都医科大学附属首都儿童医学中心通州院区】封闭园区内部道路行驶，不办理法定机动车牌照。</w:t>
            </w:r>
          </w:p>
        </w:tc>
      </w:tr>
      <w:tr w14:paraId="5DDD2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3" w:type="dxa"/>
            <w:vAlign w:val="center"/>
          </w:tcPr>
          <w:p w14:paraId="4A0984F1">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7</w:t>
            </w:r>
          </w:p>
        </w:tc>
        <w:tc>
          <w:tcPr>
            <w:tcW w:w="1185" w:type="dxa"/>
            <w:vAlign w:val="center"/>
          </w:tcPr>
          <w:p w14:paraId="0BE41EA8">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四轮治安巡逻车</w:t>
            </w:r>
          </w:p>
        </w:tc>
        <w:tc>
          <w:tcPr>
            <w:tcW w:w="6663" w:type="dxa"/>
            <w:vAlign w:val="center"/>
          </w:tcPr>
          <w:p w14:paraId="34F50293">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一、电气系统</w:t>
            </w:r>
          </w:p>
          <w:p w14:paraId="4D3466B0">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1、电控：全智能控制器。</w:t>
            </w:r>
          </w:p>
          <w:p w14:paraId="557C3069">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2、电池：≥48V200AH（磷酸铁锂电池）。</w:t>
            </w:r>
          </w:p>
          <w:p w14:paraId="3A8D27D4">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3、电机：≥5KW三相异步交流电机，电量自动回收功能。</w:t>
            </w:r>
          </w:p>
          <w:p w14:paraId="2D9DF543">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4、充电机：航空铝材质全智能车载式充电机，充满自动断电。</w:t>
            </w:r>
          </w:p>
          <w:p w14:paraId="68BC3B98">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5、充电时间：≤8小时（放电率为80%）。</w:t>
            </w:r>
          </w:p>
          <w:p w14:paraId="6EE005C4">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二、技术参数</w:t>
            </w:r>
          </w:p>
          <w:p w14:paraId="2C48D211">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1、充电输入电压：220V。</w:t>
            </w:r>
          </w:p>
          <w:p w14:paraId="07F10533">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2、长</w:t>
            </w:r>
            <w:r>
              <w:rPr>
                <w:rFonts w:ascii="Arial" w:hAnsi="Arial" w:eastAsia="仿宋" w:cs="Arial"/>
                <w:color w:val="auto"/>
                <w:szCs w:val="21"/>
                <w:highlight w:val="none"/>
              </w:rPr>
              <w:t>×</w:t>
            </w:r>
            <w:r>
              <w:rPr>
                <w:rFonts w:hint="eastAsia" w:ascii="仿宋" w:hAnsi="仿宋" w:eastAsia="仿宋" w:cs="宋体"/>
                <w:color w:val="auto"/>
                <w:szCs w:val="21"/>
                <w:highlight w:val="none"/>
              </w:rPr>
              <w:t>宽</w:t>
            </w:r>
            <w:r>
              <w:rPr>
                <w:rFonts w:ascii="Arial" w:hAnsi="Arial" w:eastAsia="仿宋" w:cs="Arial"/>
                <w:color w:val="auto"/>
                <w:szCs w:val="21"/>
                <w:highlight w:val="none"/>
              </w:rPr>
              <w:t>×</w:t>
            </w:r>
            <w:r>
              <w:rPr>
                <w:rFonts w:hint="eastAsia" w:ascii="仿宋" w:hAnsi="仿宋" w:eastAsia="仿宋" w:cs="宋体"/>
                <w:color w:val="auto"/>
                <w:szCs w:val="21"/>
                <w:highlight w:val="none"/>
              </w:rPr>
              <w:t>高：≥3100×1600×2000mm。</w:t>
            </w:r>
          </w:p>
          <w:p w14:paraId="7005DB3C">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3、整车装备质量：≤850kg。</w:t>
            </w:r>
          </w:p>
          <w:p w14:paraId="010D6C09">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4、整车载荷：≥1000kg。</w:t>
            </w:r>
          </w:p>
          <w:p w14:paraId="72843989">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5、前/后轮距：≥1400/1300mm。</w:t>
            </w:r>
          </w:p>
          <w:p w14:paraId="56D21F9F">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6、轴距：≥2000mm。</w:t>
            </w:r>
          </w:p>
          <w:p w14:paraId="61B6A184">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7、最小离地间隙：≥150mm。</w:t>
            </w:r>
          </w:p>
          <w:p w14:paraId="142793BC">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8、制动距离：≤5m。</w:t>
            </w:r>
          </w:p>
          <w:p w14:paraId="302AAAE0">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9、额定乘员：≥4人。</w:t>
            </w:r>
          </w:p>
          <w:p w14:paraId="6DEB3D02">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10、最大行驶速度：≥30km/h。</w:t>
            </w:r>
          </w:p>
          <w:p w14:paraId="615FAE43">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11、最大爬坡度：≥20%。</w:t>
            </w:r>
          </w:p>
          <w:p w14:paraId="08851BFC">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12、最小转弯半径：≤5m。</w:t>
            </w:r>
          </w:p>
          <w:p w14:paraId="5D16AFD7">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13、续驶里程：≥50km。</w:t>
            </w:r>
          </w:p>
          <w:p w14:paraId="7D062298">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三、车身系统</w:t>
            </w:r>
          </w:p>
          <w:p w14:paraId="5D6D610E">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1、座椅：第一排座椅（1+1，座椅配备安全带），后排双人联排座椅（座椅备安全带）。</w:t>
            </w:r>
          </w:p>
          <w:p w14:paraId="6D6F474A">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2、车体：封闭式一体钣金冲压钢制车身+工程塑料内饰。</w:t>
            </w:r>
          </w:p>
          <w:p w14:paraId="561863AD">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3、仪表：液晶仪表显示。</w:t>
            </w:r>
          </w:p>
          <w:p w14:paraId="315F4213">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4、后视镜：配备外后视镜。</w:t>
            </w:r>
          </w:p>
          <w:p w14:paraId="3292E0E1">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5、显示屏：LED显示屏。</w:t>
            </w:r>
          </w:p>
          <w:p w14:paraId="0091F584">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6、灯光及信号：LED组合前灯、转向灯、组合后尾灯、制动灯、电喇叭及倒车蜂鸣器。</w:t>
            </w:r>
          </w:p>
          <w:p w14:paraId="2983C11B">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7、开关：启动开关、灯光及雨刮组合开关、进退档位开关。</w:t>
            </w:r>
          </w:p>
          <w:p w14:paraId="6221C0F4">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8、车架：碳钢结构焊结车架。</w:t>
            </w:r>
          </w:p>
          <w:p w14:paraId="75B6EA7D">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四、底盘系统</w:t>
            </w:r>
          </w:p>
          <w:p w14:paraId="063BAD0D">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1、动力传动系统：无极变速系统。</w:t>
            </w:r>
          </w:p>
          <w:p w14:paraId="4F6924BB">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2、转向系统：齿轮齿条式方向机(自动间隙补偿功能)+EPS电子助力转向系统。</w:t>
            </w:r>
          </w:p>
          <w:p w14:paraId="60C2756B">
            <w:pPr>
              <w:spacing w:line="276" w:lineRule="auto"/>
              <w:contextualSpacing/>
              <w:rPr>
                <w:rFonts w:ascii="仿宋" w:hAnsi="仿宋" w:eastAsia="仿宋" w:cs="宋体"/>
                <w:color w:val="auto"/>
                <w:szCs w:val="21"/>
                <w:highlight w:val="none"/>
              </w:rPr>
            </w:pPr>
            <w:r>
              <w:rPr>
                <w:rFonts w:hint="eastAsia" w:ascii="仿宋" w:hAnsi="仿宋" w:eastAsia="仿宋" w:cs="宋体"/>
                <w:color w:val="auto"/>
                <w:szCs w:val="21"/>
                <w:highlight w:val="none"/>
              </w:rPr>
              <w:t>3、制动系统：前盘式、后鼓式液压制动器、双回路液压制动、驻车制动装置。</w:t>
            </w:r>
          </w:p>
          <w:p w14:paraId="7683B7AA">
            <w:pPr>
              <w:pStyle w:val="2"/>
              <w:spacing w:line="276" w:lineRule="auto"/>
              <w:ind w:firstLine="0"/>
              <w:rPr>
                <w:rFonts w:ascii="仿宋" w:hAnsi="仿宋" w:eastAsia="仿宋" w:cs="宋体"/>
                <w:color w:val="auto"/>
                <w:szCs w:val="21"/>
                <w:highlight w:val="none"/>
              </w:rPr>
            </w:pPr>
            <w:r>
              <w:rPr>
                <w:rFonts w:hint="eastAsia" w:ascii="仿宋" w:hAnsi="仿宋" w:eastAsia="仿宋" w:cs="宋体"/>
                <w:color w:val="auto"/>
                <w:sz w:val="21"/>
                <w:szCs w:val="21"/>
                <w:highlight w:val="none"/>
              </w:rPr>
              <w:t>注：该车辆仅限在【首都医科大学附属首都儿童医学中心通州院区】封闭园区内部道路行驶，不办理法定机动车牌照。</w:t>
            </w:r>
          </w:p>
        </w:tc>
      </w:tr>
      <w:tr w14:paraId="4CEED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3" w:type="dxa"/>
            <w:vAlign w:val="center"/>
          </w:tcPr>
          <w:p w14:paraId="762D934D">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8</w:t>
            </w:r>
          </w:p>
        </w:tc>
        <w:tc>
          <w:tcPr>
            <w:tcW w:w="1185" w:type="dxa"/>
            <w:vAlign w:val="center"/>
          </w:tcPr>
          <w:p w14:paraId="0EBA0C58">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安防设备提示牌</w:t>
            </w:r>
          </w:p>
        </w:tc>
        <w:tc>
          <w:tcPr>
            <w:tcW w:w="6663" w:type="dxa"/>
            <w:vAlign w:val="center"/>
          </w:tcPr>
          <w:p w14:paraId="5D23A392">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1、支持墙面贴装。</w:t>
            </w:r>
          </w:p>
          <w:p w14:paraId="45CA20C8">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2、尺寸：300×200mm。</w:t>
            </w:r>
          </w:p>
          <w:p w14:paraId="441A7394">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3、材质：ABS板。</w:t>
            </w:r>
          </w:p>
          <w:p w14:paraId="003AF8B2">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4、厚度≥2mm。</w:t>
            </w:r>
          </w:p>
        </w:tc>
      </w:tr>
      <w:tr w14:paraId="13C083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3" w:type="dxa"/>
            <w:vAlign w:val="center"/>
          </w:tcPr>
          <w:p w14:paraId="308F7AC8">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9</w:t>
            </w:r>
          </w:p>
        </w:tc>
        <w:tc>
          <w:tcPr>
            <w:tcW w:w="1185" w:type="dxa"/>
            <w:vAlign w:val="center"/>
          </w:tcPr>
          <w:p w14:paraId="386D129D">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安防设备提示牌</w:t>
            </w:r>
          </w:p>
        </w:tc>
        <w:tc>
          <w:tcPr>
            <w:tcW w:w="6663" w:type="dxa"/>
            <w:vAlign w:val="center"/>
          </w:tcPr>
          <w:p w14:paraId="1799D2A9">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1、适用场合：室外。</w:t>
            </w:r>
          </w:p>
          <w:p w14:paraId="7E5BD602">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2、尺寸：300×200mm。</w:t>
            </w:r>
          </w:p>
          <w:p w14:paraId="07658EB1">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3、材质：铝塑板。</w:t>
            </w:r>
          </w:p>
          <w:p w14:paraId="05868B7D">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4、厚度≥3mm。</w:t>
            </w:r>
          </w:p>
        </w:tc>
      </w:tr>
      <w:tr w14:paraId="442B47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3" w:type="dxa"/>
            <w:vAlign w:val="center"/>
          </w:tcPr>
          <w:p w14:paraId="0FF9B62A">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10</w:t>
            </w:r>
          </w:p>
        </w:tc>
        <w:tc>
          <w:tcPr>
            <w:tcW w:w="1185" w:type="dxa"/>
            <w:vAlign w:val="center"/>
          </w:tcPr>
          <w:p w14:paraId="4D3D8337">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医院安全秩序宣传标识</w:t>
            </w:r>
          </w:p>
        </w:tc>
        <w:tc>
          <w:tcPr>
            <w:tcW w:w="6663" w:type="dxa"/>
            <w:vAlign w:val="center"/>
          </w:tcPr>
          <w:p w14:paraId="7E195C39">
            <w:pPr>
              <w:widowControl/>
              <w:spacing w:line="276" w:lineRule="auto"/>
              <w:contextualSpacing/>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1、支持墙面固定安装。</w:t>
            </w:r>
          </w:p>
          <w:p w14:paraId="696A017B">
            <w:pPr>
              <w:widowControl/>
              <w:spacing w:line="276" w:lineRule="auto"/>
              <w:contextualSpacing/>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2、尺寸：400×500mm。</w:t>
            </w:r>
          </w:p>
          <w:p w14:paraId="475795A0">
            <w:pPr>
              <w:widowControl/>
              <w:spacing w:line="276" w:lineRule="auto"/>
              <w:contextualSpacing/>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3、材质：ABS 板。</w:t>
            </w:r>
          </w:p>
          <w:p w14:paraId="098B9E97">
            <w:pPr>
              <w:widowControl/>
              <w:spacing w:line="276" w:lineRule="auto"/>
              <w:contextualSpacing/>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4、厚度≥2mm。</w:t>
            </w:r>
          </w:p>
        </w:tc>
      </w:tr>
      <w:tr w14:paraId="580C8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3" w:type="dxa"/>
            <w:vAlign w:val="center"/>
          </w:tcPr>
          <w:p w14:paraId="787AF511">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11</w:t>
            </w:r>
          </w:p>
        </w:tc>
        <w:tc>
          <w:tcPr>
            <w:tcW w:w="1185" w:type="dxa"/>
            <w:vAlign w:val="center"/>
          </w:tcPr>
          <w:p w14:paraId="7BEC20DC">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医院安全秩序宣传标识</w:t>
            </w:r>
          </w:p>
        </w:tc>
        <w:tc>
          <w:tcPr>
            <w:tcW w:w="6663" w:type="dxa"/>
            <w:vAlign w:val="center"/>
          </w:tcPr>
          <w:p w14:paraId="45336D63">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1、立式宣传牌。</w:t>
            </w:r>
          </w:p>
          <w:p w14:paraId="6B13AC7E">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2、尺寸：800×1200mm（带底座）。</w:t>
            </w:r>
          </w:p>
          <w:p w14:paraId="6121C668">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3、材质：亚克力面板+铝合金边框+双注水底座。</w:t>
            </w:r>
          </w:p>
        </w:tc>
      </w:tr>
      <w:tr w14:paraId="1A728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3" w:type="dxa"/>
            <w:vAlign w:val="center"/>
          </w:tcPr>
          <w:p w14:paraId="4CC63D98">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12</w:t>
            </w:r>
          </w:p>
        </w:tc>
        <w:tc>
          <w:tcPr>
            <w:tcW w:w="1185" w:type="dxa"/>
            <w:vAlign w:val="center"/>
          </w:tcPr>
          <w:p w14:paraId="5FE2B7B8">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治安岗亭</w:t>
            </w:r>
          </w:p>
        </w:tc>
        <w:tc>
          <w:tcPr>
            <w:tcW w:w="6663" w:type="dxa"/>
            <w:vAlign w:val="center"/>
          </w:tcPr>
          <w:p w14:paraId="4DFCFED5">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1、支持按照实际场地定制。</w:t>
            </w:r>
          </w:p>
          <w:p w14:paraId="5F378449">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2、外形尺寸：宽3000*长3000*高2400mm。</w:t>
            </w:r>
          </w:p>
          <w:p w14:paraId="3608B6EE">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3、主体材料：不锈钢板。</w:t>
            </w:r>
          </w:p>
          <w:p w14:paraId="409E3A85">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4、推拉窗：不锈钢方管。</w:t>
            </w:r>
          </w:p>
          <w:p w14:paraId="1E3817B9">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5、玻璃：浮法玻璃≥5mm厚。</w:t>
            </w:r>
          </w:p>
          <w:p w14:paraId="08A5D21D">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6、照 明：LED冷光吸顶灯一盏。</w:t>
            </w:r>
          </w:p>
          <w:p w14:paraId="71C28764">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7、配电系统：漏电保护器一组。</w:t>
            </w:r>
          </w:p>
          <w:p w14:paraId="1208CD21">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8、控制开关一组。</w:t>
            </w:r>
          </w:p>
          <w:p w14:paraId="1A9CC70A">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9、五孔电源插座两组。</w:t>
            </w:r>
          </w:p>
          <w:p w14:paraId="59A0E2E3">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10、空调插座一组。</w:t>
            </w:r>
          </w:p>
        </w:tc>
      </w:tr>
      <w:tr w14:paraId="5FD0E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3" w:type="dxa"/>
            <w:vAlign w:val="center"/>
          </w:tcPr>
          <w:p w14:paraId="63A38639">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13</w:t>
            </w:r>
          </w:p>
        </w:tc>
        <w:tc>
          <w:tcPr>
            <w:tcW w:w="1185" w:type="dxa"/>
            <w:vAlign w:val="center"/>
          </w:tcPr>
          <w:p w14:paraId="30C5A47B">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应急处置台</w:t>
            </w:r>
          </w:p>
        </w:tc>
        <w:tc>
          <w:tcPr>
            <w:tcW w:w="6663" w:type="dxa"/>
            <w:vAlign w:val="center"/>
          </w:tcPr>
          <w:p w14:paraId="2909E130">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1、支持按照实际场地定制。</w:t>
            </w:r>
          </w:p>
          <w:p w14:paraId="14E0151D">
            <w:pPr>
              <w:widowControl/>
              <w:spacing w:line="276" w:lineRule="auto"/>
              <w:contextualSpacing/>
              <w:jc w:val="left"/>
              <w:textAlignment w:val="center"/>
              <w:rPr>
                <w:rFonts w:ascii="仿宋" w:hAnsi="仿宋" w:eastAsia="仿宋" w:cs="宋体"/>
                <w:strike/>
                <w:color w:val="auto"/>
                <w:szCs w:val="21"/>
                <w:highlight w:val="none"/>
              </w:rPr>
            </w:pPr>
            <w:r>
              <w:rPr>
                <w:rFonts w:hint="eastAsia" w:ascii="仿宋" w:hAnsi="仿宋" w:eastAsia="仿宋" w:cs="宋体"/>
                <w:color w:val="auto"/>
                <w:szCs w:val="21"/>
                <w:highlight w:val="none"/>
              </w:rPr>
              <w:t>2、主体材料：不锈钢。</w:t>
            </w:r>
          </w:p>
          <w:p w14:paraId="618DCE16">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3、外形尺寸：≤长1600mm*宽700mm*高750mm。</w:t>
            </w:r>
          </w:p>
          <w:p w14:paraId="2CFDBBB2">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4、带抽屉：现场根据实际需求协商后按照要求制作。</w:t>
            </w:r>
          </w:p>
        </w:tc>
      </w:tr>
      <w:tr w14:paraId="475EE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3" w:type="dxa"/>
            <w:vAlign w:val="center"/>
          </w:tcPr>
          <w:p w14:paraId="606538B1">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14</w:t>
            </w:r>
          </w:p>
        </w:tc>
        <w:tc>
          <w:tcPr>
            <w:tcW w:w="1185" w:type="dxa"/>
            <w:vAlign w:val="center"/>
          </w:tcPr>
          <w:p w14:paraId="04C4EDA0">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防暴器材柜</w:t>
            </w:r>
          </w:p>
        </w:tc>
        <w:tc>
          <w:tcPr>
            <w:tcW w:w="6663" w:type="dxa"/>
            <w:vAlign w:val="center"/>
          </w:tcPr>
          <w:p w14:paraId="2BBF74ED">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1、材质：钢件部分全部优质冷轧钢板；</w:t>
            </w:r>
          </w:p>
          <w:p w14:paraId="005B158A">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2、颜色：主体警用蓝，透明钢化玻璃；</w:t>
            </w:r>
          </w:p>
          <w:p w14:paraId="31BB1312">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3、规格尺寸：1800±10mmX1200±5mmX400±5mm；</w:t>
            </w:r>
          </w:p>
          <w:p w14:paraId="77A79451">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4、板材厚度：≥0.5mm；</w:t>
            </w:r>
          </w:p>
          <w:p w14:paraId="0E60087C">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5、</w:t>
            </w:r>
            <w:r>
              <w:rPr>
                <w:rFonts w:hint="eastAsia" w:ascii="仿宋" w:hAnsi="仿宋" w:eastAsia="仿宋" w:cs="宋体"/>
                <w:color w:val="auto"/>
                <w:kern w:val="0"/>
                <w:szCs w:val="21"/>
                <w:highlight w:val="none"/>
                <w:lang w:bidi="ar"/>
              </w:rPr>
              <w:t>防暴器材柜</w:t>
            </w:r>
            <w:r>
              <w:rPr>
                <w:rFonts w:hint="eastAsia" w:ascii="仿宋" w:hAnsi="仿宋" w:eastAsia="仿宋" w:cs="宋体"/>
                <w:color w:val="auto"/>
                <w:szCs w:val="21"/>
                <w:highlight w:val="none"/>
              </w:rPr>
              <w:t>字样（白色丝网印刷于两扇柜门镶嵌的钢化玻璃上面）；</w:t>
            </w:r>
          </w:p>
          <w:p w14:paraId="01804989">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6、结构：整体双开门，内部右侧为三层置物空间、左侧可存放防暴钢叉等大型装备。</w:t>
            </w:r>
          </w:p>
        </w:tc>
      </w:tr>
      <w:tr w14:paraId="12AE9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3" w:type="dxa"/>
            <w:vAlign w:val="center"/>
          </w:tcPr>
          <w:p w14:paraId="4F37EDE3">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15</w:t>
            </w:r>
          </w:p>
        </w:tc>
        <w:tc>
          <w:tcPr>
            <w:tcW w:w="1185" w:type="dxa"/>
            <w:vAlign w:val="center"/>
          </w:tcPr>
          <w:p w14:paraId="03D5ADA0">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防暴手电</w:t>
            </w:r>
          </w:p>
        </w:tc>
        <w:tc>
          <w:tcPr>
            <w:tcW w:w="6663" w:type="dxa"/>
            <w:vAlign w:val="center"/>
          </w:tcPr>
          <w:p w14:paraId="0A8689CE">
            <w:pPr>
              <w:widowControl/>
              <w:numPr>
                <w:ilvl w:val="0"/>
                <w:numId w:val="2"/>
              </w:numPr>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符合《公安单警装备-警用强光手电制造与验收规范》要求；</w:t>
            </w:r>
          </w:p>
          <w:p w14:paraId="4BB78393">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2、光束强度：强光≥130Lx（5米处）、弱光（140--150）Lx（1米处）；</w:t>
            </w:r>
          </w:p>
          <w:p w14:paraId="6E0FAAEE">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3、具有防止过充保护、过放保护、防短路功能；</w:t>
            </w:r>
          </w:p>
          <w:p w14:paraId="436D0832">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4、颜色：高硬度合金外壳，黑色，字样图案为白色；</w:t>
            </w:r>
          </w:p>
          <w:p w14:paraId="70B9B21F">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5、电池容量：≥2300mAh；</w:t>
            </w:r>
          </w:p>
          <w:p w14:paraId="715DBA63">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6、在强光、弱光、强光爆闪模式下转换，在任何模式下均可以直接关闭手电；</w:t>
            </w:r>
          </w:p>
        </w:tc>
      </w:tr>
      <w:tr w14:paraId="6D1B1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3" w:type="dxa"/>
            <w:vAlign w:val="center"/>
          </w:tcPr>
          <w:p w14:paraId="46100CF7">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16</w:t>
            </w:r>
          </w:p>
        </w:tc>
        <w:tc>
          <w:tcPr>
            <w:tcW w:w="1185" w:type="dxa"/>
            <w:vAlign w:val="center"/>
          </w:tcPr>
          <w:p w14:paraId="4D7CCD7E">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防暴头盔</w:t>
            </w:r>
          </w:p>
        </w:tc>
        <w:tc>
          <w:tcPr>
            <w:tcW w:w="6663" w:type="dxa"/>
            <w:vAlign w:val="center"/>
          </w:tcPr>
          <w:p w14:paraId="4253AC98">
            <w:pPr>
              <w:widowControl/>
              <w:numPr>
                <w:ilvl w:val="0"/>
                <w:numId w:val="3"/>
              </w:numPr>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符合《GA 296-2001警用勤务头盔》要求。</w:t>
            </w:r>
          </w:p>
          <w:p w14:paraId="1D52D306">
            <w:pPr>
              <w:widowControl/>
              <w:spacing w:line="276" w:lineRule="auto"/>
              <w:contextualSpacing/>
              <w:jc w:val="left"/>
              <w:textAlignment w:val="center"/>
              <w:rPr>
                <w:rFonts w:ascii="仿宋" w:hAnsi="仿宋" w:eastAsia="仿宋"/>
                <w:color w:val="auto"/>
                <w:szCs w:val="21"/>
                <w:highlight w:val="none"/>
              </w:rPr>
            </w:pPr>
            <w:r>
              <w:rPr>
                <w:rFonts w:hint="eastAsia" w:ascii="仿宋" w:hAnsi="仿宋" w:eastAsia="仿宋" w:cs="宋体"/>
                <w:color w:val="auto"/>
                <w:szCs w:val="21"/>
                <w:highlight w:val="none"/>
              </w:rPr>
              <w:t>2、材料：壳体采用工程塑料制作。</w:t>
            </w:r>
          </w:p>
        </w:tc>
      </w:tr>
      <w:tr w14:paraId="77F82B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3" w:type="dxa"/>
            <w:vAlign w:val="center"/>
          </w:tcPr>
          <w:p w14:paraId="08EDC4B6">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17</w:t>
            </w:r>
          </w:p>
        </w:tc>
        <w:tc>
          <w:tcPr>
            <w:tcW w:w="1185" w:type="dxa"/>
            <w:vAlign w:val="center"/>
          </w:tcPr>
          <w:p w14:paraId="59FAB121">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防暴盾牌</w:t>
            </w:r>
          </w:p>
        </w:tc>
        <w:tc>
          <w:tcPr>
            <w:tcW w:w="6663" w:type="dxa"/>
            <w:vAlign w:val="center"/>
          </w:tcPr>
          <w:p w14:paraId="17AC9C1B">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1、材质：聚碳酸酯（PC）。</w:t>
            </w:r>
          </w:p>
          <w:p w14:paraId="5F40D176">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2、握把：握把无毛刺、尖角等缺陷。</w:t>
            </w:r>
          </w:p>
          <w:p w14:paraId="5B8A3B46">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3、规格尺寸：≥500mm×900mm×3.0mm。</w:t>
            </w:r>
          </w:p>
          <w:p w14:paraId="62FF308E">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4、重量：≤3kg。</w:t>
            </w:r>
          </w:p>
        </w:tc>
      </w:tr>
      <w:tr w14:paraId="26709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3" w:type="dxa"/>
            <w:vAlign w:val="center"/>
          </w:tcPr>
          <w:p w14:paraId="005CAAC8">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18</w:t>
            </w:r>
          </w:p>
        </w:tc>
        <w:tc>
          <w:tcPr>
            <w:tcW w:w="1185" w:type="dxa"/>
            <w:vAlign w:val="center"/>
          </w:tcPr>
          <w:p w14:paraId="66AB813D">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防刺服</w:t>
            </w:r>
          </w:p>
        </w:tc>
        <w:tc>
          <w:tcPr>
            <w:tcW w:w="6663" w:type="dxa"/>
            <w:vAlign w:val="center"/>
          </w:tcPr>
          <w:p w14:paraId="54DABCEA">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1、执行标准：</w:t>
            </w:r>
            <w:bookmarkStart w:id="36" w:name="OLE_LINK47"/>
            <w:bookmarkStart w:id="37" w:name="OLE_LINK46"/>
            <w:bookmarkStart w:id="38" w:name="OLE_LINK45"/>
            <w:r>
              <w:rPr>
                <w:rFonts w:hint="eastAsia" w:ascii="仿宋" w:hAnsi="仿宋" w:eastAsia="仿宋" w:cs="宋体"/>
                <w:color w:val="auto"/>
                <w:szCs w:val="21"/>
                <w:highlight w:val="none"/>
              </w:rPr>
              <w:t>GA68-2024《警用防刺服》</w:t>
            </w:r>
            <w:bookmarkEnd w:id="36"/>
            <w:bookmarkEnd w:id="37"/>
            <w:bookmarkEnd w:id="38"/>
            <w:r>
              <w:rPr>
                <w:rFonts w:hint="eastAsia" w:ascii="仿宋" w:hAnsi="仿宋" w:eastAsia="仿宋" w:cs="宋体"/>
                <w:color w:val="auto"/>
                <w:szCs w:val="21"/>
                <w:highlight w:val="none"/>
              </w:rPr>
              <w:t>；</w:t>
            </w:r>
          </w:p>
          <w:p w14:paraId="69191C35">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2、防护层面积：≥0.30㎡；</w:t>
            </w:r>
          </w:p>
          <w:p w14:paraId="158E7E92">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3、防护层质量：≤2.2Kg；</w:t>
            </w:r>
          </w:p>
          <w:p w14:paraId="2E7C2D42">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4、防刺性能：用标准试验刀具以24J动能，按0°、45°刺入角度刺入产品，刀尖不穿透产品；</w:t>
            </w:r>
          </w:p>
        </w:tc>
      </w:tr>
      <w:tr w14:paraId="288CD6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3" w:type="dxa"/>
            <w:vAlign w:val="center"/>
          </w:tcPr>
          <w:p w14:paraId="032FDDFB">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19</w:t>
            </w:r>
          </w:p>
        </w:tc>
        <w:tc>
          <w:tcPr>
            <w:tcW w:w="1185" w:type="dxa"/>
            <w:vAlign w:val="center"/>
          </w:tcPr>
          <w:p w14:paraId="46AD4BA4">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防割手套</w:t>
            </w:r>
          </w:p>
        </w:tc>
        <w:tc>
          <w:tcPr>
            <w:tcW w:w="6663" w:type="dxa"/>
            <w:vAlign w:val="center"/>
          </w:tcPr>
          <w:p w14:paraId="72FFB78B">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 xml:space="preserve">1、颜色：黑色； </w:t>
            </w:r>
          </w:p>
          <w:p w14:paraId="7E1FB284">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2、材料：超高分子量聚乙烯纤维包覆不锈钢丝的包芯纱织成；</w:t>
            </w:r>
          </w:p>
          <w:p w14:paraId="3F5E9DF5">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3、适应温度：-20℃~+55℃；</w:t>
            </w:r>
          </w:p>
          <w:p w14:paraId="15B1D902">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4、性能要求：防割性能符合《GA614-2006警用防割手套》的要求；</w:t>
            </w:r>
          </w:p>
        </w:tc>
      </w:tr>
      <w:tr w14:paraId="54EF7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3" w:type="dxa"/>
            <w:vAlign w:val="center"/>
          </w:tcPr>
          <w:p w14:paraId="2F1B1C43">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20</w:t>
            </w:r>
          </w:p>
        </w:tc>
        <w:tc>
          <w:tcPr>
            <w:tcW w:w="1185" w:type="dxa"/>
            <w:vAlign w:val="center"/>
          </w:tcPr>
          <w:p w14:paraId="06AEB91A">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肩闪</w:t>
            </w:r>
          </w:p>
        </w:tc>
        <w:tc>
          <w:tcPr>
            <w:tcW w:w="6663" w:type="dxa"/>
            <w:vAlign w:val="center"/>
          </w:tcPr>
          <w:p w14:paraId="14BE2C4D">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1、肩灯由红蓝LED频闪发光单元、白光LED照明发光单元、外壳、内置可充电电池、控制电路、肩袢不锈钢挂扣、充电模块等组成；</w:t>
            </w:r>
          </w:p>
          <w:p w14:paraId="1081D866">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2、持续工作：≥15小时；</w:t>
            </w:r>
          </w:p>
          <w:p w14:paraId="3A366E03">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3、颜色：红蓝（标配）；</w:t>
            </w:r>
          </w:p>
          <w:p w14:paraId="420D59CE">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4、晴朗夜间可实视距离效果：≥500米；</w:t>
            </w:r>
          </w:p>
          <w:p w14:paraId="6ED39F1A">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5、外观尺寸：≥85mm×37mm×32mm；</w:t>
            </w:r>
          </w:p>
        </w:tc>
      </w:tr>
      <w:tr w14:paraId="75A95C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3" w:type="dxa"/>
            <w:vAlign w:val="center"/>
          </w:tcPr>
          <w:p w14:paraId="048D5F6D">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21</w:t>
            </w:r>
          </w:p>
        </w:tc>
        <w:tc>
          <w:tcPr>
            <w:tcW w:w="1185" w:type="dxa"/>
            <w:vAlign w:val="center"/>
          </w:tcPr>
          <w:p w14:paraId="0D17408C">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LED引导棒</w:t>
            </w:r>
          </w:p>
        </w:tc>
        <w:tc>
          <w:tcPr>
            <w:tcW w:w="6663" w:type="dxa"/>
            <w:vAlign w:val="center"/>
          </w:tcPr>
          <w:p w14:paraId="27B55056">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1、LED灯。</w:t>
            </w:r>
          </w:p>
          <w:p w14:paraId="45145E54">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2、长度：≥50cm。</w:t>
            </w:r>
          </w:p>
          <w:p w14:paraId="539D19F0">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3、普通电池款。</w:t>
            </w:r>
          </w:p>
        </w:tc>
      </w:tr>
      <w:tr w14:paraId="796C9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3" w:type="dxa"/>
            <w:vAlign w:val="center"/>
          </w:tcPr>
          <w:p w14:paraId="25D1CF09">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22</w:t>
            </w:r>
          </w:p>
        </w:tc>
        <w:tc>
          <w:tcPr>
            <w:tcW w:w="1185" w:type="dxa"/>
            <w:vAlign w:val="center"/>
          </w:tcPr>
          <w:p w14:paraId="4B28E05C">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防暴钢叉</w:t>
            </w:r>
          </w:p>
        </w:tc>
        <w:tc>
          <w:tcPr>
            <w:tcW w:w="6663" w:type="dxa"/>
            <w:vAlign w:val="center"/>
          </w:tcPr>
          <w:p w14:paraId="2603DF21">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1、材质：杆体不锈钢；手柄为黑色复合材料；</w:t>
            </w:r>
          </w:p>
          <w:p w14:paraId="621E0B57">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2、杆体重量：≤1.7公斤；</w:t>
            </w:r>
          </w:p>
          <w:p w14:paraId="3F8EBA4F">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3、收缩长度：≤1.4米；</w:t>
            </w:r>
          </w:p>
          <w:p w14:paraId="6001C7F7">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4、伸展长度：≥2.0米；</w:t>
            </w:r>
          </w:p>
          <w:p w14:paraId="48275B36">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5、月牙环最大间距：50±5CM；</w:t>
            </w:r>
          </w:p>
        </w:tc>
      </w:tr>
      <w:tr w14:paraId="117E8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3" w:type="dxa"/>
            <w:vAlign w:val="center"/>
          </w:tcPr>
          <w:p w14:paraId="31F6CF5A">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23</w:t>
            </w:r>
          </w:p>
        </w:tc>
        <w:tc>
          <w:tcPr>
            <w:tcW w:w="1185" w:type="dxa"/>
            <w:vAlign w:val="center"/>
          </w:tcPr>
          <w:p w14:paraId="10315AC5">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抓捕脚叉</w:t>
            </w:r>
          </w:p>
        </w:tc>
        <w:tc>
          <w:tcPr>
            <w:tcW w:w="6663" w:type="dxa"/>
            <w:vAlign w:val="center"/>
          </w:tcPr>
          <w:p w14:paraId="33339A26">
            <w:pPr>
              <w:widowControl/>
              <w:spacing w:line="276" w:lineRule="auto"/>
              <w:contextualSpacing/>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1、头部月牙固定部分材料：复合材料；</w:t>
            </w:r>
          </w:p>
          <w:p w14:paraId="2C1AECB7">
            <w:pPr>
              <w:widowControl/>
              <w:spacing w:line="276" w:lineRule="auto"/>
              <w:contextualSpacing/>
              <w:textAlignment w:val="center"/>
              <w:rPr>
                <w:rFonts w:ascii="仿宋" w:hAnsi="仿宋" w:eastAsia="仿宋" w:cs="宋体"/>
                <w:strike/>
                <w:color w:val="auto"/>
                <w:szCs w:val="21"/>
                <w:highlight w:val="none"/>
              </w:rPr>
            </w:pPr>
            <w:r>
              <w:rPr>
                <w:rFonts w:hint="eastAsia" w:ascii="仿宋" w:hAnsi="仿宋" w:eastAsia="仿宋" w:cs="宋体"/>
                <w:color w:val="auto"/>
                <w:szCs w:val="21"/>
                <w:highlight w:val="none"/>
              </w:rPr>
              <w:t>2、管体及月牙材料：合金铝；</w:t>
            </w:r>
          </w:p>
          <w:p w14:paraId="204A9B8B">
            <w:pPr>
              <w:widowControl/>
              <w:spacing w:line="276" w:lineRule="auto"/>
              <w:contextualSpacing/>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3、管体：直径35±1mm（后手持杆）、直径30±1mm（前加长杆）、壁厚：≥2mm；</w:t>
            </w:r>
          </w:p>
          <w:p w14:paraId="36C60B54">
            <w:pPr>
              <w:widowControl/>
              <w:spacing w:line="276" w:lineRule="auto"/>
              <w:contextualSpacing/>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4、收缩：≤130cm、伸长：≥220cm；</w:t>
            </w:r>
          </w:p>
          <w:p w14:paraId="43E1A11C">
            <w:pPr>
              <w:widowControl/>
              <w:spacing w:line="276" w:lineRule="auto"/>
              <w:contextualSpacing/>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5、月牙最大开启：内≥30cm；</w:t>
            </w:r>
          </w:p>
          <w:p w14:paraId="082CA107">
            <w:pPr>
              <w:widowControl/>
              <w:spacing w:line="276" w:lineRule="auto"/>
              <w:contextualSpacing/>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6、重量：2.5±0.2kg；</w:t>
            </w:r>
          </w:p>
        </w:tc>
      </w:tr>
      <w:tr w14:paraId="4B4384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3" w:type="dxa"/>
            <w:vAlign w:val="center"/>
          </w:tcPr>
          <w:p w14:paraId="78204D1F">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24</w:t>
            </w:r>
          </w:p>
        </w:tc>
        <w:tc>
          <w:tcPr>
            <w:tcW w:w="1185" w:type="dxa"/>
            <w:vAlign w:val="center"/>
          </w:tcPr>
          <w:p w14:paraId="347E40B8">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短警棍</w:t>
            </w:r>
          </w:p>
        </w:tc>
        <w:tc>
          <w:tcPr>
            <w:tcW w:w="6663" w:type="dxa"/>
            <w:vAlign w:val="center"/>
          </w:tcPr>
          <w:p w14:paraId="590AAA88">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1、警棍的棍体表面应无明显变形，不应有起泡、腐蚀等缺陷；</w:t>
            </w:r>
          </w:p>
          <w:p w14:paraId="25A258A7">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2、颜色：黑色；</w:t>
            </w:r>
          </w:p>
          <w:p w14:paraId="3734CE27">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3、棍体总长度：≥450mm；</w:t>
            </w:r>
          </w:p>
          <w:p w14:paraId="3AED6F94">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4、质量：≤600g；</w:t>
            </w:r>
          </w:p>
          <w:p w14:paraId="15E7BE03">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5、表面续燃时间≤5S；</w:t>
            </w:r>
          </w:p>
          <w:p w14:paraId="5BA43780">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6、材料：橡胶。</w:t>
            </w:r>
          </w:p>
        </w:tc>
      </w:tr>
      <w:tr w14:paraId="377BA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3" w:type="dxa"/>
            <w:vAlign w:val="center"/>
          </w:tcPr>
          <w:p w14:paraId="3828722E">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25</w:t>
            </w:r>
          </w:p>
        </w:tc>
        <w:tc>
          <w:tcPr>
            <w:tcW w:w="1185" w:type="dxa"/>
            <w:vAlign w:val="center"/>
          </w:tcPr>
          <w:p w14:paraId="18BD99BB">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警用喊话器</w:t>
            </w:r>
          </w:p>
        </w:tc>
        <w:tc>
          <w:tcPr>
            <w:tcW w:w="6663" w:type="dxa"/>
            <w:vAlign w:val="center"/>
          </w:tcPr>
          <w:p w14:paraId="625B28DD">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1、基本功能：应具有喊话、USB插口、警报、录音、放音、音量大小调节功能；</w:t>
            </w:r>
          </w:p>
          <w:p w14:paraId="6C27CCD0">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2、满电连续工作时间：≥10h；</w:t>
            </w:r>
          </w:p>
          <w:p w14:paraId="7CC27064">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3、输出声级（1米处）：≥110d(B)A；</w:t>
            </w:r>
          </w:p>
          <w:p w14:paraId="6457AE80">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4、功率：≥20W；</w:t>
            </w:r>
          </w:p>
          <w:p w14:paraId="49FA70B5">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5、传送距离：＞200m；</w:t>
            </w:r>
          </w:p>
          <w:p w14:paraId="79310E45">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6、录音时间：≥150s；</w:t>
            </w:r>
          </w:p>
          <w:p w14:paraId="22ECC75A">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7、外观尺寸：口径×长度(130㎜×200mm)±2mm；</w:t>
            </w:r>
          </w:p>
        </w:tc>
      </w:tr>
      <w:tr w14:paraId="736EC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3" w:type="dxa"/>
            <w:vAlign w:val="center"/>
          </w:tcPr>
          <w:p w14:paraId="7F7680BE">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26</w:t>
            </w:r>
          </w:p>
        </w:tc>
        <w:tc>
          <w:tcPr>
            <w:tcW w:w="1185" w:type="dxa"/>
            <w:vAlign w:val="center"/>
          </w:tcPr>
          <w:p w14:paraId="510520A1">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警戒带</w:t>
            </w:r>
          </w:p>
        </w:tc>
        <w:tc>
          <w:tcPr>
            <w:tcW w:w="6663" w:type="dxa"/>
            <w:vAlign w:val="center"/>
          </w:tcPr>
          <w:p w14:paraId="16EC24E2">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1、材质：ABS工程塑料+涤纶；</w:t>
            </w:r>
          </w:p>
          <w:p w14:paraId="591E8D63">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 xml:space="preserve">2、带身长度：≥100m； </w:t>
            </w:r>
          </w:p>
          <w:p w14:paraId="4E95F2FD">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3、带身宽度：≥50mm；</w:t>
            </w:r>
          </w:p>
          <w:p w14:paraId="69A04056">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 xml:space="preserve">4、带身厚度：≥0.1mm； </w:t>
            </w:r>
          </w:p>
          <w:p w14:paraId="266DA0DA">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5、重量：≤1000g；</w:t>
            </w:r>
          </w:p>
        </w:tc>
      </w:tr>
      <w:tr w14:paraId="60D47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3" w:type="dxa"/>
            <w:vAlign w:val="center"/>
          </w:tcPr>
          <w:p w14:paraId="0946A442">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27</w:t>
            </w:r>
          </w:p>
        </w:tc>
        <w:tc>
          <w:tcPr>
            <w:tcW w:w="1185" w:type="dxa"/>
            <w:vAlign w:val="center"/>
          </w:tcPr>
          <w:p w14:paraId="5150F3DA">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长警棍</w:t>
            </w:r>
          </w:p>
        </w:tc>
        <w:tc>
          <w:tcPr>
            <w:tcW w:w="6663" w:type="dxa"/>
            <w:vAlign w:val="center"/>
          </w:tcPr>
          <w:p w14:paraId="2A35A710">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1、警棍的棍体表面应无明显变形，不应有起泡、腐蚀等缺陷；</w:t>
            </w:r>
          </w:p>
          <w:p w14:paraId="7D30E1C0">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2、颜色：黑色；</w:t>
            </w:r>
          </w:p>
          <w:p w14:paraId="124D1CA2">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3、棍体总长度：≥450mm；</w:t>
            </w:r>
          </w:p>
          <w:p w14:paraId="2346EFE3">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4、质量：≤600g；</w:t>
            </w:r>
          </w:p>
          <w:p w14:paraId="2E658BAD">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5、表面续燃时间：≤5S；</w:t>
            </w:r>
          </w:p>
          <w:p w14:paraId="6C547017">
            <w:pPr>
              <w:widowControl/>
              <w:spacing w:line="276" w:lineRule="auto"/>
              <w:contextualSpacing/>
              <w:textAlignment w:val="center"/>
              <w:rPr>
                <w:rFonts w:ascii="仿宋" w:hAnsi="仿宋" w:eastAsia="仿宋" w:cs="宋体"/>
                <w:color w:val="auto"/>
                <w:szCs w:val="21"/>
                <w:highlight w:val="none"/>
              </w:rPr>
            </w:pPr>
            <w:r>
              <w:rPr>
                <w:rFonts w:hint="eastAsia" w:ascii="仿宋" w:hAnsi="仿宋" w:eastAsia="仿宋" w:cs="宋体"/>
                <w:color w:val="auto"/>
                <w:szCs w:val="21"/>
                <w:highlight w:val="none"/>
              </w:rPr>
              <w:t>6、材料：主体橡胶制成。</w:t>
            </w:r>
          </w:p>
        </w:tc>
      </w:tr>
    </w:tbl>
    <w:p w14:paraId="53A44704">
      <w:pPr>
        <w:spacing w:line="360" w:lineRule="auto"/>
        <w:rPr>
          <w:rFonts w:ascii="仿宋" w:hAnsi="仿宋" w:eastAsia="仿宋" w:cs="宋体"/>
          <w:b/>
          <w:bCs/>
          <w:color w:val="auto"/>
          <w:highlight w:val="none"/>
        </w:rPr>
      </w:pPr>
      <w:bookmarkStart w:id="39" w:name="OLE_LINK20"/>
      <w:r>
        <w:rPr>
          <w:rFonts w:hint="eastAsia" w:ascii="仿宋" w:hAnsi="仿宋" w:eastAsia="仿宋" w:cs="宋体"/>
          <w:b/>
          <w:bCs/>
          <w:color w:val="auto"/>
          <w:highlight w:val="none"/>
        </w:rPr>
        <w:t>备注：1.带有“▲”号项的参数为重点条款，不带有“▲”号项的参数为普通条款；不满足要求的将导致本项被扣分。</w:t>
      </w:r>
    </w:p>
    <w:p w14:paraId="2809E11C">
      <w:pPr>
        <w:spacing w:line="360" w:lineRule="auto"/>
        <w:rPr>
          <w:rFonts w:ascii="仿宋" w:hAnsi="仿宋" w:eastAsia="仿宋" w:cs="宋体"/>
          <w:b/>
          <w:bCs/>
          <w:color w:val="auto"/>
          <w:highlight w:val="none"/>
        </w:rPr>
      </w:pPr>
      <w:r>
        <w:rPr>
          <w:rFonts w:hint="eastAsia" w:ascii="仿宋" w:hAnsi="仿宋" w:eastAsia="仿宋" w:cs="宋体"/>
          <w:b/>
          <w:bCs/>
          <w:color w:val="auto"/>
          <w:highlight w:val="none"/>
        </w:rPr>
        <w:t>2.带“★”号的为关键性指标要求，不满足要求的将导致投标无效。</w:t>
      </w:r>
      <w:bookmarkEnd w:id="39"/>
    </w:p>
    <w:p w14:paraId="3C2D7938">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2、采购标的需满足的服务标准、期限、效率等要求；</w:t>
      </w:r>
    </w:p>
    <w:p w14:paraId="78A37D01">
      <w:pPr>
        <w:spacing w:line="360" w:lineRule="auto"/>
        <w:ind w:firstLine="482" w:firstLineChars="200"/>
        <w:contextualSpacing/>
        <w:rPr>
          <w:rFonts w:ascii="仿宋" w:hAnsi="仿宋" w:eastAsia="仿宋" w:cs="仿宋"/>
          <w:b/>
          <w:bCs/>
          <w:color w:val="auto"/>
          <w:sz w:val="24"/>
          <w:highlight w:val="none"/>
        </w:rPr>
      </w:pPr>
      <w:r>
        <w:rPr>
          <w:rFonts w:hint="eastAsia" w:ascii="仿宋" w:hAnsi="仿宋" w:eastAsia="仿宋" w:cs="仿宋"/>
          <w:b/>
          <w:bCs/>
          <w:color w:val="auto"/>
          <w:sz w:val="24"/>
          <w:highlight w:val="none"/>
        </w:rPr>
        <w:t>详见上文。</w:t>
      </w:r>
    </w:p>
    <w:p w14:paraId="35557E96">
      <w:pPr>
        <w:pStyle w:val="2"/>
        <w:rPr>
          <w:color w:val="auto"/>
          <w:highlight w:val="none"/>
        </w:rPr>
      </w:pPr>
    </w:p>
    <w:p w14:paraId="22AE875B">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3、为落实政府采购政策需满足的要求；</w:t>
      </w:r>
    </w:p>
    <w:p w14:paraId="7B1928E4">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3.1、促进中小企业发展政策：根据《政府采购促进中小企业发展管理办法》规定，本项</w:t>
      </w:r>
      <w:r>
        <w:rPr>
          <w:rFonts w:hint="eastAsia" w:ascii="仿宋" w:hAnsi="仿宋" w:eastAsia="仿宋" w:cs="仿宋"/>
          <w:bCs/>
          <w:color w:val="auto"/>
          <w:sz w:val="24"/>
          <w:highlight w:val="none"/>
        </w:rPr>
        <w:t>目采购货物为小型或微型企业制造的，</w:t>
      </w:r>
      <w:r>
        <w:rPr>
          <w:rFonts w:hint="eastAsia" w:ascii="仿宋" w:hAnsi="仿宋" w:eastAsia="仿宋" w:cs="仿宋"/>
          <w:bCs/>
          <w:color w:val="auto"/>
          <w:sz w:val="24"/>
          <w:highlight w:val="none"/>
        </w:rPr>
        <w:t>投标人应出具招标文件要求的《中小企业声明函》给予证明，否则评标时不予认可。投标人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14:paraId="366E92D5">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3.2、监狱企业扶持政策：投标人如为监狱企业将视同为小型或微型企业，且所投产品为小型或微型企业生产的，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14:paraId="437AFE96">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投标人为残疾人福利性单位的，采购代理机构将随中标结果同时公告其《残疾人福利性单位声明函》，接受社会监督。残疾人福利性单位视同小型、微型企业。不重复享受政策。</w:t>
      </w:r>
    </w:p>
    <w:p w14:paraId="786168BC">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14:paraId="3002A69B">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14:paraId="7A3264C7">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w:t>
      </w:r>
      <w:r>
        <w:rPr>
          <w:rFonts w:hint="eastAsia" w:ascii="仿宋" w:hAnsi="仿宋" w:eastAsia="仿宋" w:cs="仿宋"/>
          <w:b/>
          <w:bCs/>
          <w:color w:val="auto"/>
          <w:sz w:val="24"/>
          <w:highlight w:val="none"/>
        </w:rPr>
        <w:t>投标人应出具招标文件要求的证明材料给予证明，否则评标时不予认可。投标人应对提交的证明材料真实性负责，</w:t>
      </w:r>
      <w:r>
        <w:rPr>
          <w:rFonts w:hint="eastAsia" w:ascii="仿宋" w:hAnsi="仿宋" w:eastAsia="仿宋" w:cs="仿宋"/>
          <w:bCs/>
          <w:color w:val="auto"/>
          <w:sz w:val="24"/>
          <w:highlight w:val="none"/>
        </w:rPr>
        <w:t>提交证明材料不真实的，应承担相应的法律责任。</w:t>
      </w:r>
    </w:p>
    <w:p w14:paraId="4F0DFCBF">
      <w:pPr>
        <w:pStyle w:val="2"/>
        <w:rPr>
          <w:color w:val="auto"/>
          <w:highlight w:val="none"/>
        </w:rPr>
      </w:pPr>
    </w:p>
    <w:p w14:paraId="5E499CFB">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4、采购标的的其他技术、服务等要求；</w:t>
      </w:r>
    </w:p>
    <w:p w14:paraId="627DB826">
      <w:pPr>
        <w:spacing w:line="360" w:lineRule="auto"/>
        <w:ind w:firstLine="482" w:firstLineChars="200"/>
        <w:contextualSpacing/>
        <w:rPr>
          <w:rFonts w:ascii="仿宋" w:hAnsi="仿宋" w:eastAsia="仿宋" w:cs="仿宋"/>
          <w:b/>
          <w:bCs/>
          <w:color w:val="auto"/>
          <w:sz w:val="24"/>
          <w:highlight w:val="none"/>
        </w:rPr>
      </w:pPr>
      <w:r>
        <w:rPr>
          <w:rFonts w:hint="eastAsia" w:ascii="仿宋" w:hAnsi="仿宋" w:eastAsia="仿宋" w:cs="仿宋"/>
          <w:b/>
          <w:bCs/>
          <w:color w:val="auto"/>
          <w:sz w:val="24"/>
          <w:highlight w:val="none"/>
        </w:rPr>
        <w:t>4.1、项目实施需求：</w:t>
      </w:r>
    </w:p>
    <w:p w14:paraId="0FD1FA5D">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1）投标人提供针对本项目的实施方案，同时严格按照采购人及合同要求的工期完成安装调试工作。</w:t>
      </w:r>
    </w:p>
    <w:p w14:paraId="4F7F6D76">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2）投标人应当做好安全管理工作，负责货物安装及施工现场的安全。</w:t>
      </w:r>
    </w:p>
    <w:p w14:paraId="78A8AE71">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3）投标人保证提供的货物是全新的未经使用的产品，投标人提供满足技术要求的设备。投标人免费提供全套、完整的中文书面技术资料，包括操作手册等。</w:t>
      </w:r>
    </w:p>
    <w:p w14:paraId="13389501">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4）投标人负责货物的运输及全部保险，包括但不限于购买或者要求承运人购买货运保险及其他第三者责任险，并对其在项目现场提供服务、培训的人员进行保险。运输费和保险费包含在合同总价款中。</w:t>
      </w:r>
    </w:p>
    <w:p w14:paraId="2FD60E82">
      <w:pPr>
        <w:spacing w:line="360" w:lineRule="auto"/>
        <w:ind w:firstLine="482" w:firstLineChars="200"/>
        <w:contextualSpacing/>
        <w:rPr>
          <w:rFonts w:ascii="仿宋" w:hAnsi="仿宋" w:eastAsia="仿宋" w:cs="仿宋"/>
          <w:b/>
          <w:bCs/>
          <w:color w:val="auto"/>
          <w:sz w:val="24"/>
          <w:highlight w:val="none"/>
        </w:rPr>
      </w:pPr>
      <w:r>
        <w:rPr>
          <w:rFonts w:hint="eastAsia" w:ascii="仿宋" w:hAnsi="仿宋" w:eastAsia="仿宋" w:cs="仿宋"/>
          <w:b/>
          <w:bCs/>
          <w:color w:val="auto"/>
          <w:sz w:val="24"/>
          <w:highlight w:val="none"/>
        </w:rPr>
        <w:t>4.2、供货及安装要求</w:t>
      </w:r>
      <w:r>
        <w:rPr>
          <w:rFonts w:hint="eastAsia" w:ascii="仿宋" w:hAnsi="仿宋" w:eastAsia="仿宋" w:cs="仿宋"/>
          <w:b/>
          <w:bCs/>
          <w:color w:val="auto"/>
          <w:sz w:val="24"/>
          <w:highlight w:val="none"/>
        </w:rPr>
        <w:tab/>
      </w:r>
    </w:p>
    <w:p w14:paraId="64126D5C">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4.2.1、投标人发运货物时，每台设备要提供一整套中文的技术资料，包括安装、操作手册、使用说明、维修保养手册等，这些资料费应包括在投标报价内。如果采购人确认投标人提供的技术资料不完整或在运输过程中丢失，投标人需保证在收到采购人通知后3天内将这些资料免费寄给采购人。</w:t>
      </w:r>
    </w:p>
    <w:p w14:paraId="360B3B98">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4.2.2、投标人应在保证在接到采购人通知的一周内，自付费用在采购人指定所在地对设备进行安装、调试和试运行，直到该产品的技术指标完全符合合同要求为止。投标人技术人员的费用，如：差旅费、住宿费等应计入投标报价。投标人安装人员应自备必要的专用工具、量具及调试用的材料等。</w:t>
      </w:r>
    </w:p>
    <w:p w14:paraId="635582FE">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4.2.3、投标人所提供的部件之间及设备之间的连线或接插件均视为设备内部部件，应包含在相应的配置中。</w:t>
      </w:r>
    </w:p>
    <w:p w14:paraId="229D8FC3">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4.2.4、工作条件：除了在技术规格中另有规定外，投标人提供的一切仪器、设备和系统，应符合下列条件：</w:t>
      </w:r>
    </w:p>
    <w:p w14:paraId="6589D7EE">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1）仪器设备的插头要符合中国电工标准。如不符合，则应提供适合仪器插头的插座，必须要有接地。</w:t>
      </w:r>
    </w:p>
    <w:p w14:paraId="462EBE2B">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2）如果仪器设备需特殊的工作条件（如：水、电源、磁场强度、特殊温度、湿度、震动强度等），投标人应在有关投标文件中加以说明。</w:t>
      </w:r>
    </w:p>
    <w:p w14:paraId="5795674F">
      <w:pPr>
        <w:pStyle w:val="2"/>
        <w:spacing w:line="360" w:lineRule="auto"/>
        <w:contextualSpacing/>
        <w:rPr>
          <w:rFonts w:ascii="仿宋" w:hAnsi="仿宋" w:eastAsia="仿宋" w:cs="仿宋"/>
          <w:bCs/>
          <w:color w:val="auto"/>
          <w:highlight w:val="none"/>
        </w:rPr>
      </w:pPr>
      <w:r>
        <w:rPr>
          <w:rFonts w:hint="eastAsia" w:ascii="仿宋" w:hAnsi="仿宋" w:eastAsia="仿宋" w:cs="仿宋"/>
          <w:bCs/>
          <w:color w:val="auto"/>
          <w:highlight w:val="none"/>
        </w:rPr>
        <w:t>4.2.5、中标人负责本包的设备采购、运输、安装、调试工作。投标人投标报价包括产品费、运输费、应缴纳的税费、验收费、培训费、安装调试费等交付采购人使用的一切费用。</w:t>
      </w:r>
    </w:p>
    <w:p w14:paraId="610228F1">
      <w:pPr>
        <w:pStyle w:val="2"/>
        <w:spacing w:line="360" w:lineRule="auto"/>
        <w:contextualSpacing/>
        <w:rPr>
          <w:color w:val="auto"/>
          <w:highlight w:val="none"/>
        </w:rPr>
      </w:pPr>
    </w:p>
    <w:p w14:paraId="5E0C4831">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5、需由投标人提供设计方案、解决方案或者组织方案的采购项目，应当说明采购标的的功能、应用场景、目标等基本要求</w:t>
      </w:r>
    </w:p>
    <w:p w14:paraId="0A09A0C9">
      <w:pPr>
        <w:pStyle w:val="2"/>
        <w:rPr>
          <w:rFonts w:ascii="仿宋" w:hAnsi="仿宋" w:eastAsia="仿宋"/>
          <w:color w:val="auto"/>
          <w:highlight w:val="none"/>
        </w:rPr>
      </w:pPr>
    </w:p>
    <w:p w14:paraId="7B716587">
      <w:pPr>
        <w:snapToGrid w:val="0"/>
        <w:spacing w:line="360" w:lineRule="auto"/>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rPr>
        <w:t>（三）验收标准</w:t>
      </w:r>
    </w:p>
    <w:p w14:paraId="34C85656">
      <w:pPr>
        <w:numPr>
          <w:ilvl w:val="255"/>
          <w:numId w:val="0"/>
        </w:numPr>
        <w:snapToGrid w:val="0"/>
        <w:spacing w:line="360" w:lineRule="auto"/>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rPr>
        <w:t>第2包：</w:t>
      </w:r>
    </w:p>
    <w:p w14:paraId="74D307F6">
      <w:pPr>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1、设备安装调试完毕后，中标方应提供包括但不限于以下资料：</w:t>
      </w:r>
    </w:p>
    <w:p w14:paraId="60B38F3F">
      <w:pPr>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（1）设备硬件操作手册、软件使用手册</w:t>
      </w:r>
    </w:p>
    <w:p w14:paraId="0B633B7D">
      <w:pPr>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（2）设备的维修、保养手册</w:t>
      </w:r>
    </w:p>
    <w:p w14:paraId="590DDA13">
      <w:pPr>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（3）设备到货清单</w:t>
      </w:r>
    </w:p>
    <w:p w14:paraId="3318C88B">
      <w:pPr>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（4）保修服务计划</w:t>
      </w:r>
    </w:p>
    <w:p w14:paraId="06ABC4A3">
      <w:pPr>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2、中标人应负责在项目完成时将全部有关技术文件、资料、及验收报告等文档按采购人要求和规范汇集成册交付采购人。</w:t>
      </w:r>
    </w:p>
    <w:p w14:paraId="385BD68E">
      <w:pPr>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3、验收：设备完成供货，无任何质量问题，由采购人按照采购要求和投标文件进行验收。</w:t>
      </w:r>
    </w:p>
    <w:p w14:paraId="43A3604E">
      <w:pPr>
        <w:pStyle w:val="2"/>
        <w:spacing w:line="360" w:lineRule="auto"/>
        <w:rPr>
          <w:rFonts w:ascii="仿宋" w:hAnsi="仿宋" w:eastAsia="仿宋" w:cs="仿宋"/>
          <w:bCs/>
          <w:color w:val="auto"/>
          <w:highlight w:val="none"/>
        </w:rPr>
      </w:pPr>
    </w:p>
    <w:p w14:paraId="31D5C78D">
      <w:pPr>
        <w:numPr>
          <w:ilvl w:val="255"/>
          <w:numId w:val="0"/>
        </w:numPr>
        <w:snapToGrid w:val="0"/>
        <w:spacing w:line="360" w:lineRule="auto"/>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rPr>
        <w:t>（四）其他要求</w:t>
      </w:r>
    </w:p>
    <w:p w14:paraId="3A6AF255">
      <w:pPr>
        <w:numPr>
          <w:ilvl w:val="255"/>
          <w:numId w:val="0"/>
        </w:num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无。</w:t>
      </w:r>
    </w:p>
    <w:p w14:paraId="759B3842">
      <w:pPr>
        <w:pStyle w:val="2"/>
        <w:rPr>
          <w:color w:val="auto"/>
          <w:highlight w:val="none"/>
        </w:rPr>
      </w:pPr>
    </w:p>
    <w:p w14:paraId="572C63D4">
      <w:pPr>
        <w:pStyle w:val="2"/>
        <w:rPr>
          <w:color w:val="auto"/>
          <w:highlight w:val="none"/>
        </w:rPr>
        <w:sectPr>
          <w:pgSz w:w="11906" w:h="16838"/>
          <w:pgMar w:top="1440" w:right="1800" w:bottom="1440" w:left="1800" w:header="851" w:footer="992" w:gutter="0"/>
          <w:cols w:space="425" w:num="1"/>
          <w:docGrid w:type="lines" w:linePitch="312" w:charSpace="0"/>
        </w:sectPr>
      </w:pPr>
    </w:p>
    <w:p w14:paraId="0CF865B2">
      <w:pPr>
        <w:spacing w:line="360" w:lineRule="auto"/>
        <w:contextualSpacing/>
        <w:jc w:val="center"/>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第3包</w:t>
      </w:r>
    </w:p>
    <w:p w14:paraId="78F504B1">
      <w:pPr>
        <w:snapToGrid w:val="0"/>
        <w:spacing w:line="360" w:lineRule="auto"/>
        <w:jc w:val="center"/>
        <w:outlineLvl w:val="0"/>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第五章   采购需求</w:t>
      </w:r>
    </w:p>
    <w:p w14:paraId="77FB829A">
      <w:pPr>
        <w:snapToGrid w:val="0"/>
        <w:spacing w:line="360" w:lineRule="auto"/>
        <w:contextualSpacing/>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说明：</w:t>
      </w:r>
    </w:p>
    <w:p w14:paraId="4B109855">
      <w:pPr>
        <w:snapToGrid w:val="0"/>
        <w:spacing w:line="360" w:lineRule="auto"/>
        <w:contextualSpacing/>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 当采购项目涉及政务信息系统时，采购需求应当符合《政务信息系统政府采购管理暂行办法》（财库〔2017〕210号）的相关要求。</w:t>
      </w:r>
    </w:p>
    <w:p w14:paraId="680A9AAB">
      <w:pPr>
        <w:snapToGrid w:val="0"/>
        <w:spacing w:line="360" w:lineRule="auto"/>
        <w:contextualSpacing/>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 采购人及采购代理机构应关注财政部门会同有关部门制定发布的需求标准，结合具体应用场景，根据对应《需求标准》确定采购需求。</w:t>
      </w:r>
    </w:p>
    <w:p w14:paraId="5510DCE6">
      <w:pPr>
        <w:snapToGrid w:val="0"/>
        <w:spacing w:line="360" w:lineRule="auto"/>
        <w:contextualSpacing/>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已发布的需求标准如下：</w:t>
      </w:r>
    </w:p>
    <w:p w14:paraId="7CB68452">
      <w:pPr>
        <w:snapToGrid w:val="0"/>
        <w:spacing w:line="360" w:lineRule="auto"/>
        <w:contextualSpacing/>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《关于印发〈商品包装政府采购需求标准（试行）〉、〈快递包装政府采购需求标准（试行）〉的通知》（财办库﹝2020﹞123号））</w:t>
      </w:r>
    </w:p>
    <w:p w14:paraId="161353AE">
      <w:pPr>
        <w:pStyle w:val="270"/>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《绿色数据中心政府采购需求标准（试行）》（财库〔2023〕7号）</w:t>
      </w:r>
    </w:p>
    <w:p w14:paraId="602C9E82">
      <w:pPr>
        <w:pStyle w:val="270"/>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《台式计算机政府采购需求标准（2023年版）》（财库〔2023〕29号）</w:t>
      </w:r>
    </w:p>
    <w:p w14:paraId="64E06449">
      <w:pPr>
        <w:pStyle w:val="270"/>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《便携式计算机政府采购需求标准（2023年版）》（财库〔2023〕30号）</w:t>
      </w:r>
    </w:p>
    <w:p w14:paraId="04640243">
      <w:pPr>
        <w:pStyle w:val="270"/>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《一体式计算机政府采购需求标准（2023年版）》（财库〔2023〕31号）</w:t>
      </w:r>
    </w:p>
    <w:p w14:paraId="55D3F34E">
      <w:pPr>
        <w:pStyle w:val="270"/>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《工作站政府采购需求标准（2023年版）》（财库〔2023〕32号）</w:t>
      </w:r>
    </w:p>
    <w:p w14:paraId="580D4B23">
      <w:pPr>
        <w:pStyle w:val="270"/>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《通用服务器政府采购需求标准（2023年版）》（财库〔2023〕33号）</w:t>
      </w:r>
    </w:p>
    <w:p w14:paraId="23E4A0B6">
      <w:pPr>
        <w:pStyle w:val="270"/>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《操作系统政府采购需求标准（2023年版）》（财库〔2023〕34号）</w:t>
      </w:r>
    </w:p>
    <w:p w14:paraId="36C5A5EA">
      <w:pPr>
        <w:pStyle w:val="270"/>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《数据库政府采购需求标准（2023年版）》（财库〔2023〕35号）</w:t>
      </w:r>
    </w:p>
    <w:p w14:paraId="1A3C3DE9">
      <w:pPr>
        <w:pStyle w:val="270"/>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《物业管理服务政府采购需求标准（办公场所类）（试行）》（财办库〔2024〕113号）</w:t>
      </w:r>
    </w:p>
    <w:p w14:paraId="5D9CDA29">
      <w:pPr>
        <w:snapToGrid w:val="0"/>
        <w:spacing w:line="360" w:lineRule="auto"/>
        <w:contextualSpacing/>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如有更新或增加，以财政部门发布为准。</w:t>
      </w:r>
    </w:p>
    <w:p w14:paraId="3824AB63">
      <w:pPr>
        <w:widowControl/>
        <w:snapToGrid w:val="0"/>
        <w:spacing w:line="360" w:lineRule="auto"/>
        <w:jc w:val="left"/>
        <w:rPr>
          <w:rFonts w:ascii="仿宋" w:hAnsi="仿宋" w:eastAsia="仿宋" w:cs="仿宋"/>
          <w:b/>
          <w:color w:val="auto"/>
          <w:sz w:val="28"/>
          <w:szCs w:val="28"/>
          <w:highlight w:val="none"/>
        </w:rPr>
      </w:pPr>
      <w:r>
        <w:rPr>
          <w:rFonts w:ascii="仿宋" w:hAnsi="仿宋" w:eastAsia="仿宋" w:cs="仿宋"/>
          <w:b/>
          <w:color w:val="auto"/>
          <w:sz w:val="28"/>
          <w:szCs w:val="28"/>
          <w:highlight w:val="none"/>
        </w:rPr>
        <w:br w:type="page"/>
      </w:r>
    </w:p>
    <w:p w14:paraId="4E9D01CC">
      <w:pPr>
        <w:snapToGrid w:val="0"/>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一、采购标的</w:t>
      </w:r>
    </w:p>
    <w:p w14:paraId="5105B7A7">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（一）采购标的（货物需求一览表或简要服务内容及数量）</w:t>
      </w:r>
    </w:p>
    <w:tbl>
      <w:tblPr>
        <w:tblStyle w:val="4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7"/>
        <w:gridCol w:w="1191"/>
        <w:gridCol w:w="3311"/>
        <w:gridCol w:w="1083"/>
        <w:gridCol w:w="822"/>
        <w:gridCol w:w="1144"/>
      </w:tblGrid>
      <w:tr w14:paraId="646C4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573" w:type="pct"/>
            <w:vAlign w:val="center"/>
          </w:tcPr>
          <w:p w14:paraId="00F3E760">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包号</w:t>
            </w:r>
          </w:p>
        </w:tc>
        <w:tc>
          <w:tcPr>
            <w:tcW w:w="698" w:type="pct"/>
            <w:vAlign w:val="center"/>
          </w:tcPr>
          <w:p w14:paraId="4F7683C6">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品目号</w:t>
            </w:r>
          </w:p>
        </w:tc>
        <w:tc>
          <w:tcPr>
            <w:tcW w:w="1941" w:type="pct"/>
            <w:tcBorders>
              <w:bottom w:val="single" w:color="auto" w:sz="4" w:space="0"/>
            </w:tcBorders>
            <w:vAlign w:val="center"/>
          </w:tcPr>
          <w:p w14:paraId="06F12535">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标的名称</w:t>
            </w:r>
          </w:p>
        </w:tc>
        <w:tc>
          <w:tcPr>
            <w:tcW w:w="635" w:type="pct"/>
            <w:vAlign w:val="center"/>
          </w:tcPr>
          <w:p w14:paraId="0CC95DEF">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数量</w:t>
            </w:r>
          </w:p>
        </w:tc>
        <w:tc>
          <w:tcPr>
            <w:tcW w:w="482" w:type="pct"/>
            <w:vAlign w:val="center"/>
          </w:tcPr>
          <w:p w14:paraId="04BC6F64">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单位</w:t>
            </w:r>
          </w:p>
        </w:tc>
        <w:tc>
          <w:tcPr>
            <w:tcW w:w="671" w:type="pct"/>
            <w:vAlign w:val="center"/>
          </w:tcPr>
          <w:p w14:paraId="66936CA7">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是否接受进口产品</w:t>
            </w:r>
          </w:p>
        </w:tc>
      </w:tr>
      <w:tr w14:paraId="40C15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73" w:type="pct"/>
            <w:vMerge w:val="restart"/>
            <w:noWrap/>
            <w:vAlign w:val="center"/>
          </w:tcPr>
          <w:p w14:paraId="4E65EEE0">
            <w:pPr>
              <w:spacing w:before="120"/>
              <w:contextualSpacing/>
              <w:jc w:val="center"/>
              <w:rPr>
                <w:rFonts w:ascii="仿宋" w:hAnsi="仿宋" w:eastAsia="仿宋"/>
                <w:color w:val="auto"/>
                <w:sz w:val="24"/>
                <w:highlight w:val="none"/>
              </w:rPr>
            </w:pPr>
            <w:r>
              <w:rPr>
                <w:rFonts w:hint="eastAsia" w:ascii="仿宋" w:hAnsi="仿宋" w:eastAsia="仿宋"/>
                <w:color w:val="auto"/>
                <w:sz w:val="24"/>
                <w:highlight w:val="none"/>
              </w:rPr>
              <w:t>3</w:t>
            </w:r>
          </w:p>
        </w:tc>
        <w:tc>
          <w:tcPr>
            <w:tcW w:w="698" w:type="pct"/>
            <w:vAlign w:val="center"/>
          </w:tcPr>
          <w:p w14:paraId="77FD1424">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3-1</w:t>
            </w:r>
          </w:p>
        </w:tc>
        <w:tc>
          <w:tcPr>
            <w:tcW w:w="1941" w:type="pct"/>
            <w:vAlign w:val="center"/>
          </w:tcPr>
          <w:p w14:paraId="604413B3">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危化品智能储存柜</w:t>
            </w:r>
          </w:p>
        </w:tc>
        <w:tc>
          <w:tcPr>
            <w:tcW w:w="635" w:type="pct"/>
            <w:vAlign w:val="center"/>
          </w:tcPr>
          <w:p w14:paraId="528656FD">
            <w:pPr>
              <w:widowControl/>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12</w:t>
            </w:r>
          </w:p>
        </w:tc>
        <w:tc>
          <w:tcPr>
            <w:tcW w:w="482" w:type="pct"/>
            <w:vAlign w:val="center"/>
          </w:tcPr>
          <w:p w14:paraId="6742D964">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台</w:t>
            </w:r>
          </w:p>
        </w:tc>
        <w:tc>
          <w:tcPr>
            <w:tcW w:w="671" w:type="pct"/>
            <w:vAlign w:val="center"/>
          </w:tcPr>
          <w:p w14:paraId="45FEC495">
            <w:pPr>
              <w:jc w:val="center"/>
              <w:rPr>
                <w:color w:val="auto"/>
                <w:highlight w:val="none"/>
              </w:rPr>
            </w:pPr>
            <w:r>
              <w:rPr>
                <w:rFonts w:hint="eastAsia" w:ascii="仿宋" w:hAnsi="仿宋" w:eastAsia="仿宋" w:cs="宋体"/>
                <w:color w:val="auto"/>
                <w:kern w:val="0"/>
                <w:sz w:val="24"/>
                <w:highlight w:val="none"/>
                <w:lang w:bidi="ar"/>
              </w:rPr>
              <w:t>否</w:t>
            </w:r>
          </w:p>
        </w:tc>
      </w:tr>
      <w:tr w14:paraId="72F23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73" w:type="pct"/>
            <w:vMerge w:val="continue"/>
            <w:noWrap/>
            <w:vAlign w:val="center"/>
          </w:tcPr>
          <w:p w14:paraId="2444F77D">
            <w:pPr>
              <w:spacing w:before="120"/>
              <w:contextualSpacing/>
              <w:jc w:val="center"/>
              <w:rPr>
                <w:rFonts w:ascii="仿宋" w:hAnsi="仿宋" w:eastAsia="仿宋"/>
                <w:color w:val="auto"/>
                <w:sz w:val="24"/>
                <w:highlight w:val="none"/>
              </w:rPr>
            </w:pPr>
          </w:p>
        </w:tc>
        <w:tc>
          <w:tcPr>
            <w:tcW w:w="698" w:type="pct"/>
            <w:vAlign w:val="center"/>
          </w:tcPr>
          <w:p w14:paraId="20C1F6A7">
            <w:pPr>
              <w:jc w:val="center"/>
              <w:rPr>
                <w:color w:val="auto"/>
                <w:highlight w:val="none"/>
              </w:rPr>
            </w:pPr>
            <w:r>
              <w:rPr>
                <w:rFonts w:hint="eastAsia" w:ascii="仿宋" w:hAnsi="仿宋" w:eastAsia="仿宋" w:cs="宋体"/>
                <w:color w:val="auto"/>
                <w:kern w:val="0"/>
                <w:sz w:val="24"/>
                <w:highlight w:val="none"/>
              </w:rPr>
              <w:t>3-2</w:t>
            </w:r>
          </w:p>
        </w:tc>
        <w:tc>
          <w:tcPr>
            <w:tcW w:w="1941" w:type="pct"/>
            <w:vAlign w:val="center"/>
          </w:tcPr>
          <w:p w14:paraId="6DD54B91">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危化品智能组合柜</w:t>
            </w:r>
          </w:p>
        </w:tc>
        <w:tc>
          <w:tcPr>
            <w:tcW w:w="635" w:type="pct"/>
            <w:vAlign w:val="center"/>
          </w:tcPr>
          <w:p w14:paraId="3B2CF1E9">
            <w:pPr>
              <w:widowControl/>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3</w:t>
            </w:r>
          </w:p>
        </w:tc>
        <w:tc>
          <w:tcPr>
            <w:tcW w:w="482" w:type="pct"/>
            <w:vAlign w:val="center"/>
          </w:tcPr>
          <w:p w14:paraId="4B50F23E">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台</w:t>
            </w:r>
          </w:p>
        </w:tc>
        <w:tc>
          <w:tcPr>
            <w:tcW w:w="671" w:type="pct"/>
            <w:vAlign w:val="center"/>
          </w:tcPr>
          <w:p w14:paraId="5C644108">
            <w:pPr>
              <w:jc w:val="center"/>
              <w:rPr>
                <w:color w:val="auto"/>
                <w:highlight w:val="none"/>
              </w:rPr>
            </w:pPr>
            <w:r>
              <w:rPr>
                <w:rFonts w:hint="eastAsia" w:ascii="仿宋" w:hAnsi="仿宋" w:eastAsia="仿宋" w:cs="宋体"/>
                <w:color w:val="auto"/>
                <w:kern w:val="0"/>
                <w:sz w:val="24"/>
                <w:highlight w:val="none"/>
                <w:lang w:bidi="ar"/>
              </w:rPr>
              <w:t>否</w:t>
            </w:r>
          </w:p>
        </w:tc>
      </w:tr>
      <w:tr w14:paraId="2317B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73" w:type="pct"/>
            <w:vMerge w:val="continue"/>
            <w:noWrap/>
            <w:vAlign w:val="center"/>
          </w:tcPr>
          <w:p w14:paraId="7DE81BF0">
            <w:pPr>
              <w:spacing w:before="120"/>
              <w:contextualSpacing/>
              <w:jc w:val="center"/>
              <w:rPr>
                <w:rFonts w:ascii="仿宋" w:hAnsi="仿宋" w:eastAsia="仿宋"/>
                <w:color w:val="auto"/>
                <w:sz w:val="24"/>
                <w:highlight w:val="none"/>
              </w:rPr>
            </w:pPr>
          </w:p>
        </w:tc>
        <w:tc>
          <w:tcPr>
            <w:tcW w:w="698" w:type="pct"/>
            <w:vAlign w:val="center"/>
          </w:tcPr>
          <w:p w14:paraId="26D23A13">
            <w:pPr>
              <w:jc w:val="center"/>
              <w:rPr>
                <w:color w:val="auto"/>
                <w:highlight w:val="none"/>
              </w:rPr>
            </w:pPr>
            <w:r>
              <w:rPr>
                <w:rFonts w:hint="eastAsia" w:ascii="仿宋" w:hAnsi="仿宋" w:eastAsia="仿宋" w:cs="宋体"/>
                <w:color w:val="auto"/>
                <w:kern w:val="0"/>
                <w:sz w:val="24"/>
                <w:highlight w:val="none"/>
              </w:rPr>
              <w:t>3-3</w:t>
            </w:r>
          </w:p>
        </w:tc>
        <w:tc>
          <w:tcPr>
            <w:tcW w:w="1941" w:type="pct"/>
            <w:vAlign w:val="center"/>
          </w:tcPr>
          <w:p w14:paraId="1AA35DEA">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危化品应急处置设备</w:t>
            </w:r>
          </w:p>
        </w:tc>
        <w:tc>
          <w:tcPr>
            <w:tcW w:w="635" w:type="pct"/>
            <w:vAlign w:val="center"/>
          </w:tcPr>
          <w:p w14:paraId="0C0AC3D5">
            <w:pPr>
              <w:widowControl/>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w:t>
            </w:r>
          </w:p>
        </w:tc>
        <w:tc>
          <w:tcPr>
            <w:tcW w:w="482" w:type="pct"/>
            <w:vAlign w:val="center"/>
          </w:tcPr>
          <w:p w14:paraId="3D96450D">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台</w:t>
            </w:r>
          </w:p>
        </w:tc>
        <w:tc>
          <w:tcPr>
            <w:tcW w:w="671" w:type="pct"/>
            <w:vAlign w:val="center"/>
          </w:tcPr>
          <w:p w14:paraId="4609B629">
            <w:pPr>
              <w:jc w:val="center"/>
              <w:rPr>
                <w:color w:val="auto"/>
                <w:highlight w:val="none"/>
              </w:rPr>
            </w:pPr>
            <w:r>
              <w:rPr>
                <w:rFonts w:hint="eastAsia" w:ascii="仿宋" w:hAnsi="仿宋" w:eastAsia="仿宋" w:cs="宋体"/>
                <w:color w:val="auto"/>
                <w:kern w:val="0"/>
                <w:sz w:val="24"/>
                <w:highlight w:val="none"/>
                <w:lang w:bidi="ar"/>
              </w:rPr>
              <w:t>否</w:t>
            </w:r>
          </w:p>
        </w:tc>
      </w:tr>
      <w:tr w14:paraId="6DF2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73" w:type="pct"/>
            <w:vMerge w:val="continue"/>
            <w:noWrap/>
            <w:vAlign w:val="center"/>
          </w:tcPr>
          <w:p w14:paraId="1B2FDFF2">
            <w:pPr>
              <w:spacing w:before="120"/>
              <w:contextualSpacing/>
              <w:jc w:val="center"/>
              <w:rPr>
                <w:rFonts w:ascii="仿宋" w:hAnsi="仿宋" w:eastAsia="仿宋"/>
                <w:color w:val="auto"/>
                <w:sz w:val="24"/>
                <w:highlight w:val="none"/>
              </w:rPr>
            </w:pPr>
          </w:p>
        </w:tc>
        <w:tc>
          <w:tcPr>
            <w:tcW w:w="698" w:type="pct"/>
            <w:vAlign w:val="center"/>
          </w:tcPr>
          <w:p w14:paraId="087CB09A">
            <w:pPr>
              <w:jc w:val="center"/>
              <w:rPr>
                <w:color w:val="auto"/>
                <w:highlight w:val="none"/>
              </w:rPr>
            </w:pPr>
            <w:r>
              <w:rPr>
                <w:rFonts w:hint="eastAsia" w:ascii="仿宋" w:hAnsi="仿宋" w:eastAsia="仿宋" w:cs="宋体"/>
                <w:color w:val="auto"/>
                <w:kern w:val="0"/>
                <w:sz w:val="24"/>
                <w:highlight w:val="none"/>
              </w:rPr>
              <w:t>3-4</w:t>
            </w:r>
          </w:p>
        </w:tc>
        <w:tc>
          <w:tcPr>
            <w:tcW w:w="1941" w:type="pct"/>
            <w:vAlign w:val="center"/>
          </w:tcPr>
          <w:p w14:paraId="75766337">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环境检测终端</w:t>
            </w:r>
          </w:p>
        </w:tc>
        <w:tc>
          <w:tcPr>
            <w:tcW w:w="635" w:type="pct"/>
            <w:vAlign w:val="center"/>
          </w:tcPr>
          <w:p w14:paraId="6E197153">
            <w:pPr>
              <w:widowControl/>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w:t>
            </w:r>
          </w:p>
        </w:tc>
        <w:tc>
          <w:tcPr>
            <w:tcW w:w="482" w:type="pct"/>
            <w:vAlign w:val="center"/>
          </w:tcPr>
          <w:p w14:paraId="25A0583E">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台</w:t>
            </w:r>
          </w:p>
        </w:tc>
        <w:tc>
          <w:tcPr>
            <w:tcW w:w="671" w:type="pct"/>
            <w:vAlign w:val="center"/>
          </w:tcPr>
          <w:p w14:paraId="3F80359A">
            <w:pPr>
              <w:jc w:val="center"/>
              <w:rPr>
                <w:color w:val="auto"/>
                <w:highlight w:val="none"/>
              </w:rPr>
            </w:pPr>
            <w:r>
              <w:rPr>
                <w:rFonts w:hint="eastAsia" w:ascii="仿宋" w:hAnsi="仿宋" w:eastAsia="仿宋" w:cs="宋体"/>
                <w:color w:val="auto"/>
                <w:kern w:val="0"/>
                <w:sz w:val="24"/>
                <w:highlight w:val="none"/>
                <w:lang w:bidi="ar"/>
              </w:rPr>
              <w:t>否</w:t>
            </w:r>
          </w:p>
        </w:tc>
      </w:tr>
      <w:tr w14:paraId="785E4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73" w:type="pct"/>
            <w:vMerge w:val="continue"/>
            <w:noWrap/>
            <w:vAlign w:val="center"/>
          </w:tcPr>
          <w:p w14:paraId="5A23571B">
            <w:pPr>
              <w:spacing w:before="120"/>
              <w:contextualSpacing/>
              <w:jc w:val="center"/>
              <w:rPr>
                <w:rFonts w:ascii="仿宋" w:hAnsi="仿宋" w:eastAsia="仿宋"/>
                <w:color w:val="auto"/>
                <w:sz w:val="24"/>
                <w:highlight w:val="none"/>
              </w:rPr>
            </w:pPr>
          </w:p>
        </w:tc>
        <w:tc>
          <w:tcPr>
            <w:tcW w:w="698" w:type="pct"/>
            <w:vAlign w:val="center"/>
          </w:tcPr>
          <w:p w14:paraId="48C4CE09">
            <w:pPr>
              <w:jc w:val="center"/>
              <w:rPr>
                <w:color w:val="auto"/>
                <w:highlight w:val="none"/>
              </w:rPr>
            </w:pPr>
            <w:r>
              <w:rPr>
                <w:rFonts w:hint="eastAsia" w:ascii="仿宋" w:hAnsi="仿宋" w:eastAsia="仿宋" w:cs="宋体"/>
                <w:color w:val="auto"/>
                <w:kern w:val="0"/>
                <w:sz w:val="24"/>
                <w:highlight w:val="none"/>
              </w:rPr>
              <w:t>3-5</w:t>
            </w:r>
          </w:p>
        </w:tc>
        <w:tc>
          <w:tcPr>
            <w:tcW w:w="1941" w:type="pct"/>
            <w:vAlign w:val="center"/>
          </w:tcPr>
          <w:p w14:paraId="56989447">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防爆电器</w:t>
            </w:r>
          </w:p>
        </w:tc>
        <w:tc>
          <w:tcPr>
            <w:tcW w:w="635" w:type="pct"/>
            <w:vAlign w:val="center"/>
          </w:tcPr>
          <w:p w14:paraId="70F17BF7">
            <w:pPr>
              <w:spacing w:before="120"/>
              <w:contextualSpacing/>
              <w:jc w:val="center"/>
              <w:rPr>
                <w:rFonts w:ascii="仿宋" w:hAnsi="仿宋" w:eastAsia="仿宋"/>
                <w:color w:val="auto"/>
                <w:sz w:val="24"/>
                <w:highlight w:val="none"/>
              </w:rPr>
            </w:pPr>
            <w:r>
              <w:rPr>
                <w:rFonts w:hint="eastAsia" w:ascii="仿宋" w:hAnsi="仿宋" w:eastAsia="仿宋"/>
                <w:color w:val="auto"/>
                <w:sz w:val="24"/>
                <w:highlight w:val="none"/>
              </w:rPr>
              <w:t>3</w:t>
            </w:r>
          </w:p>
        </w:tc>
        <w:tc>
          <w:tcPr>
            <w:tcW w:w="482" w:type="pct"/>
            <w:vAlign w:val="center"/>
          </w:tcPr>
          <w:p w14:paraId="7A3B8F85">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套</w:t>
            </w:r>
          </w:p>
        </w:tc>
        <w:tc>
          <w:tcPr>
            <w:tcW w:w="671" w:type="pct"/>
            <w:vAlign w:val="center"/>
          </w:tcPr>
          <w:p w14:paraId="4A8BD6FE">
            <w:pPr>
              <w:jc w:val="center"/>
              <w:rPr>
                <w:color w:val="auto"/>
                <w:highlight w:val="none"/>
              </w:rPr>
            </w:pPr>
            <w:r>
              <w:rPr>
                <w:rFonts w:hint="eastAsia" w:ascii="仿宋" w:hAnsi="仿宋" w:eastAsia="仿宋" w:cs="宋体"/>
                <w:color w:val="auto"/>
                <w:kern w:val="0"/>
                <w:sz w:val="24"/>
                <w:highlight w:val="none"/>
                <w:lang w:bidi="ar"/>
              </w:rPr>
              <w:t>否</w:t>
            </w:r>
          </w:p>
        </w:tc>
      </w:tr>
      <w:tr w14:paraId="71D2F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73" w:type="pct"/>
            <w:vMerge w:val="continue"/>
            <w:noWrap/>
            <w:vAlign w:val="center"/>
          </w:tcPr>
          <w:p w14:paraId="18479D3D">
            <w:pPr>
              <w:spacing w:before="120"/>
              <w:contextualSpacing/>
              <w:jc w:val="center"/>
              <w:rPr>
                <w:rFonts w:ascii="仿宋" w:hAnsi="仿宋" w:eastAsia="仿宋"/>
                <w:color w:val="auto"/>
                <w:sz w:val="24"/>
                <w:highlight w:val="none"/>
              </w:rPr>
            </w:pPr>
          </w:p>
        </w:tc>
        <w:tc>
          <w:tcPr>
            <w:tcW w:w="698" w:type="pct"/>
            <w:vAlign w:val="center"/>
          </w:tcPr>
          <w:p w14:paraId="383F3C18">
            <w:pPr>
              <w:jc w:val="center"/>
              <w:rPr>
                <w:color w:val="auto"/>
                <w:highlight w:val="none"/>
              </w:rPr>
            </w:pPr>
            <w:r>
              <w:rPr>
                <w:rFonts w:hint="eastAsia" w:ascii="仿宋" w:hAnsi="仿宋" w:eastAsia="仿宋" w:cs="宋体"/>
                <w:color w:val="auto"/>
                <w:kern w:val="0"/>
                <w:sz w:val="24"/>
                <w:highlight w:val="none"/>
              </w:rPr>
              <w:t>3-6</w:t>
            </w:r>
          </w:p>
        </w:tc>
        <w:tc>
          <w:tcPr>
            <w:tcW w:w="1941" w:type="pct"/>
            <w:vAlign w:val="center"/>
          </w:tcPr>
          <w:p w14:paraId="1EA7FB45">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室内防爆空调</w:t>
            </w:r>
          </w:p>
        </w:tc>
        <w:tc>
          <w:tcPr>
            <w:tcW w:w="635" w:type="pct"/>
            <w:vAlign w:val="center"/>
          </w:tcPr>
          <w:p w14:paraId="032DAAA3">
            <w:pPr>
              <w:widowControl/>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3</w:t>
            </w:r>
          </w:p>
        </w:tc>
        <w:tc>
          <w:tcPr>
            <w:tcW w:w="482" w:type="pct"/>
            <w:vAlign w:val="center"/>
          </w:tcPr>
          <w:p w14:paraId="778074ED">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台</w:t>
            </w:r>
          </w:p>
        </w:tc>
        <w:tc>
          <w:tcPr>
            <w:tcW w:w="671" w:type="pct"/>
            <w:vAlign w:val="center"/>
          </w:tcPr>
          <w:p w14:paraId="06B11B30">
            <w:pPr>
              <w:jc w:val="center"/>
              <w:rPr>
                <w:color w:val="auto"/>
                <w:highlight w:val="none"/>
              </w:rPr>
            </w:pPr>
            <w:r>
              <w:rPr>
                <w:rFonts w:hint="eastAsia" w:ascii="仿宋" w:hAnsi="仿宋" w:eastAsia="仿宋" w:cs="宋体"/>
                <w:color w:val="auto"/>
                <w:kern w:val="0"/>
                <w:sz w:val="24"/>
                <w:highlight w:val="none"/>
                <w:lang w:bidi="ar"/>
              </w:rPr>
              <w:t>否</w:t>
            </w:r>
          </w:p>
        </w:tc>
      </w:tr>
      <w:tr w14:paraId="3185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73" w:type="pct"/>
            <w:vMerge w:val="continue"/>
            <w:noWrap/>
            <w:vAlign w:val="center"/>
          </w:tcPr>
          <w:p w14:paraId="1F20E116">
            <w:pPr>
              <w:spacing w:before="120"/>
              <w:contextualSpacing/>
              <w:jc w:val="center"/>
              <w:rPr>
                <w:rFonts w:ascii="仿宋" w:hAnsi="仿宋" w:eastAsia="仿宋"/>
                <w:color w:val="auto"/>
                <w:sz w:val="24"/>
                <w:highlight w:val="none"/>
              </w:rPr>
            </w:pPr>
          </w:p>
        </w:tc>
        <w:tc>
          <w:tcPr>
            <w:tcW w:w="698" w:type="pct"/>
            <w:vAlign w:val="center"/>
          </w:tcPr>
          <w:p w14:paraId="32A6B0C2">
            <w:pPr>
              <w:jc w:val="center"/>
              <w:rPr>
                <w:color w:val="auto"/>
                <w:highlight w:val="none"/>
              </w:rPr>
            </w:pPr>
            <w:r>
              <w:rPr>
                <w:rFonts w:hint="eastAsia" w:ascii="仿宋" w:hAnsi="仿宋" w:eastAsia="仿宋" w:cs="宋体"/>
                <w:color w:val="auto"/>
                <w:kern w:val="0"/>
                <w:sz w:val="24"/>
                <w:highlight w:val="none"/>
              </w:rPr>
              <w:t>3-7</w:t>
            </w:r>
          </w:p>
        </w:tc>
        <w:tc>
          <w:tcPr>
            <w:tcW w:w="1941" w:type="pct"/>
            <w:vAlign w:val="center"/>
          </w:tcPr>
          <w:p w14:paraId="3F2E516A">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地面防静电铜排</w:t>
            </w:r>
          </w:p>
        </w:tc>
        <w:tc>
          <w:tcPr>
            <w:tcW w:w="635" w:type="pct"/>
            <w:vAlign w:val="center"/>
          </w:tcPr>
          <w:p w14:paraId="5F1825C8">
            <w:pPr>
              <w:widowControl/>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50</w:t>
            </w:r>
          </w:p>
        </w:tc>
        <w:tc>
          <w:tcPr>
            <w:tcW w:w="482" w:type="pct"/>
            <w:vAlign w:val="center"/>
          </w:tcPr>
          <w:p w14:paraId="2C566344">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米</w:t>
            </w:r>
          </w:p>
        </w:tc>
        <w:tc>
          <w:tcPr>
            <w:tcW w:w="671" w:type="pct"/>
            <w:vAlign w:val="center"/>
          </w:tcPr>
          <w:p w14:paraId="48A32297">
            <w:pPr>
              <w:jc w:val="center"/>
              <w:rPr>
                <w:color w:val="auto"/>
                <w:highlight w:val="none"/>
              </w:rPr>
            </w:pPr>
            <w:r>
              <w:rPr>
                <w:rFonts w:hint="eastAsia" w:ascii="仿宋" w:hAnsi="仿宋" w:eastAsia="仿宋" w:cs="宋体"/>
                <w:color w:val="auto"/>
                <w:kern w:val="0"/>
                <w:sz w:val="24"/>
                <w:highlight w:val="none"/>
                <w:lang w:bidi="ar"/>
              </w:rPr>
              <w:t>否</w:t>
            </w:r>
          </w:p>
        </w:tc>
      </w:tr>
      <w:tr w14:paraId="120D9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73" w:type="pct"/>
            <w:vMerge w:val="continue"/>
            <w:noWrap/>
            <w:vAlign w:val="center"/>
          </w:tcPr>
          <w:p w14:paraId="6F152636">
            <w:pPr>
              <w:spacing w:before="120"/>
              <w:contextualSpacing/>
              <w:jc w:val="center"/>
              <w:rPr>
                <w:rFonts w:ascii="仿宋" w:hAnsi="仿宋" w:eastAsia="仿宋"/>
                <w:color w:val="auto"/>
                <w:sz w:val="24"/>
                <w:highlight w:val="none"/>
              </w:rPr>
            </w:pPr>
          </w:p>
        </w:tc>
        <w:tc>
          <w:tcPr>
            <w:tcW w:w="698" w:type="pct"/>
            <w:vAlign w:val="center"/>
          </w:tcPr>
          <w:p w14:paraId="1DCE32F6">
            <w:pPr>
              <w:jc w:val="center"/>
              <w:rPr>
                <w:color w:val="auto"/>
                <w:highlight w:val="none"/>
              </w:rPr>
            </w:pPr>
            <w:r>
              <w:rPr>
                <w:rFonts w:hint="eastAsia" w:ascii="仿宋" w:hAnsi="仿宋" w:eastAsia="仿宋" w:cs="宋体"/>
                <w:color w:val="auto"/>
                <w:kern w:val="0"/>
                <w:sz w:val="24"/>
                <w:highlight w:val="none"/>
              </w:rPr>
              <w:t>3-8</w:t>
            </w:r>
          </w:p>
        </w:tc>
        <w:tc>
          <w:tcPr>
            <w:tcW w:w="1941" w:type="pct"/>
            <w:vAlign w:val="center"/>
          </w:tcPr>
          <w:p w14:paraId="3DE939A1">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人体静电消除装置</w:t>
            </w:r>
          </w:p>
        </w:tc>
        <w:tc>
          <w:tcPr>
            <w:tcW w:w="635" w:type="pct"/>
            <w:vAlign w:val="center"/>
          </w:tcPr>
          <w:p w14:paraId="38B62DB0">
            <w:pPr>
              <w:widowControl/>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3</w:t>
            </w:r>
          </w:p>
        </w:tc>
        <w:tc>
          <w:tcPr>
            <w:tcW w:w="482" w:type="pct"/>
            <w:vAlign w:val="center"/>
          </w:tcPr>
          <w:p w14:paraId="2B35383B">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个</w:t>
            </w:r>
          </w:p>
        </w:tc>
        <w:tc>
          <w:tcPr>
            <w:tcW w:w="671" w:type="pct"/>
            <w:vAlign w:val="center"/>
          </w:tcPr>
          <w:p w14:paraId="0B2CDCD4">
            <w:pPr>
              <w:jc w:val="center"/>
              <w:rPr>
                <w:color w:val="auto"/>
                <w:highlight w:val="none"/>
              </w:rPr>
            </w:pPr>
            <w:r>
              <w:rPr>
                <w:rFonts w:hint="eastAsia" w:ascii="仿宋" w:hAnsi="仿宋" w:eastAsia="仿宋" w:cs="宋体"/>
                <w:color w:val="auto"/>
                <w:kern w:val="0"/>
                <w:sz w:val="24"/>
                <w:highlight w:val="none"/>
                <w:lang w:bidi="ar"/>
              </w:rPr>
              <w:t>否</w:t>
            </w:r>
          </w:p>
        </w:tc>
      </w:tr>
      <w:tr w14:paraId="072D6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73" w:type="pct"/>
            <w:vMerge w:val="continue"/>
            <w:noWrap/>
            <w:vAlign w:val="center"/>
          </w:tcPr>
          <w:p w14:paraId="46E3AAEF">
            <w:pPr>
              <w:spacing w:before="120"/>
              <w:contextualSpacing/>
              <w:jc w:val="center"/>
              <w:rPr>
                <w:rFonts w:ascii="仿宋" w:hAnsi="仿宋" w:eastAsia="仿宋"/>
                <w:color w:val="auto"/>
                <w:sz w:val="24"/>
                <w:highlight w:val="none"/>
              </w:rPr>
            </w:pPr>
          </w:p>
        </w:tc>
        <w:tc>
          <w:tcPr>
            <w:tcW w:w="698" w:type="pct"/>
            <w:vAlign w:val="center"/>
          </w:tcPr>
          <w:p w14:paraId="3844973D">
            <w:pPr>
              <w:jc w:val="center"/>
              <w:rPr>
                <w:color w:val="auto"/>
                <w:highlight w:val="none"/>
              </w:rPr>
            </w:pPr>
            <w:r>
              <w:rPr>
                <w:rFonts w:hint="eastAsia" w:ascii="仿宋" w:hAnsi="仿宋" w:eastAsia="仿宋" w:cs="宋体"/>
                <w:color w:val="auto"/>
                <w:kern w:val="0"/>
                <w:sz w:val="24"/>
                <w:highlight w:val="none"/>
              </w:rPr>
              <w:t>3-9</w:t>
            </w:r>
          </w:p>
        </w:tc>
        <w:tc>
          <w:tcPr>
            <w:tcW w:w="1941" w:type="pct"/>
            <w:vAlign w:val="center"/>
          </w:tcPr>
          <w:p w14:paraId="3E73EA15">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喷淋洗眼装置</w:t>
            </w:r>
          </w:p>
        </w:tc>
        <w:tc>
          <w:tcPr>
            <w:tcW w:w="635" w:type="pct"/>
            <w:vAlign w:val="center"/>
          </w:tcPr>
          <w:p w14:paraId="6D77A83D">
            <w:pPr>
              <w:widowControl/>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w:t>
            </w:r>
          </w:p>
        </w:tc>
        <w:tc>
          <w:tcPr>
            <w:tcW w:w="482" w:type="pct"/>
            <w:vAlign w:val="center"/>
          </w:tcPr>
          <w:p w14:paraId="531E91B3">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台</w:t>
            </w:r>
          </w:p>
        </w:tc>
        <w:tc>
          <w:tcPr>
            <w:tcW w:w="671" w:type="pct"/>
            <w:vAlign w:val="center"/>
          </w:tcPr>
          <w:p w14:paraId="2A390EB2">
            <w:pPr>
              <w:jc w:val="center"/>
              <w:rPr>
                <w:color w:val="auto"/>
                <w:highlight w:val="none"/>
              </w:rPr>
            </w:pPr>
            <w:r>
              <w:rPr>
                <w:rFonts w:hint="eastAsia" w:ascii="仿宋" w:hAnsi="仿宋" w:eastAsia="仿宋" w:cs="宋体"/>
                <w:color w:val="auto"/>
                <w:kern w:val="0"/>
                <w:sz w:val="24"/>
                <w:highlight w:val="none"/>
                <w:lang w:bidi="ar"/>
              </w:rPr>
              <w:t>否</w:t>
            </w:r>
          </w:p>
        </w:tc>
      </w:tr>
      <w:tr w14:paraId="3FFB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73" w:type="pct"/>
            <w:vMerge w:val="continue"/>
            <w:noWrap/>
            <w:vAlign w:val="center"/>
          </w:tcPr>
          <w:p w14:paraId="14ECE491">
            <w:pPr>
              <w:spacing w:before="120"/>
              <w:contextualSpacing/>
              <w:jc w:val="center"/>
              <w:rPr>
                <w:rFonts w:ascii="仿宋" w:hAnsi="仿宋" w:eastAsia="仿宋"/>
                <w:color w:val="auto"/>
                <w:sz w:val="24"/>
                <w:highlight w:val="none"/>
              </w:rPr>
            </w:pPr>
          </w:p>
        </w:tc>
        <w:tc>
          <w:tcPr>
            <w:tcW w:w="698" w:type="pct"/>
            <w:vAlign w:val="center"/>
          </w:tcPr>
          <w:p w14:paraId="7B135890">
            <w:pPr>
              <w:jc w:val="center"/>
              <w:rPr>
                <w:color w:val="auto"/>
                <w:highlight w:val="none"/>
              </w:rPr>
            </w:pPr>
            <w:r>
              <w:rPr>
                <w:rFonts w:hint="eastAsia" w:ascii="仿宋" w:hAnsi="仿宋" w:eastAsia="仿宋" w:cs="宋体"/>
                <w:color w:val="auto"/>
                <w:kern w:val="0"/>
                <w:sz w:val="24"/>
                <w:highlight w:val="none"/>
              </w:rPr>
              <w:t>3-10</w:t>
            </w:r>
          </w:p>
        </w:tc>
        <w:tc>
          <w:tcPr>
            <w:tcW w:w="1941" w:type="pct"/>
            <w:vAlign w:val="center"/>
          </w:tcPr>
          <w:p w14:paraId="14E6FB0A">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七氟丙烷灭火装置</w:t>
            </w:r>
          </w:p>
        </w:tc>
        <w:tc>
          <w:tcPr>
            <w:tcW w:w="635" w:type="pct"/>
            <w:vAlign w:val="center"/>
          </w:tcPr>
          <w:p w14:paraId="35C62E24">
            <w:pPr>
              <w:widowControl/>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6</w:t>
            </w:r>
          </w:p>
        </w:tc>
        <w:tc>
          <w:tcPr>
            <w:tcW w:w="482" w:type="pct"/>
            <w:vAlign w:val="center"/>
          </w:tcPr>
          <w:p w14:paraId="6BE94713">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台</w:t>
            </w:r>
          </w:p>
        </w:tc>
        <w:tc>
          <w:tcPr>
            <w:tcW w:w="671" w:type="pct"/>
            <w:vAlign w:val="center"/>
          </w:tcPr>
          <w:p w14:paraId="72F65FEF">
            <w:pPr>
              <w:jc w:val="center"/>
              <w:rPr>
                <w:color w:val="auto"/>
                <w:highlight w:val="none"/>
              </w:rPr>
            </w:pPr>
            <w:r>
              <w:rPr>
                <w:rFonts w:hint="eastAsia" w:ascii="仿宋" w:hAnsi="仿宋" w:eastAsia="仿宋" w:cs="宋体"/>
                <w:color w:val="auto"/>
                <w:kern w:val="0"/>
                <w:sz w:val="24"/>
                <w:highlight w:val="none"/>
                <w:lang w:bidi="ar"/>
              </w:rPr>
              <w:t>否</w:t>
            </w:r>
          </w:p>
        </w:tc>
      </w:tr>
      <w:tr w14:paraId="28975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73" w:type="pct"/>
            <w:vMerge w:val="continue"/>
            <w:noWrap/>
            <w:vAlign w:val="center"/>
          </w:tcPr>
          <w:p w14:paraId="56C573B1">
            <w:pPr>
              <w:spacing w:before="120"/>
              <w:contextualSpacing/>
              <w:jc w:val="center"/>
              <w:rPr>
                <w:rFonts w:ascii="仿宋" w:hAnsi="仿宋" w:eastAsia="仿宋"/>
                <w:color w:val="auto"/>
                <w:sz w:val="24"/>
                <w:highlight w:val="none"/>
              </w:rPr>
            </w:pPr>
          </w:p>
        </w:tc>
        <w:tc>
          <w:tcPr>
            <w:tcW w:w="698" w:type="pct"/>
            <w:vAlign w:val="center"/>
          </w:tcPr>
          <w:p w14:paraId="65022122">
            <w:pPr>
              <w:jc w:val="center"/>
              <w:rPr>
                <w:color w:val="auto"/>
                <w:highlight w:val="none"/>
              </w:rPr>
            </w:pPr>
            <w:r>
              <w:rPr>
                <w:rFonts w:hint="eastAsia" w:ascii="仿宋" w:hAnsi="仿宋" w:eastAsia="仿宋" w:cs="宋体"/>
                <w:color w:val="auto"/>
                <w:kern w:val="0"/>
                <w:sz w:val="24"/>
                <w:highlight w:val="none"/>
              </w:rPr>
              <w:t>3-11</w:t>
            </w:r>
          </w:p>
        </w:tc>
        <w:tc>
          <w:tcPr>
            <w:tcW w:w="1941" w:type="pct"/>
            <w:vAlign w:val="center"/>
          </w:tcPr>
          <w:p w14:paraId="4D983CEB">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总线制报警主机</w:t>
            </w:r>
          </w:p>
        </w:tc>
        <w:tc>
          <w:tcPr>
            <w:tcW w:w="635" w:type="pct"/>
            <w:vAlign w:val="center"/>
          </w:tcPr>
          <w:p w14:paraId="48518713">
            <w:pPr>
              <w:widowControl/>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w:t>
            </w:r>
          </w:p>
        </w:tc>
        <w:tc>
          <w:tcPr>
            <w:tcW w:w="482" w:type="pct"/>
            <w:vAlign w:val="center"/>
          </w:tcPr>
          <w:p w14:paraId="71D0933E">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台</w:t>
            </w:r>
          </w:p>
        </w:tc>
        <w:tc>
          <w:tcPr>
            <w:tcW w:w="671" w:type="pct"/>
            <w:vAlign w:val="center"/>
          </w:tcPr>
          <w:p w14:paraId="25E326CF">
            <w:pPr>
              <w:jc w:val="center"/>
              <w:rPr>
                <w:color w:val="auto"/>
                <w:highlight w:val="none"/>
              </w:rPr>
            </w:pPr>
            <w:r>
              <w:rPr>
                <w:rFonts w:hint="eastAsia" w:ascii="仿宋" w:hAnsi="仿宋" w:eastAsia="仿宋" w:cs="宋体"/>
                <w:color w:val="auto"/>
                <w:kern w:val="0"/>
                <w:sz w:val="24"/>
                <w:highlight w:val="none"/>
                <w:lang w:bidi="ar"/>
              </w:rPr>
              <w:t>否</w:t>
            </w:r>
          </w:p>
        </w:tc>
      </w:tr>
      <w:tr w14:paraId="26EF1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73" w:type="pct"/>
            <w:vMerge w:val="continue"/>
            <w:noWrap/>
            <w:vAlign w:val="center"/>
          </w:tcPr>
          <w:p w14:paraId="5479EF6B">
            <w:pPr>
              <w:spacing w:before="120"/>
              <w:contextualSpacing/>
              <w:jc w:val="center"/>
              <w:rPr>
                <w:rFonts w:ascii="仿宋" w:hAnsi="仿宋" w:eastAsia="仿宋"/>
                <w:color w:val="auto"/>
                <w:sz w:val="24"/>
                <w:highlight w:val="none"/>
              </w:rPr>
            </w:pPr>
          </w:p>
        </w:tc>
        <w:tc>
          <w:tcPr>
            <w:tcW w:w="698" w:type="pct"/>
            <w:vAlign w:val="center"/>
          </w:tcPr>
          <w:p w14:paraId="0E4301C6">
            <w:pPr>
              <w:jc w:val="center"/>
              <w:rPr>
                <w:color w:val="auto"/>
                <w:highlight w:val="none"/>
              </w:rPr>
            </w:pPr>
            <w:r>
              <w:rPr>
                <w:rFonts w:hint="eastAsia" w:ascii="仿宋" w:hAnsi="仿宋" w:eastAsia="仿宋" w:cs="宋体"/>
                <w:color w:val="auto"/>
                <w:kern w:val="0"/>
                <w:sz w:val="24"/>
                <w:highlight w:val="none"/>
              </w:rPr>
              <w:t>3-12</w:t>
            </w:r>
          </w:p>
        </w:tc>
        <w:tc>
          <w:tcPr>
            <w:tcW w:w="1941" w:type="pct"/>
            <w:vAlign w:val="center"/>
          </w:tcPr>
          <w:p w14:paraId="20D285C6">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可燃气体报警器</w:t>
            </w:r>
          </w:p>
        </w:tc>
        <w:tc>
          <w:tcPr>
            <w:tcW w:w="635" w:type="pct"/>
            <w:vAlign w:val="center"/>
          </w:tcPr>
          <w:p w14:paraId="04428DFB">
            <w:pPr>
              <w:widowControl/>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3</w:t>
            </w:r>
          </w:p>
        </w:tc>
        <w:tc>
          <w:tcPr>
            <w:tcW w:w="482" w:type="pct"/>
            <w:vAlign w:val="center"/>
          </w:tcPr>
          <w:p w14:paraId="2B8F8248">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台</w:t>
            </w:r>
          </w:p>
        </w:tc>
        <w:tc>
          <w:tcPr>
            <w:tcW w:w="671" w:type="pct"/>
            <w:vAlign w:val="center"/>
          </w:tcPr>
          <w:p w14:paraId="50126B9B">
            <w:pPr>
              <w:jc w:val="center"/>
              <w:rPr>
                <w:color w:val="auto"/>
                <w:highlight w:val="none"/>
              </w:rPr>
            </w:pPr>
            <w:r>
              <w:rPr>
                <w:rFonts w:hint="eastAsia" w:ascii="仿宋" w:hAnsi="仿宋" w:eastAsia="仿宋" w:cs="宋体"/>
                <w:color w:val="auto"/>
                <w:kern w:val="0"/>
                <w:sz w:val="24"/>
                <w:highlight w:val="none"/>
                <w:lang w:bidi="ar"/>
              </w:rPr>
              <w:t>否</w:t>
            </w:r>
          </w:p>
        </w:tc>
      </w:tr>
      <w:tr w14:paraId="51D06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73" w:type="pct"/>
            <w:vMerge w:val="continue"/>
            <w:noWrap/>
            <w:vAlign w:val="center"/>
          </w:tcPr>
          <w:p w14:paraId="74F6A5BE">
            <w:pPr>
              <w:spacing w:before="120"/>
              <w:contextualSpacing/>
              <w:jc w:val="center"/>
              <w:rPr>
                <w:rFonts w:ascii="仿宋" w:hAnsi="仿宋" w:eastAsia="仿宋"/>
                <w:color w:val="auto"/>
                <w:sz w:val="24"/>
                <w:highlight w:val="none"/>
              </w:rPr>
            </w:pPr>
          </w:p>
        </w:tc>
        <w:tc>
          <w:tcPr>
            <w:tcW w:w="698" w:type="pct"/>
            <w:vAlign w:val="center"/>
          </w:tcPr>
          <w:p w14:paraId="026AD6C8">
            <w:pPr>
              <w:jc w:val="center"/>
              <w:rPr>
                <w:color w:val="auto"/>
                <w:highlight w:val="none"/>
              </w:rPr>
            </w:pPr>
            <w:r>
              <w:rPr>
                <w:rFonts w:hint="eastAsia" w:ascii="仿宋" w:hAnsi="仿宋" w:eastAsia="仿宋" w:cs="宋体"/>
                <w:color w:val="auto"/>
                <w:kern w:val="0"/>
                <w:sz w:val="24"/>
                <w:highlight w:val="none"/>
              </w:rPr>
              <w:t>3-13</w:t>
            </w:r>
          </w:p>
        </w:tc>
        <w:tc>
          <w:tcPr>
            <w:tcW w:w="1941" w:type="pct"/>
            <w:vAlign w:val="center"/>
          </w:tcPr>
          <w:p w14:paraId="3D537A88">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温湿度报警探测器</w:t>
            </w:r>
          </w:p>
        </w:tc>
        <w:tc>
          <w:tcPr>
            <w:tcW w:w="635" w:type="pct"/>
            <w:vAlign w:val="center"/>
          </w:tcPr>
          <w:p w14:paraId="1A7771F0">
            <w:pPr>
              <w:widowControl/>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3</w:t>
            </w:r>
          </w:p>
        </w:tc>
        <w:tc>
          <w:tcPr>
            <w:tcW w:w="482" w:type="pct"/>
            <w:vAlign w:val="center"/>
          </w:tcPr>
          <w:p w14:paraId="41CCAA5E">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台</w:t>
            </w:r>
          </w:p>
        </w:tc>
        <w:tc>
          <w:tcPr>
            <w:tcW w:w="671" w:type="pct"/>
            <w:vAlign w:val="center"/>
          </w:tcPr>
          <w:p w14:paraId="3F14B3F4">
            <w:pPr>
              <w:jc w:val="center"/>
              <w:rPr>
                <w:color w:val="auto"/>
                <w:highlight w:val="none"/>
              </w:rPr>
            </w:pPr>
            <w:r>
              <w:rPr>
                <w:rFonts w:hint="eastAsia" w:ascii="仿宋" w:hAnsi="仿宋" w:eastAsia="仿宋" w:cs="宋体"/>
                <w:color w:val="auto"/>
                <w:kern w:val="0"/>
                <w:sz w:val="24"/>
                <w:highlight w:val="none"/>
                <w:lang w:bidi="ar"/>
              </w:rPr>
              <w:t>否</w:t>
            </w:r>
          </w:p>
        </w:tc>
      </w:tr>
      <w:tr w14:paraId="5D0FC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73" w:type="pct"/>
            <w:vMerge w:val="continue"/>
            <w:noWrap/>
            <w:vAlign w:val="center"/>
          </w:tcPr>
          <w:p w14:paraId="16F80A54">
            <w:pPr>
              <w:spacing w:before="120"/>
              <w:contextualSpacing/>
              <w:jc w:val="center"/>
              <w:rPr>
                <w:rFonts w:ascii="仿宋" w:hAnsi="仿宋" w:eastAsia="仿宋"/>
                <w:color w:val="auto"/>
                <w:sz w:val="24"/>
                <w:highlight w:val="none"/>
              </w:rPr>
            </w:pPr>
          </w:p>
        </w:tc>
        <w:tc>
          <w:tcPr>
            <w:tcW w:w="698" w:type="pct"/>
            <w:vAlign w:val="center"/>
          </w:tcPr>
          <w:p w14:paraId="0AADA663">
            <w:pPr>
              <w:jc w:val="center"/>
              <w:rPr>
                <w:color w:val="auto"/>
                <w:highlight w:val="none"/>
              </w:rPr>
            </w:pPr>
            <w:r>
              <w:rPr>
                <w:rFonts w:hint="eastAsia" w:ascii="仿宋" w:hAnsi="仿宋" w:eastAsia="仿宋" w:cs="宋体"/>
                <w:color w:val="auto"/>
                <w:kern w:val="0"/>
                <w:sz w:val="24"/>
                <w:highlight w:val="none"/>
              </w:rPr>
              <w:t>3-14</w:t>
            </w:r>
          </w:p>
        </w:tc>
        <w:tc>
          <w:tcPr>
            <w:tcW w:w="1941" w:type="pct"/>
            <w:vAlign w:val="center"/>
          </w:tcPr>
          <w:p w14:paraId="388E9886">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防爆风机</w:t>
            </w:r>
          </w:p>
        </w:tc>
        <w:tc>
          <w:tcPr>
            <w:tcW w:w="635" w:type="pct"/>
            <w:vAlign w:val="center"/>
          </w:tcPr>
          <w:p w14:paraId="713940D9">
            <w:pPr>
              <w:widowControl/>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3</w:t>
            </w:r>
          </w:p>
        </w:tc>
        <w:tc>
          <w:tcPr>
            <w:tcW w:w="482" w:type="pct"/>
            <w:vAlign w:val="center"/>
          </w:tcPr>
          <w:p w14:paraId="1D5C6CE0">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台</w:t>
            </w:r>
          </w:p>
        </w:tc>
        <w:tc>
          <w:tcPr>
            <w:tcW w:w="671" w:type="pct"/>
            <w:vAlign w:val="center"/>
          </w:tcPr>
          <w:p w14:paraId="56CD09BF">
            <w:pPr>
              <w:jc w:val="center"/>
              <w:rPr>
                <w:color w:val="auto"/>
                <w:highlight w:val="none"/>
              </w:rPr>
            </w:pPr>
            <w:r>
              <w:rPr>
                <w:rFonts w:hint="eastAsia" w:ascii="仿宋" w:hAnsi="仿宋" w:eastAsia="仿宋" w:cs="宋体"/>
                <w:color w:val="auto"/>
                <w:kern w:val="0"/>
                <w:sz w:val="24"/>
                <w:highlight w:val="none"/>
                <w:lang w:bidi="ar"/>
              </w:rPr>
              <w:t>否</w:t>
            </w:r>
          </w:p>
        </w:tc>
      </w:tr>
      <w:tr w14:paraId="61277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73" w:type="pct"/>
            <w:vMerge w:val="continue"/>
            <w:noWrap/>
            <w:vAlign w:val="center"/>
          </w:tcPr>
          <w:p w14:paraId="12147058">
            <w:pPr>
              <w:spacing w:before="120"/>
              <w:contextualSpacing/>
              <w:jc w:val="center"/>
              <w:rPr>
                <w:rFonts w:ascii="仿宋" w:hAnsi="仿宋" w:eastAsia="仿宋"/>
                <w:color w:val="auto"/>
                <w:sz w:val="24"/>
                <w:highlight w:val="none"/>
              </w:rPr>
            </w:pPr>
          </w:p>
        </w:tc>
        <w:tc>
          <w:tcPr>
            <w:tcW w:w="698" w:type="pct"/>
            <w:vAlign w:val="center"/>
          </w:tcPr>
          <w:p w14:paraId="2A4B2287">
            <w:pPr>
              <w:jc w:val="center"/>
              <w:rPr>
                <w:color w:val="auto"/>
                <w:highlight w:val="none"/>
              </w:rPr>
            </w:pPr>
            <w:r>
              <w:rPr>
                <w:rFonts w:hint="eastAsia" w:ascii="仿宋" w:hAnsi="仿宋" w:eastAsia="仿宋" w:cs="宋体"/>
                <w:color w:val="auto"/>
                <w:kern w:val="0"/>
                <w:sz w:val="24"/>
                <w:highlight w:val="none"/>
              </w:rPr>
              <w:t>3-15</w:t>
            </w:r>
          </w:p>
        </w:tc>
        <w:tc>
          <w:tcPr>
            <w:tcW w:w="1941" w:type="pct"/>
            <w:vAlign w:val="center"/>
          </w:tcPr>
          <w:p w14:paraId="70C44B6C">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防爆摄像机</w:t>
            </w:r>
          </w:p>
        </w:tc>
        <w:tc>
          <w:tcPr>
            <w:tcW w:w="635" w:type="pct"/>
            <w:vAlign w:val="center"/>
          </w:tcPr>
          <w:p w14:paraId="1CABDF2E">
            <w:pPr>
              <w:widowControl/>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6</w:t>
            </w:r>
          </w:p>
        </w:tc>
        <w:tc>
          <w:tcPr>
            <w:tcW w:w="482" w:type="pct"/>
            <w:vAlign w:val="center"/>
          </w:tcPr>
          <w:p w14:paraId="61ABBC98">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台</w:t>
            </w:r>
          </w:p>
        </w:tc>
        <w:tc>
          <w:tcPr>
            <w:tcW w:w="671" w:type="pct"/>
            <w:vAlign w:val="center"/>
          </w:tcPr>
          <w:p w14:paraId="68347435">
            <w:pPr>
              <w:jc w:val="center"/>
              <w:rPr>
                <w:color w:val="auto"/>
                <w:highlight w:val="none"/>
              </w:rPr>
            </w:pPr>
            <w:r>
              <w:rPr>
                <w:rFonts w:hint="eastAsia" w:ascii="仿宋" w:hAnsi="仿宋" w:eastAsia="仿宋" w:cs="宋体"/>
                <w:color w:val="auto"/>
                <w:kern w:val="0"/>
                <w:sz w:val="24"/>
                <w:highlight w:val="none"/>
                <w:lang w:bidi="ar"/>
              </w:rPr>
              <w:t>否</w:t>
            </w:r>
          </w:p>
        </w:tc>
      </w:tr>
      <w:tr w14:paraId="27947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73" w:type="pct"/>
            <w:vMerge w:val="continue"/>
            <w:noWrap/>
            <w:vAlign w:val="center"/>
          </w:tcPr>
          <w:p w14:paraId="3CBFD4FD">
            <w:pPr>
              <w:spacing w:before="120"/>
              <w:contextualSpacing/>
              <w:jc w:val="center"/>
              <w:rPr>
                <w:rFonts w:ascii="仿宋" w:hAnsi="仿宋" w:eastAsia="仿宋"/>
                <w:color w:val="auto"/>
                <w:sz w:val="24"/>
                <w:highlight w:val="none"/>
              </w:rPr>
            </w:pPr>
          </w:p>
        </w:tc>
        <w:tc>
          <w:tcPr>
            <w:tcW w:w="698" w:type="pct"/>
            <w:vAlign w:val="center"/>
          </w:tcPr>
          <w:p w14:paraId="19922C48">
            <w:pPr>
              <w:jc w:val="center"/>
              <w:rPr>
                <w:color w:val="auto"/>
                <w:highlight w:val="none"/>
              </w:rPr>
            </w:pPr>
            <w:r>
              <w:rPr>
                <w:rFonts w:hint="eastAsia" w:ascii="仿宋" w:hAnsi="仿宋" w:eastAsia="仿宋" w:cs="宋体"/>
                <w:color w:val="auto"/>
                <w:kern w:val="0"/>
                <w:sz w:val="24"/>
                <w:highlight w:val="none"/>
              </w:rPr>
              <w:t>3-16</w:t>
            </w:r>
          </w:p>
        </w:tc>
        <w:tc>
          <w:tcPr>
            <w:tcW w:w="1941" w:type="pct"/>
            <w:vAlign w:val="center"/>
          </w:tcPr>
          <w:p w14:paraId="7F3013D0">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防爆摄像机支架</w:t>
            </w:r>
          </w:p>
        </w:tc>
        <w:tc>
          <w:tcPr>
            <w:tcW w:w="635" w:type="pct"/>
            <w:vAlign w:val="center"/>
          </w:tcPr>
          <w:p w14:paraId="774E29E0">
            <w:pPr>
              <w:widowControl/>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6</w:t>
            </w:r>
          </w:p>
        </w:tc>
        <w:tc>
          <w:tcPr>
            <w:tcW w:w="482" w:type="pct"/>
            <w:vAlign w:val="center"/>
          </w:tcPr>
          <w:p w14:paraId="4C978125">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个</w:t>
            </w:r>
          </w:p>
        </w:tc>
        <w:tc>
          <w:tcPr>
            <w:tcW w:w="671" w:type="pct"/>
            <w:vAlign w:val="center"/>
          </w:tcPr>
          <w:p w14:paraId="0712C597">
            <w:pPr>
              <w:jc w:val="center"/>
              <w:rPr>
                <w:color w:val="auto"/>
                <w:highlight w:val="none"/>
              </w:rPr>
            </w:pPr>
            <w:r>
              <w:rPr>
                <w:rFonts w:hint="eastAsia" w:ascii="仿宋" w:hAnsi="仿宋" w:eastAsia="仿宋" w:cs="宋体"/>
                <w:color w:val="auto"/>
                <w:kern w:val="0"/>
                <w:sz w:val="24"/>
                <w:highlight w:val="none"/>
                <w:lang w:bidi="ar"/>
              </w:rPr>
              <w:t>否</w:t>
            </w:r>
          </w:p>
        </w:tc>
      </w:tr>
      <w:tr w14:paraId="25C99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73" w:type="pct"/>
            <w:vMerge w:val="continue"/>
            <w:noWrap/>
            <w:vAlign w:val="center"/>
          </w:tcPr>
          <w:p w14:paraId="6927F5BF">
            <w:pPr>
              <w:spacing w:before="120"/>
              <w:contextualSpacing/>
              <w:jc w:val="center"/>
              <w:rPr>
                <w:rFonts w:ascii="仿宋" w:hAnsi="仿宋" w:eastAsia="仿宋"/>
                <w:color w:val="auto"/>
                <w:sz w:val="24"/>
                <w:highlight w:val="none"/>
              </w:rPr>
            </w:pPr>
          </w:p>
        </w:tc>
        <w:tc>
          <w:tcPr>
            <w:tcW w:w="698" w:type="pct"/>
            <w:vAlign w:val="center"/>
          </w:tcPr>
          <w:p w14:paraId="7D429DCF">
            <w:pPr>
              <w:jc w:val="center"/>
              <w:rPr>
                <w:color w:val="auto"/>
                <w:highlight w:val="none"/>
              </w:rPr>
            </w:pPr>
            <w:r>
              <w:rPr>
                <w:rFonts w:hint="eastAsia" w:ascii="仿宋" w:hAnsi="仿宋" w:eastAsia="仿宋" w:cs="宋体"/>
                <w:color w:val="auto"/>
                <w:kern w:val="0"/>
                <w:sz w:val="24"/>
                <w:highlight w:val="none"/>
              </w:rPr>
              <w:t>3-17</w:t>
            </w:r>
          </w:p>
        </w:tc>
        <w:tc>
          <w:tcPr>
            <w:tcW w:w="1941" w:type="pct"/>
            <w:vAlign w:val="center"/>
          </w:tcPr>
          <w:p w14:paraId="0F0E2BD8">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普通红外高清数字摄像机</w:t>
            </w:r>
          </w:p>
        </w:tc>
        <w:tc>
          <w:tcPr>
            <w:tcW w:w="635" w:type="pct"/>
            <w:vAlign w:val="center"/>
          </w:tcPr>
          <w:p w14:paraId="077D657C">
            <w:pPr>
              <w:widowControl/>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5</w:t>
            </w:r>
          </w:p>
        </w:tc>
        <w:tc>
          <w:tcPr>
            <w:tcW w:w="482" w:type="pct"/>
            <w:vAlign w:val="center"/>
          </w:tcPr>
          <w:p w14:paraId="78A04C32">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台</w:t>
            </w:r>
          </w:p>
        </w:tc>
        <w:tc>
          <w:tcPr>
            <w:tcW w:w="671" w:type="pct"/>
            <w:vAlign w:val="center"/>
          </w:tcPr>
          <w:p w14:paraId="5506F3AA">
            <w:pPr>
              <w:jc w:val="center"/>
              <w:rPr>
                <w:color w:val="auto"/>
                <w:highlight w:val="none"/>
              </w:rPr>
            </w:pPr>
            <w:r>
              <w:rPr>
                <w:rFonts w:hint="eastAsia" w:ascii="仿宋" w:hAnsi="仿宋" w:eastAsia="仿宋" w:cs="宋体"/>
                <w:color w:val="auto"/>
                <w:kern w:val="0"/>
                <w:sz w:val="24"/>
                <w:highlight w:val="none"/>
                <w:lang w:bidi="ar"/>
              </w:rPr>
              <w:t>否</w:t>
            </w:r>
          </w:p>
        </w:tc>
      </w:tr>
      <w:tr w14:paraId="70CA6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73" w:type="pct"/>
            <w:vMerge w:val="continue"/>
            <w:noWrap/>
            <w:vAlign w:val="center"/>
          </w:tcPr>
          <w:p w14:paraId="7C49CC6C">
            <w:pPr>
              <w:spacing w:before="120"/>
              <w:contextualSpacing/>
              <w:jc w:val="center"/>
              <w:rPr>
                <w:rFonts w:ascii="仿宋" w:hAnsi="仿宋" w:eastAsia="仿宋"/>
                <w:color w:val="auto"/>
                <w:sz w:val="24"/>
                <w:highlight w:val="none"/>
              </w:rPr>
            </w:pPr>
          </w:p>
        </w:tc>
        <w:tc>
          <w:tcPr>
            <w:tcW w:w="698" w:type="pct"/>
            <w:vAlign w:val="center"/>
          </w:tcPr>
          <w:p w14:paraId="7E980100">
            <w:pPr>
              <w:jc w:val="center"/>
              <w:rPr>
                <w:color w:val="auto"/>
                <w:highlight w:val="none"/>
              </w:rPr>
            </w:pPr>
            <w:r>
              <w:rPr>
                <w:rFonts w:hint="eastAsia" w:ascii="仿宋" w:hAnsi="仿宋" w:eastAsia="仿宋" w:cs="宋体"/>
                <w:color w:val="auto"/>
                <w:kern w:val="0"/>
                <w:sz w:val="24"/>
                <w:highlight w:val="none"/>
              </w:rPr>
              <w:t>3-18</w:t>
            </w:r>
          </w:p>
        </w:tc>
        <w:tc>
          <w:tcPr>
            <w:tcW w:w="1941" w:type="pct"/>
            <w:vAlign w:val="center"/>
          </w:tcPr>
          <w:p w14:paraId="1AC018C6">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硬盘（6T）</w:t>
            </w:r>
          </w:p>
        </w:tc>
        <w:tc>
          <w:tcPr>
            <w:tcW w:w="635" w:type="pct"/>
            <w:vAlign w:val="center"/>
          </w:tcPr>
          <w:p w14:paraId="3F9F9306">
            <w:pPr>
              <w:widowControl/>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8</w:t>
            </w:r>
          </w:p>
        </w:tc>
        <w:tc>
          <w:tcPr>
            <w:tcW w:w="482" w:type="pct"/>
            <w:vAlign w:val="center"/>
          </w:tcPr>
          <w:p w14:paraId="5C8F95E5">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块</w:t>
            </w:r>
          </w:p>
        </w:tc>
        <w:tc>
          <w:tcPr>
            <w:tcW w:w="671" w:type="pct"/>
            <w:vAlign w:val="center"/>
          </w:tcPr>
          <w:p w14:paraId="1F495105">
            <w:pPr>
              <w:jc w:val="center"/>
              <w:rPr>
                <w:color w:val="auto"/>
                <w:highlight w:val="none"/>
              </w:rPr>
            </w:pPr>
            <w:r>
              <w:rPr>
                <w:rFonts w:hint="eastAsia" w:ascii="仿宋" w:hAnsi="仿宋" w:eastAsia="仿宋" w:cs="宋体"/>
                <w:color w:val="auto"/>
                <w:kern w:val="0"/>
                <w:sz w:val="24"/>
                <w:highlight w:val="none"/>
                <w:lang w:bidi="ar"/>
              </w:rPr>
              <w:t>否</w:t>
            </w:r>
          </w:p>
        </w:tc>
      </w:tr>
      <w:tr w14:paraId="38233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73" w:type="pct"/>
            <w:vMerge w:val="continue"/>
            <w:noWrap/>
            <w:vAlign w:val="center"/>
          </w:tcPr>
          <w:p w14:paraId="6A4FBAE4">
            <w:pPr>
              <w:spacing w:before="120"/>
              <w:contextualSpacing/>
              <w:jc w:val="center"/>
              <w:rPr>
                <w:rFonts w:ascii="仿宋" w:hAnsi="仿宋" w:eastAsia="仿宋"/>
                <w:color w:val="auto"/>
                <w:sz w:val="24"/>
                <w:highlight w:val="none"/>
              </w:rPr>
            </w:pPr>
          </w:p>
        </w:tc>
        <w:tc>
          <w:tcPr>
            <w:tcW w:w="698" w:type="pct"/>
            <w:vAlign w:val="center"/>
          </w:tcPr>
          <w:p w14:paraId="5B11B633">
            <w:pPr>
              <w:jc w:val="center"/>
              <w:rPr>
                <w:color w:val="auto"/>
                <w:highlight w:val="none"/>
              </w:rPr>
            </w:pPr>
            <w:r>
              <w:rPr>
                <w:rFonts w:hint="eastAsia" w:ascii="仿宋" w:hAnsi="仿宋" w:eastAsia="仿宋" w:cs="宋体"/>
                <w:color w:val="auto"/>
                <w:kern w:val="0"/>
                <w:sz w:val="24"/>
                <w:highlight w:val="none"/>
              </w:rPr>
              <w:t>3-19</w:t>
            </w:r>
          </w:p>
        </w:tc>
        <w:tc>
          <w:tcPr>
            <w:tcW w:w="1941" w:type="pct"/>
            <w:vAlign w:val="center"/>
          </w:tcPr>
          <w:p w14:paraId="3F1A9C7C">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交换机</w:t>
            </w:r>
          </w:p>
        </w:tc>
        <w:tc>
          <w:tcPr>
            <w:tcW w:w="635" w:type="pct"/>
            <w:vAlign w:val="center"/>
          </w:tcPr>
          <w:p w14:paraId="526DCF4C">
            <w:pPr>
              <w:widowControl/>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2</w:t>
            </w:r>
          </w:p>
        </w:tc>
        <w:tc>
          <w:tcPr>
            <w:tcW w:w="482" w:type="pct"/>
            <w:vAlign w:val="center"/>
          </w:tcPr>
          <w:p w14:paraId="3F04680C">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台</w:t>
            </w:r>
          </w:p>
        </w:tc>
        <w:tc>
          <w:tcPr>
            <w:tcW w:w="671" w:type="pct"/>
            <w:vAlign w:val="center"/>
          </w:tcPr>
          <w:p w14:paraId="1469C376">
            <w:pPr>
              <w:jc w:val="center"/>
              <w:rPr>
                <w:color w:val="auto"/>
                <w:highlight w:val="none"/>
              </w:rPr>
            </w:pPr>
            <w:r>
              <w:rPr>
                <w:rFonts w:hint="eastAsia" w:ascii="仿宋" w:hAnsi="仿宋" w:eastAsia="仿宋" w:cs="宋体"/>
                <w:color w:val="auto"/>
                <w:kern w:val="0"/>
                <w:sz w:val="24"/>
                <w:highlight w:val="none"/>
                <w:lang w:bidi="ar"/>
              </w:rPr>
              <w:t>否</w:t>
            </w:r>
          </w:p>
        </w:tc>
      </w:tr>
      <w:tr w14:paraId="65FAD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73" w:type="pct"/>
            <w:vMerge w:val="continue"/>
            <w:noWrap/>
            <w:vAlign w:val="center"/>
          </w:tcPr>
          <w:p w14:paraId="3A3AD4A0">
            <w:pPr>
              <w:spacing w:before="120"/>
              <w:contextualSpacing/>
              <w:jc w:val="center"/>
              <w:rPr>
                <w:rFonts w:ascii="仿宋" w:hAnsi="仿宋" w:eastAsia="仿宋"/>
                <w:color w:val="auto"/>
                <w:sz w:val="24"/>
                <w:highlight w:val="none"/>
              </w:rPr>
            </w:pPr>
          </w:p>
        </w:tc>
        <w:tc>
          <w:tcPr>
            <w:tcW w:w="698" w:type="pct"/>
            <w:vAlign w:val="center"/>
          </w:tcPr>
          <w:p w14:paraId="5EF45881">
            <w:pPr>
              <w:jc w:val="center"/>
              <w:rPr>
                <w:color w:val="auto"/>
                <w:highlight w:val="none"/>
              </w:rPr>
            </w:pPr>
            <w:r>
              <w:rPr>
                <w:rFonts w:hint="eastAsia" w:ascii="仿宋" w:hAnsi="仿宋" w:eastAsia="仿宋" w:cs="宋体"/>
                <w:color w:val="auto"/>
                <w:kern w:val="0"/>
                <w:sz w:val="24"/>
                <w:highlight w:val="none"/>
              </w:rPr>
              <w:t>3-20</w:t>
            </w:r>
          </w:p>
        </w:tc>
        <w:tc>
          <w:tcPr>
            <w:tcW w:w="1941" w:type="pct"/>
            <w:vAlign w:val="center"/>
          </w:tcPr>
          <w:p w14:paraId="58E9261E">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硬盘录像主机</w:t>
            </w:r>
          </w:p>
        </w:tc>
        <w:tc>
          <w:tcPr>
            <w:tcW w:w="635" w:type="pct"/>
            <w:vAlign w:val="center"/>
          </w:tcPr>
          <w:p w14:paraId="47CC3505">
            <w:pPr>
              <w:widowControl/>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w:t>
            </w:r>
          </w:p>
        </w:tc>
        <w:tc>
          <w:tcPr>
            <w:tcW w:w="482" w:type="pct"/>
            <w:vAlign w:val="center"/>
          </w:tcPr>
          <w:p w14:paraId="1A79EC87">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台</w:t>
            </w:r>
          </w:p>
        </w:tc>
        <w:tc>
          <w:tcPr>
            <w:tcW w:w="671" w:type="pct"/>
            <w:vAlign w:val="center"/>
          </w:tcPr>
          <w:p w14:paraId="669D4B03">
            <w:pPr>
              <w:jc w:val="center"/>
              <w:rPr>
                <w:color w:val="auto"/>
                <w:highlight w:val="none"/>
              </w:rPr>
            </w:pPr>
            <w:r>
              <w:rPr>
                <w:rFonts w:hint="eastAsia" w:ascii="仿宋" w:hAnsi="仿宋" w:eastAsia="仿宋" w:cs="宋体"/>
                <w:color w:val="auto"/>
                <w:kern w:val="0"/>
                <w:sz w:val="24"/>
                <w:highlight w:val="none"/>
                <w:lang w:bidi="ar"/>
              </w:rPr>
              <w:t>否</w:t>
            </w:r>
          </w:p>
        </w:tc>
      </w:tr>
      <w:tr w14:paraId="662D7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73" w:type="pct"/>
            <w:vMerge w:val="continue"/>
            <w:noWrap/>
            <w:vAlign w:val="center"/>
          </w:tcPr>
          <w:p w14:paraId="269BB8F5">
            <w:pPr>
              <w:spacing w:before="120"/>
              <w:contextualSpacing/>
              <w:jc w:val="center"/>
              <w:rPr>
                <w:rFonts w:ascii="仿宋" w:hAnsi="仿宋" w:eastAsia="仿宋"/>
                <w:color w:val="auto"/>
                <w:sz w:val="24"/>
                <w:highlight w:val="none"/>
              </w:rPr>
            </w:pPr>
          </w:p>
        </w:tc>
        <w:tc>
          <w:tcPr>
            <w:tcW w:w="698" w:type="pct"/>
            <w:vAlign w:val="center"/>
          </w:tcPr>
          <w:p w14:paraId="57A8AADD">
            <w:pPr>
              <w:jc w:val="center"/>
              <w:rPr>
                <w:color w:val="auto"/>
                <w:highlight w:val="none"/>
              </w:rPr>
            </w:pPr>
            <w:r>
              <w:rPr>
                <w:rFonts w:hint="eastAsia" w:ascii="仿宋" w:hAnsi="仿宋" w:eastAsia="仿宋" w:cs="宋体"/>
                <w:color w:val="auto"/>
                <w:kern w:val="0"/>
                <w:sz w:val="24"/>
                <w:highlight w:val="none"/>
              </w:rPr>
              <w:t>3-21</w:t>
            </w:r>
          </w:p>
        </w:tc>
        <w:tc>
          <w:tcPr>
            <w:tcW w:w="1941" w:type="pct"/>
            <w:vAlign w:val="center"/>
          </w:tcPr>
          <w:p w14:paraId="74584139">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机柜</w:t>
            </w:r>
          </w:p>
        </w:tc>
        <w:tc>
          <w:tcPr>
            <w:tcW w:w="635" w:type="pct"/>
            <w:vAlign w:val="center"/>
          </w:tcPr>
          <w:p w14:paraId="51B206D2">
            <w:pPr>
              <w:widowControl/>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w:t>
            </w:r>
          </w:p>
        </w:tc>
        <w:tc>
          <w:tcPr>
            <w:tcW w:w="482" w:type="pct"/>
            <w:vAlign w:val="center"/>
          </w:tcPr>
          <w:p w14:paraId="49599720">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台</w:t>
            </w:r>
          </w:p>
        </w:tc>
        <w:tc>
          <w:tcPr>
            <w:tcW w:w="671" w:type="pct"/>
            <w:vAlign w:val="center"/>
          </w:tcPr>
          <w:p w14:paraId="74852FDF">
            <w:pPr>
              <w:jc w:val="center"/>
              <w:rPr>
                <w:color w:val="auto"/>
                <w:highlight w:val="none"/>
              </w:rPr>
            </w:pPr>
            <w:r>
              <w:rPr>
                <w:rFonts w:hint="eastAsia" w:ascii="仿宋" w:hAnsi="仿宋" w:eastAsia="仿宋" w:cs="宋体"/>
                <w:color w:val="auto"/>
                <w:kern w:val="0"/>
                <w:sz w:val="24"/>
                <w:highlight w:val="none"/>
                <w:lang w:bidi="ar"/>
              </w:rPr>
              <w:t>否</w:t>
            </w:r>
          </w:p>
        </w:tc>
      </w:tr>
      <w:tr w14:paraId="48B64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73" w:type="pct"/>
            <w:vMerge w:val="continue"/>
            <w:noWrap/>
            <w:vAlign w:val="center"/>
          </w:tcPr>
          <w:p w14:paraId="2C6D3763">
            <w:pPr>
              <w:spacing w:before="120"/>
              <w:contextualSpacing/>
              <w:jc w:val="center"/>
              <w:rPr>
                <w:rFonts w:ascii="仿宋" w:hAnsi="仿宋" w:eastAsia="仿宋"/>
                <w:color w:val="auto"/>
                <w:sz w:val="24"/>
                <w:highlight w:val="none"/>
              </w:rPr>
            </w:pPr>
          </w:p>
        </w:tc>
        <w:tc>
          <w:tcPr>
            <w:tcW w:w="698" w:type="pct"/>
            <w:vAlign w:val="center"/>
          </w:tcPr>
          <w:p w14:paraId="6ED4C3C2">
            <w:pPr>
              <w:jc w:val="center"/>
              <w:rPr>
                <w:rFonts w:eastAsia="仿宋"/>
                <w:color w:val="auto"/>
                <w:highlight w:val="none"/>
              </w:rPr>
            </w:pPr>
            <w:r>
              <w:rPr>
                <w:rFonts w:hint="eastAsia" w:ascii="仿宋" w:hAnsi="仿宋" w:eastAsia="仿宋" w:cs="宋体"/>
                <w:color w:val="auto"/>
                <w:kern w:val="0"/>
                <w:sz w:val="24"/>
                <w:highlight w:val="none"/>
              </w:rPr>
              <w:t>3-22</w:t>
            </w:r>
          </w:p>
        </w:tc>
        <w:tc>
          <w:tcPr>
            <w:tcW w:w="1941" w:type="pct"/>
            <w:vAlign w:val="center"/>
          </w:tcPr>
          <w:p w14:paraId="73CED17A">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门禁控制器</w:t>
            </w:r>
          </w:p>
        </w:tc>
        <w:tc>
          <w:tcPr>
            <w:tcW w:w="635" w:type="pct"/>
            <w:vAlign w:val="center"/>
          </w:tcPr>
          <w:p w14:paraId="0833D9C4">
            <w:pPr>
              <w:widowControl/>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w:t>
            </w:r>
          </w:p>
        </w:tc>
        <w:tc>
          <w:tcPr>
            <w:tcW w:w="482" w:type="pct"/>
            <w:vAlign w:val="center"/>
          </w:tcPr>
          <w:p w14:paraId="7818909A">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台</w:t>
            </w:r>
          </w:p>
        </w:tc>
        <w:tc>
          <w:tcPr>
            <w:tcW w:w="671" w:type="pct"/>
            <w:vAlign w:val="center"/>
          </w:tcPr>
          <w:p w14:paraId="6D5DBC09">
            <w:pPr>
              <w:jc w:val="center"/>
              <w:rPr>
                <w:color w:val="auto"/>
                <w:highlight w:val="none"/>
              </w:rPr>
            </w:pPr>
            <w:r>
              <w:rPr>
                <w:rFonts w:hint="eastAsia" w:ascii="仿宋" w:hAnsi="仿宋" w:eastAsia="仿宋" w:cs="宋体"/>
                <w:color w:val="auto"/>
                <w:kern w:val="0"/>
                <w:sz w:val="24"/>
                <w:highlight w:val="none"/>
                <w:lang w:bidi="ar"/>
              </w:rPr>
              <w:t>否</w:t>
            </w:r>
          </w:p>
        </w:tc>
      </w:tr>
      <w:tr w14:paraId="1354F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73" w:type="pct"/>
            <w:vMerge w:val="continue"/>
            <w:noWrap/>
            <w:vAlign w:val="center"/>
          </w:tcPr>
          <w:p w14:paraId="423A75C8">
            <w:pPr>
              <w:spacing w:before="120"/>
              <w:contextualSpacing/>
              <w:jc w:val="center"/>
              <w:rPr>
                <w:rFonts w:ascii="仿宋" w:hAnsi="仿宋" w:eastAsia="仿宋"/>
                <w:color w:val="auto"/>
                <w:sz w:val="24"/>
                <w:highlight w:val="none"/>
              </w:rPr>
            </w:pPr>
          </w:p>
        </w:tc>
        <w:tc>
          <w:tcPr>
            <w:tcW w:w="698" w:type="pct"/>
            <w:vAlign w:val="center"/>
          </w:tcPr>
          <w:p w14:paraId="3132CF63">
            <w:pPr>
              <w:jc w:val="center"/>
              <w:rPr>
                <w:rFonts w:eastAsia="仿宋"/>
                <w:color w:val="auto"/>
                <w:highlight w:val="none"/>
              </w:rPr>
            </w:pPr>
            <w:r>
              <w:rPr>
                <w:rFonts w:hint="eastAsia" w:ascii="仿宋" w:hAnsi="仿宋" w:eastAsia="仿宋" w:cs="宋体"/>
                <w:color w:val="auto"/>
                <w:kern w:val="0"/>
                <w:sz w:val="24"/>
                <w:highlight w:val="none"/>
              </w:rPr>
              <w:t>3-23</w:t>
            </w:r>
          </w:p>
        </w:tc>
        <w:tc>
          <w:tcPr>
            <w:tcW w:w="1941" w:type="pct"/>
            <w:vAlign w:val="center"/>
          </w:tcPr>
          <w:p w14:paraId="6FECD020">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门禁专用标准机箱</w:t>
            </w:r>
          </w:p>
        </w:tc>
        <w:tc>
          <w:tcPr>
            <w:tcW w:w="635" w:type="pct"/>
            <w:vAlign w:val="center"/>
          </w:tcPr>
          <w:p w14:paraId="5B04B975">
            <w:pPr>
              <w:widowControl/>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w:t>
            </w:r>
          </w:p>
        </w:tc>
        <w:tc>
          <w:tcPr>
            <w:tcW w:w="482" w:type="pct"/>
            <w:vAlign w:val="center"/>
          </w:tcPr>
          <w:p w14:paraId="3E060B69">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台</w:t>
            </w:r>
          </w:p>
        </w:tc>
        <w:tc>
          <w:tcPr>
            <w:tcW w:w="671" w:type="pct"/>
            <w:vAlign w:val="center"/>
          </w:tcPr>
          <w:p w14:paraId="58FCD66E">
            <w:pPr>
              <w:jc w:val="center"/>
              <w:rPr>
                <w:color w:val="auto"/>
                <w:highlight w:val="none"/>
              </w:rPr>
            </w:pPr>
            <w:r>
              <w:rPr>
                <w:rFonts w:hint="eastAsia" w:ascii="仿宋" w:hAnsi="仿宋" w:eastAsia="仿宋" w:cs="宋体"/>
                <w:color w:val="auto"/>
                <w:kern w:val="0"/>
                <w:sz w:val="24"/>
                <w:highlight w:val="none"/>
                <w:lang w:bidi="ar"/>
              </w:rPr>
              <w:t>否</w:t>
            </w:r>
          </w:p>
        </w:tc>
      </w:tr>
      <w:tr w14:paraId="49B22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73" w:type="pct"/>
            <w:vMerge w:val="continue"/>
            <w:noWrap/>
            <w:vAlign w:val="center"/>
          </w:tcPr>
          <w:p w14:paraId="4A01399D">
            <w:pPr>
              <w:spacing w:before="120"/>
              <w:contextualSpacing/>
              <w:jc w:val="center"/>
              <w:rPr>
                <w:rFonts w:ascii="仿宋" w:hAnsi="仿宋" w:eastAsia="仿宋"/>
                <w:color w:val="auto"/>
                <w:sz w:val="24"/>
                <w:highlight w:val="none"/>
              </w:rPr>
            </w:pPr>
          </w:p>
        </w:tc>
        <w:tc>
          <w:tcPr>
            <w:tcW w:w="698" w:type="pct"/>
            <w:vAlign w:val="center"/>
          </w:tcPr>
          <w:p w14:paraId="511A79E2">
            <w:pPr>
              <w:jc w:val="center"/>
              <w:rPr>
                <w:color w:val="auto"/>
                <w:highlight w:val="none"/>
              </w:rPr>
            </w:pPr>
            <w:r>
              <w:rPr>
                <w:rFonts w:hint="eastAsia" w:ascii="仿宋" w:hAnsi="仿宋" w:eastAsia="仿宋" w:cs="宋体"/>
                <w:color w:val="auto"/>
                <w:kern w:val="0"/>
                <w:sz w:val="24"/>
                <w:highlight w:val="none"/>
              </w:rPr>
              <w:t>3-24</w:t>
            </w:r>
          </w:p>
        </w:tc>
        <w:tc>
          <w:tcPr>
            <w:tcW w:w="1941" w:type="pct"/>
            <w:vAlign w:val="center"/>
          </w:tcPr>
          <w:p w14:paraId="2D08EB25">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电磁锁（单开）</w:t>
            </w:r>
          </w:p>
        </w:tc>
        <w:tc>
          <w:tcPr>
            <w:tcW w:w="635" w:type="pct"/>
            <w:vAlign w:val="center"/>
          </w:tcPr>
          <w:p w14:paraId="66AE65FA">
            <w:pPr>
              <w:widowControl/>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w:t>
            </w:r>
          </w:p>
        </w:tc>
        <w:tc>
          <w:tcPr>
            <w:tcW w:w="482" w:type="pct"/>
            <w:vAlign w:val="center"/>
          </w:tcPr>
          <w:p w14:paraId="4B533EFC">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把</w:t>
            </w:r>
          </w:p>
        </w:tc>
        <w:tc>
          <w:tcPr>
            <w:tcW w:w="671" w:type="pct"/>
            <w:vAlign w:val="center"/>
          </w:tcPr>
          <w:p w14:paraId="7C12989A">
            <w:pPr>
              <w:jc w:val="center"/>
              <w:rPr>
                <w:color w:val="auto"/>
                <w:highlight w:val="none"/>
              </w:rPr>
            </w:pPr>
            <w:r>
              <w:rPr>
                <w:rFonts w:hint="eastAsia" w:ascii="仿宋" w:hAnsi="仿宋" w:eastAsia="仿宋" w:cs="宋体"/>
                <w:color w:val="auto"/>
                <w:kern w:val="0"/>
                <w:sz w:val="24"/>
                <w:highlight w:val="none"/>
                <w:lang w:bidi="ar"/>
              </w:rPr>
              <w:t>否</w:t>
            </w:r>
          </w:p>
        </w:tc>
      </w:tr>
      <w:tr w14:paraId="08A44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73" w:type="pct"/>
            <w:vMerge w:val="continue"/>
            <w:noWrap/>
            <w:vAlign w:val="center"/>
          </w:tcPr>
          <w:p w14:paraId="1A8C6AED">
            <w:pPr>
              <w:spacing w:before="120"/>
              <w:contextualSpacing/>
              <w:jc w:val="center"/>
              <w:rPr>
                <w:rFonts w:ascii="仿宋" w:hAnsi="仿宋" w:eastAsia="仿宋"/>
                <w:color w:val="auto"/>
                <w:sz w:val="24"/>
                <w:highlight w:val="none"/>
              </w:rPr>
            </w:pPr>
          </w:p>
        </w:tc>
        <w:tc>
          <w:tcPr>
            <w:tcW w:w="698" w:type="pct"/>
            <w:vAlign w:val="center"/>
          </w:tcPr>
          <w:p w14:paraId="3FE79D7B">
            <w:pPr>
              <w:jc w:val="center"/>
              <w:rPr>
                <w:rFonts w:eastAsia="仿宋"/>
                <w:color w:val="auto"/>
                <w:highlight w:val="none"/>
              </w:rPr>
            </w:pPr>
            <w:r>
              <w:rPr>
                <w:rFonts w:hint="eastAsia" w:ascii="仿宋" w:hAnsi="仿宋" w:eastAsia="仿宋" w:cs="宋体"/>
                <w:color w:val="auto"/>
                <w:kern w:val="0"/>
                <w:sz w:val="24"/>
                <w:highlight w:val="none"/>
              </w:rPr>
              <w:t>3-25</w:t>
            </w:r>
          </w:p>
        </w:tc>
        <w:tc>
          <w:tcPr>
            <w:tcW w:w="1941" w:type="pct"/>
            <w:vAlign w:val="center"/>
          </w:tcPr>
          <w:p w14:paraId="7B63535C">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门禁读卡器</w:t>
            </w:r>
          </w:p>
        </w:tc>
        <w:tc>
          <w:tcPr>
            <w:tcW w:w="635" w:type="pct"/>
            <w:vAlign w:val="center"/>
          </w:tcPr>
          <w:p w14:paraId="61AB9077">
            <w:pPr>
              <w:widowControl/>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w:t>
            </w:r>
          </w:p>
        </w:tc>
        <w:tc>
          <w:tcPr>
            <w:tcW w:w="482" w:type="pct"/>
            <w:vAlign w:val="center"/>
          </w:tcPr>
          <w:p w14:paraId="6D9F059D">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台</w:t>
            </w:r>
          </w:p>
        </w:tc>
        <w:tc>
          <w:tcPr>
            <w:tcW w:w="671" w:type="pct"/>
            <w:vAlign w:val="center"/>
          </w:tcPr>
          <w:p w14:paraId="48FDC225">
            <w:pPr>
              <w:jc w:val="center"/>
              <w:rPr>
                <w:color w:val="auto"/>
                <w:highlight w:val="none"/>
              </w:rPr>
            </w:pPr>
            <w:r>
              <w:rPr>
                <w:rFonts w:hint="eastAsia" w:ascii="仿宋" w:hAnsi="仿宋" w:eastAsia="仿宋" w:cs="宋体"/>
                <w:color w:val="auto"/>
                <w:kern w:val="0"/>
                <w:sz w:val="24"/>
                <w:highlight w:val="none"/>
                <w:lang w:bidi="ar"/>
              </w:rPr>
              <w:t>否</w:t>
            </w:r>
          </w:p>
        </w:tc>
      </w:tr>
      <w:tr w14:paraId="6EB8E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73" w:type="pct"/>
            <w:vMerge w:val="continue"/>
            <w:noWrap/>
            <w:vAlign w:val="center"/>
          </w:tcPr>
          <w:p w14:paraId="0BA39921">
            <w:pPr>
              <w:spacing w:before="120"/>
              <w:contextualSpacing/>
              <w:jc w:val="center"/>
              <w:rPr>
                <w:rFonts w:ascii="仿宋" w:hAnsi="仿宋" w:eastAsia="仿宋"/>
                <w:color w:val="auto"/>
                <w:sz w:val="24"/>
                <w:highlight w:val="none"/>
              </w:rPr>
            </w:pPr>
          </w:p>
        </w:tc>
        <w:tc>
          <w:tcPr>
            <w:tcW w:w="698" w:type="pct"/>
            <w:vAlign w:val="center"/>
          </w:tcPr>
          <w:p w14:paraId="2FD8E6F3">
            <w:pPr>
              <w:jc w:val="center"/>
              <w:rPr>
                <w:rFonts w:eastAsia="仿宋"/>
                <w:color w:val="auto"/>
                <w:highlight w:val="none"/>
              </w:rPr>
            </w:pPr>
            <w:r>
              <w:rPr>
                <w:rFonts w:hint="eastAsia" w:ascii="仿宋" w:hAnsi="仿宋" w:eastAsia="仿宋" w:cs="宋体"/>
                <w:color w:val="auto"/>
                <w:kern w:val="0"/>
                <w:sz w:val="24"/>
                <w:highlight w:val="none"/>
              </w:rPr>
              <w:t>3-26</w:t>
            </w:r>
          </w:p>
        </w:tc>
        <w:tc>
          <w:tcPr>
            <w:tcW w:w="1941" w:type="pct"/>
            <w:vAlign w:val="center"/>
          </w:tcPr>
          <w:p w14:paraId="03038A2F">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门禁卡</w:t>
            </w:r>
          </w:p>
        </w:tc>
        <w:tc>
          <w:tcPr>
            <w:tcW w:w="635" w:type="pct"/>
            <w:vAlign w:val="center"/>
          </w:tcPr>
          <w:p w14:paraId="098AC8BC">
            <w:pPr>
              <w:widowControl/>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10</w:t>
            </w:r>
          </w:p>
        </w:tc>
        <w:tc>
          <w:tcPr>
            <w:tcW w:w="482" w:type="pct"/>
            <w:vAlign w:val="center"/>
          </w:tcPr>
          <w:p w14:paraId="57841507">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张</w:t>
            </w:r>
          </w:p>
        </w:tc>
        <w:tc>
          <w:tcPr>
            <w:tcW w:w="671" w:type="pct"/>
            <w:vAlign w:val="center"/>
          </w:tcPr>
          <w:p w14:paraId="34085882">
            <w:pPr>
              <w:jc w:val="center"/>
              <w:rPr>
                <w:color w:val="auto"/>
                <w:highlight w:val="none"/>
              </w:rPr>
            </w:pPr>
            <w:r>
              <w:rPr>
                <w:rFonts w:hint="eastAsia" w:ascii="仿宋" w:hAnsi="仿宋" w:eastAsia="仿宋" w:cs="宋体"/>
                <w:color w:val="auto"/>
                <w:kern w:val="0"/>
                <w:sz w:val="24"/>
                <w:highlight w:val="none"/>
                <w:lang w:bidi="ar"/>
              </w:rPr>
              <w:t>否</w:t>
            </w:r>
          </w:p>
        </w:tc>
      </w:tr>
      <w:tr w14:paraId="15E3E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73" w:type="pct"/>
            <w:vMerge w:val="continue"/>
            <w:noWrap/>
            <w:vAlign w:val="center"/>
          </w:tcPr>
          <w:p w14:paraId="074F9448">
            <w:pPr>
              <w:spacing w:before="120"/>
              <w:contextualSpacing/>
              <w:jc w:val="center"/>
              <w:rPr>
                <w:rFonts w:ascii="仿宋" w:hAnsi="仿宋" w:eastAsia="仿宋"/>
                <w:color w:val="auto"/>
                <w:sz w:val="24"/>
                <w:highlight w:val="none"/>
              </w:rPr>
            </w:pPr>
          </w:p>
        </w:tc>
        <w:tc>
          <w:tcPr>
            <w:tcW w:w="698" w:type="pct"/>
            <w:vAlign w:val="center"/>
          </w:tcPr>
          <w:p w14:paraId="5D6D042A">
            <w:pPr>
              <w:jc w:val="center"/>
              <w:rPr>
                <w:rFonts w:eastAsia="仿宋"/>
                <w:color w:val="auto"/>
                <w:highlight w:val="none"/>
              </w:rPr>
            </w:pPr>
            <w:r>
              <w:rPr>
                <w:rFonts w:hint="eastAsia" w:ascii="仿宋" w:hAnsi="仿宋" w:eastAsia="仿宋" w:cs="宋体"/>
                <w:color w:val="auto"/>
                <w:kern w:val="0"/>
                <w:sz w:val="24"/>
                <w:highlight w:val="none"/>
              </w:rPr>
              <w:t>3-27</w:t>
            </w:r>
          </w:p>
        </w:tc>
        <w:tc>
          <w:tcPr>
            <w:tcW w:w="1941" w:type="pct"/>
            <w:vAlign w:val="center"/>
          </w:tcPr>
          <w:p w14:paraId="1BBD5908">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出门按钮</w:t>
            </w:r>
          </w:p>
        </w:tc>
        <w:tc>
          <w:tcPr>
            <w:tcW w:w="635" w:type="pct"/>
            <w:vAlign w:val="center"/>
          </w:tcPr>
          <w:p w14:paraId="62825ACA">
            <w:pPr>
              <w:widowControl/>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w:t>
            </w:r>
          </w:p>
        </w:tc>
        <w:tc>
          <w:tcPr>
            <w:tcW w:w="482" w:type="pct"/>
            <w:vAlign w:val="center"/>
          </w:tcPr>
          <w:p w14:paraId="2AC46BBC">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个</w:t>
            </w:r>
          </w:p>
        </w:tc>
        <w:tc>
          <w:tcPr>
            <w:tcW w:w="671" w:type="pct"/>
            <w:vAlign w:val="center"/>
          </w:tcPr>
          <w:p w14:paraId="384B4493">
            <w:pPr>
              <w:jc w:val="center"/>
              <w:rPr>
                <w:color w:val="auto"/>
                <w:highlight w:val="none"/>
              </w:rPr>
            </w:pPr>
            <w:r>
              <w:rPr>
                <w:rFonts w:hint="eastAsia" w:ascii="仿宋" w:hAnsi="仿宋" w:eastAsia="仿宋" w:cs="宋体"/>
                <w:color w:val="auto"/>
                <w:kern w:val="0"/>
                <w:sz w:val="24"/>
                <w:highlight w:val="none"/>
                <w:lang w:bidi="ar"/>
              </w:rPr>
              <w:t>否</w:t>
            </w:r>
          </w:p>
        </w:tc>
      </w:tr>
      <w:tr w14:paraId="0AA02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73" w:type="pct"/>
            <w:vMerge w:val="continue"/>
            <w:noWrap/>
            <w:vAlign w:val="center"/>
          </w:tcPr>
          <w:p w14:paraId="7BEB8F38">
            <w:pPr>
              <w:spacing w:before="120"/>
              <w:contextualSpacing/>
              <w:jc w:val="center"/>
              <w:rPr>
                <w:rFonts w:ascii="仿宋" w:hAnsi="仿宋" w:eastAsia="仿宋"/>
                <w:color w:val="auto"/>
                <w:sz w:val="24"/>
                <w:highlight w:val="none"/>
              </w:rPr>
            </w:pPr>
          </w:p>
        </w:tc>
        <w:tc>
          <w:tcPr>
            <w:tcW w:w="698" w:type="pct"/>
            <w:vAlign w:val="center"/>
          </w:tcPr>
          <w:p w14:paraId="5827D00A">
            <w:pPr>
              <w:jc w:val="center"/>
              <w:rPr>
                <w:rFonts w:eastAsia="仿宋"/>
                <w:color w:val="auto"/>
                <w:highlight w:val="none"/>
              </w:rPr>
            </w:pPr>
            <w:r>
              <w:rPr>
                <w:rFonts w:hint="eastAsia" w:ascii="仿宋" w:hAnsi="仿宋" w:eastAsia="仿宋" w:cs="宋体"/>
                <w:color w:val="auto"/>
                <w:kern w:val="0"/>
                <w:sz w:val="24"/>
                <w:highlight w:val="none"/>
              </w:rPr>
              <w:t>3-28</w:t>
            </w:r>
          </w:p>
        </w:tc>
        <w:tc>
          <w:tcPr>
            <w:tcW w:w="1941" w:type="pct"/>
            <w:vAlign w:val="center"/>
          </w:tcPr>
          <w:p w14:paraId="318816D7">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玻破开关</w:t>
            </w:r>
          </w:p>
        </w:tc>
        <w:tc>
          <w:tcPr>
            <w:tcW w:w="635" w:type="pct"/>
            <w:vAlign w:val="center"/>
          </w:tcPr>
          <w:p w14:paraId="2CE5588F">
            <w:pPr>
              <w:widowControl/>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w:t>
            </w:r>
          </w:p>
        </w:tc>
        <w:tc>
          <w:tcPr>
            <w:tcW w:w="482" w:type="pct"/>
            <w:vAlign w:val="center"/>
          </w:tcPr>
          <w:p w14:paraId="69F0EB46">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个</w:t>
            </w:r>
          </w:p>
        </w:tc>
        <w:tc>
          <w:tcPr>
            <w:tcW w:w="671" w:type="pct"/>
            <w:vAlign w:val="center"/>
          </w:tcPr>
          <w:p w14:paraId="6AEACD99">
            <w:pPr>
              <w:jc w:val="center"/>
              <w:rPr>
                <w:color w:val="auto"/>
                <w:highlight w:val="none"/>
              </w:rPr>
            </w:pPr>
            <w:r>
              <w:rPr>
                <w:rFonts w:hint="eastAsia" w:ascii="仿宋" w:hAnsi="仿宋" w:eastAsia="仿宋" w:cs="宋体"/>
                <w:color w:val="auto"/>
                <w:kern w:val="0"/>
                <w:sz w:val="24"/>
                <w:highlight w:val="none"/>
                <w:lang w:bidi="ar"/>
              </w:rPr>
              <w:t>否</w:t>
            </w:r>
          </w:p>
        </w:tc>
      </w:tr>
      <w:tr w14:paraId="0FE80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73" w:type="pct"/>
            <w:vMerge w:val="continue"/>
            <w:noWrap/>
            <w:vAlign w:val="center"/>
          </w:tcPr>
          <w:p w14:paraId="2B18DCAD">
            <w:pPr>
              <w:spacing w:before="120"/>
              <w:contextualSpacing/>
              <w:jc w:val="center"/>
              <w:rPr>
                <w:rFonts w:ascii="仿宋" w:hAnsi="仿宋" w:eastAsia="仿宋"/>
                <w:color w:val="auto"/>
                <w:sz w:val="24"/>
                <w:highlight w:val="none"/>
              </w:rPr>
            </w:pPr>
          </w:p>
        </w:tc>
        <w:tc>
          <w:tcPr>
            <w:tcW w:w="698" w:type="pct"/>
            <w:vAlign w:val="center"/>
          </w:tcPr>
          <w:p w14:paraId="6A9C72AB">
            <w:pPr>
              <w:jc w:val="center"/>
              <w:rPr>
                <w:rFonts w:eastAsia="仿宋"/>
                <w:color w:val="auto"/>
                <w:highlight w:val="none"/>
              </w:rPr>
            </w:pPr>
            <w:r>
              <w:rPr>
                <w:rFonts w:hint="eastAsia" w:ascii="仿宋" w:hAnsi="仿宋" w:eastAsia="仿宋" w:cs="宋体"/>
                <w:color w:val="auto"/>
                <w:kern w:val="0"/>
                <w:sz w:val="24"/>
                <w:highlight w:val="none"/>
              </w:rPr>
              <w:t>3-29</w:t>
            </w:r>
          </w:p>
        </w:tc>
        <w:tc>
          <w:tcPr>
            <w:tcW w:w="1941" w:type="pct"/>
            <w:vAlign w:val="center"/>
          </w:tcPr>
          <w:p w14:paraId="15AD86FE">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8路报警主机</w:t>
            </w:r>
          </w:p>
        </w:tc>
        <w:tc>
          <w:tcPr>
            <w:tcW w:w="635" w:type="pct"/>
            <w:vAlign w:val="center"/>
          </w:tcPr>
          <w:p w14:paraId="0C854D70">
            <w:pPr>
              <w:widowControl/>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w:t>
            </w:r>
          </w:p>
        </w:tc>
        <w:tc>
          <w:tcPr>
            <w:tcW w:w="482" w:type="pct"/>
            <w:vAlign w:val="center"/>
          </w:tcPr>
          <w:p w14:paraId="24258EBD">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台</w:t>
            </w:r>
          </w:p>
        </w:tc>
        <w:tc>
          <w:tcPr>
            <w:tcW w:w="671" w:type="pct"/>
            <w:vAlign w:val="center"/>
          </w:tcPr>
          <w:p w14:paraId="4ECA87A3">
            <w:pPr>
              <w:jc w:val="center"/>
              <w:rPr>
                <w:color w:val="auto"/>
                <w:highlight w:val="none"/>
              </w:rPr>
            </w:pPr>
            <w:r>
              <w:rPr>
                <w:rFonts w:hint="eastAsia" w:ascii="仿宋" w:hAnsi="仿宋" w:eastAsia="仿宋" w:cs="宋体"/>
                <w:color w:val="auto"/>
                <w:kern w:val="0"/>
                <w:sz w:val="24"/>
                <w:highlight w:val="none"/>
                <w:lang w:bidi="ar"/>
              </w:rPr>
              <w:t>否</w:t>
            </w:r>
          </w:p>
        </w:tc>
      </w:tr>
      <w:tr w14:paraId="2B796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73" w:type="pct"/>
            <w:vMerge w:val="continue"/>
            <w:noWrap/>
            <w:vAlign w:val="center"/>
          </w:tcPr>
          <w:p w14:paraId="75E0D3C8">
            <w:pPr>
              <w:spacing w:before="120"/>
              <w:contextualSpacing/>
              <w:jc w:val="center"/>
              <w:rPr>
                <w:rFonts w:ascii="仿宋" w:hAnsi="仿宋" w:eastAsia="仿宋"/>
                <w:color w:val="auto"/>
                <w:sz w:val="24"/>
                <w:highlight w:val="none"/>
              </w:rPr>
            </w:pPr>
          </w:p>
        </w:tc>
        <w:tc>
          <w:tcPr>
            <w:tcW w:w="698" w:type="pct"/>
            <w:vAlign w:val="center"/>
          </w:tcPr>
          <w:p w14:paraId="78B3364A">
            <w:pPr>
              <w:jc w:val="center"/>
              <w:rPr>
                <w:rFonts w:eastAsia="仿宋"/>
                <w:color w:val="auto"/>
                <w:highlight w:val="none"/>
              </w:rPr>
            </w:pPr>
            <w:r>
              <w:rPr>
                <w:rFonts w:hint="eastAsia" w:ascii="仿宋" w:hAnsi="仿宋" w:eastAsia="仿宋" w:cs="宋体"/>
                <w:color w:val="auto"/>
                <w:kern w:val="0"/>
                <w:sz w:val="24"/>
                <w:highlight w:val="none"/>
              </w:rPr>
              <w:t>3-30</w:t>
            </w:r>
          </w:p>
        </w:tc>
        <w:tc>
          <w:tcPr>
            <w:tcW w:w="1941" w:type="pct"/>
            <w:vAlign w:val="center"/>
          </w:tcPr>
          <w:p w14:paraId="7C7B665C">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8路报警主机键盘</w:t>
            </w:r>
          </w:p>
        </w:tc>
        <w:tc>
          <w:tcPr>
            <w:tcW w:w="635" w:type="pct"/>
            <w:vAlign w:val="center"/>
          </w:tcPr>
          <w:p w14:paraId="5C05F964">
            <w:pPr>
              <w:widowControl/>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w:t>
            </w:r>
          </w:p>
        </w:tc>
        <w:tc>
          <w:tcPr>
            <w:tcW w:w="482" w:type="pct"/>
            <w:vAlign w:val="center"/>
          </w:tcPr>
          <w:p w14:paraId="3F7441CA">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台</w:t>
            </w:r>
          </w:p>
        </w:tc>
        <w:tc>
          <w:tcPr>
            <w:tcW w:w="671" w:type="pct"/>
            <w:vAlign w:val="center"/>
          </w:tcPr>
          <w:p w14:paraId="414B57CA">
            <w:pPr>
              <w:jc w:val="center"/>
              <w:rPr>
                <w:color w:val="auto"/>
                <w:highlight w:val="none"/>
              </w:rPr>
            </w:pPr>
            <w:r>
              <w:rPr>
                <w:rFonts w:hint="eastAsia" w:ascii="仿宋" w:hAnsi="仿宋" w:eastAsia="仿宋" w:cs="宋体"/>
                <w:color w:val="auto"/>
                <w:kern w:val="0"/>
                <w:sz w:val="24"/>
                <w:highlight w:val="none"/>
                <w:lang w:bidi="ar"/>
              </w:rPr>
              <w:t>否</w:t>
            </w:r>
          </w:p>
        </w:tc>
      </w:tr>
      <w:tr w14:paraId="4A28E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73" w:type="pct"/>
            <w:vMerge w:val="continue"/>
            <w:noWrap/>
            <w:vAlign w:val="center"/>
          </w:tcPr>
          <w:p w14:paraId="572F0E31">
            <w:pPr>
              <w:spacing w:before="120"/>
              <w:contextualSpacing/>
              <w:jc w:val="center"/>
              <w:rPr>
                <w:rFonts w:ascii="仿宋" w:hAnsi="仿宋" w:eastAsia="仿宋"/>
                <w:color w:val="auto"/>
                <w:sz w:val="24"/>
                <w:highlight w:val="none"/>
              </w:rPr>
            </w:pPr>
          </w:p>
        </w:tc>
        <w:tc>
          <w:tcPr>
            <w:tcW w:w="698" w:type="pct"/>
            <w:vAlign w:val="center"/>
          </w:tcPr>
          <w:p w14:paraId="7A02C629">
            <w:pPr>
              <w:jc w:val="center"/>
              <w:rPr>
                <w:rFonts w:eastAsia="仿宋"/>
                <w:color w:val="auto"/>
                <w:highlight w:val="none"/>
              </w:rPr>
            </w:pPr>
            <w:r>
              <w:rPr>
                <w:rFonts w:hint="eastAsia" w:ascii="仿宋" w:hAnsi="仿宋" w:eastAsia="仿宋" w:cs="宋体"/>
                <w:color w:val="auto"/>
                <w:kern w:val="0"/>
                <w:sz w:val="24"/>
                <w:highlight w:val="none"/>
              </w:rPr>
              <w:t>3-31</w:t>
            </w:r>
          </w:p>
        </w:tc>
        <w:tc>
          <w:tcPr>
            <w:tcW w:w="1941" w:type="pct"/>
            <w:vAlign w:val="center"/>
          </w:tcPr>
          <w:p w14:paraId="0A887568">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防爆双鉴探测器</w:t>
            </w:r>
          </w:p>
        </w:tc>
        <w:tc>
          <w:tcPr>
            <w:tcW w:w="635" w:type="pct"/>
            <w:vAlign w:val="center"/>
          </w:tcPr>
          <w:p w14:paraId="6302F2D2">
            <w:pPr>
              <w:widowControl/>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w:t>
            </w:r>
          </w:p>
        </w:tc>
        <w:tc>
          <w:tcPr>
            <w:tcW w:w="482" w:type="pct"/>
            <w:vAlign w:val="center"/>
          </w:tcPr>
          <w:p w14:paraId="52D9CB74">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台</w:t>
            </w:r>
          </w:p>
        </w:tc>
        <w:tc>
          <w:tcPr>
            <w:tcW w:w="671" w:type="pct"/>
            <w:vAlign w:val="center"/>
          </w:tcPr>
          <w:p w14:paraId="2273D48B">
            <w:pPr>
              <w:jc w:val="center"/>
              <w:rPr>
                <w:color w:val="auto"/>
                <w:highlight w:val="none"/>
              </w:rPr>
            </w:pPr>
            <w:r>
              <w:rPr>
                <w:rFonts w:hint="eastAsia" w:ascii="仿宋" w:hAnsi="仿宋" w:eastAsia="仿宋" w:cs="宋体"/>
                <w:color w:val="auto"/>
                <w:kern w:val="0"/>
                <w:sz w:val="24"/>
                <w:highlight w:val="none"/>
                <w:lang w:bidi="ar"/>
              </w:rPr>
              <w:t>否</w:t>
            </w:r>
          </w:p>
        </w:tc>
      </w:tr>
      <w:tr w14:paraId="3704A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73" w:type="pct"/>
            <w:vMerge w:val="continue"/>
            <w:noWrap/>
            <w:vAlign w:val="center"/>
          </w:tcPr>
          <w:p w14:paraId="35DE565E">
            <w:pPr>
              <w:spacing w:before="120"/>
              <w:contextualSpacing/>
              <w:jc w:val="center"/>
              <w:rPr>
                <w:rFonts w:ascii="仿宋" w:hAnsi="仿宋" w:eastAsia="仿宋"/>
                <w:color w:val="auto"/>
                <w:sz w:val="24"/>
                <w:highlight w:val="none"/>
              </w:rPr>
            </w:pPr>
          </w:p>
        </w:tc>
        <w:tc>
          <w:tcPr>
            <w:tcW w:w="698" w:type="pct"/>
            <w:vAlign w:val="center"/>
          </w:tcPr>
          <w:p w14:paraId="3284CE84">
            <w:pPr>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3-32</w:t>
            </w:r>
          </w:p>
        </w:tc>
        <w:tc>
          <w:tcPr>
            <w:tcW w:w="1941" w:type="pct"/>
            <w:vAlign w:val="center"/>
          </w:tcPr>
          <w:p w14:paraId="5010AC92">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报警联动模块</w:t>
            </w:r>
          </w:p>
        </w:tc>
        <w:tc>
          <w:tcPr>
            <w:tcW w:w="635" w:type="pct"/>
            <w:vAlign w:val="center"/>
          </w:tcPr>
          <w:p w14:paraId="370678FA">
            <w:pPr>
              <w:widowControl/>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w:t>
            </w:r>
          </w:p>
        </w:tc>
        <w:tc>
          <w:tcPr>
            <w:tcW w:w="482" w:type="pct"/>
            <w:vAlign w:val="center"/>
          </w:tcPr>
          <w:p w14:paraId="3B34FFC5">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台</w:t>
            </w:r>
          </w:p>
        </w:tc>
        <w:tc>
          <w:tcPr>
            <w:tcW w:w="671" w:type="pct"/>
            <w:vAlign w:val="center"/>
          </w:tcPr>
          <w:p w14:paraId="6F237521">
            <w:pPr>
              <w:jc w:val="center"/>
              <w:rPr>
                <w:color w:val="auto"/>
                <w:highlight w:val="none"/>
              </w:rPr>
            </w:pPr>
            <w:r>
              <w:rPr>
                <w:rFonts w:hint="eastAsia" w:ascii="仿宋" w:hAnsi="仿宋" w:eastAsia="仿宋" w:cs="宋体"/>
                <w:color w:val="auto"/>
                <w:kern w:val="0"/>
                <w:sz w:val="24"/>
                <w:highlight w:val="none"/>
                <w:lang w:bidi="ar"/>
              </w:rPr>
              <w:t>否</w:t>
            </w:r>
          </w:p>
        </w:tc>
      </w:tr>
      <w:tr w14:paraId="10F34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73" w:type="pct"/>
            <w:vMerge w:val="continue"/>
            <w:noWrap/>
            <w:vAlign w:val="center"/>
          </w:tcPr>
          <w:p w14:paraId="52C3C02C">
            <w:pPr>
              <w:spacing w:before="120"/>
              <w:contextualSpacing/>
              <w:jc w:val="center"/>
              <w:rPr>
                <w:rFonts w:ascii="仿宋" w:hAnsi="仿宋" w:eastAsia="仿宋"/>
                <w:color w:val="auto"/>
                <w:sz w:val="24"/>
                <w:highlight w:val="none"/>
              </w:rPr>
            </w:pPr>
          </w:p>
        </w:tc>
        <w:tc>
          <w:tcPr>
            <w:tcW w:w="698" w:type="pct"/>
            <w:vAlign w:val="center"/>
          </w:tcPr>
          <w:p w14:paraId="531AFE29">
            <w:pPr>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3-33</w:t>
            </w:r>
          </w:p>
        </w:tc>
        <w:tc>
          <w:tcPr>
            <w:tcW w:w="1941" w:type="pct"/>
            <w:vAlign w:val="center"/>
          </w:tcPr>
          <w:p w14:paraId="66BF0ED9">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报警打印机</w:t>
            </w:r>
          </w:p>
        </w:tc>
        <w:tc>
          <w:tcPr>
            <w:tcW w:w="635" w:type="pct"/>
            <w:vAlign w:val="center"/>
          </w:tcPr>
          <w:p w14:paraId="10A0B58F">
            <w:pPr>
              <w:widowControl/>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w:t>
            </w:r>
          </w:p>
        </w:tc>
        <w:tc>
          <w:tcPr>
            <w:tcW w:w="482" w:type="pct"/>
            <w:vAlign w:val="center"/>
          </w:tcPr>
          <w:p w14:paraId="74AA15D3">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台</w:t>
            </w:r>
          </w:p>
        </w:tc>
        <w:tc>
          <w:tcPr>
            <w:tcW w:w="671" w:type="pct"/>
            <w:vAlign w:val="center"/>
          </w:tcPr>
          <w:p w14:paraId="40CABD43">
            <w:pPr>
              <w:jc w:val="center"/>
              <w:rPr>
                <w:color w:val="auto"/>
                <w:highlight w:val="none"/>
              </w:rPr>
            </w:pPr>
            <w:r>
              <w:rPr>
                <w:rFonts w:hint="eastAsia" w:ascii="仿宋" w:hAnsi="仿宋" w:eastAsia="仿宋" w:cs="宋体"/>
                <w:color w:val="auto"/>
                <w:kern w:val="0"/>
                <w:sz w:val="24"/>
                <w:highlight w:val="none"/>
                <w:lang w:bidi="ar"/>
              </w:rPr>
              <w:t>否</w:t>
            </w:r>
          </w:p>
        </w:tc>
      </w:tr>
      <w:tr w14:paraId="5252A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73" w:type="pct"/>
            <w:vMerge w:val="continue"/>
            <w:noWrap/>
            <w:vAlign w:val="center"/>
          </w:tcPr>
          <w:p w14:paraId="0B0F758B">
            <w:pPr>
              <w:spacing w:before="120"/>
              <w:contextualSpacing/>
              <w:jc w:val="center"/>
              <w:rPr>
                <w:rFonts w:ascii="仿宋" w:hAnsi="仿宋" w:eastAsia="仿宋"/>
                <w:color w:val="auto"/>
                <w:sz w:val="24"/>
                <w:highlight w:val="none"/>
              </w:rPr>
            </w:pPr>
          </w:p>
        </w:tc>
        <w:tc>
          <w:tcPr>
            <w:tcW w:w="698" w:type="pct"/>
            <w:vAlign w:val="center"/>
          </w:tcPr>
          <w:p w14:paraId="7619352C">
            <w:pPr>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3-34</w:t>
            </w:r>
          </w:p>
        </w:tc>
        <w:tc>
          <w:tcPr>
            <w:tcW w:w="1941" w:type="pct"/>
            <w:vAlign w:val="center"/>
          </w:tcPr>
          <w:p w14:paraId="207D8288">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危化品应急处置箱</w:t>
            </w:r>
          </w:p>
        </w:tc>
        <w:tc>
          <w:tcPr>
            <w:tcW w:w="635" w:type="pct"/>
            <w:vAlign w:val="center"/>
          </w:tcPr>
          <w:p w14:paraId="10F97E56">
            <w:pPr>
              <w:widowControl/>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35</w:t>
            </w:r>
          </w:p>
        </w:tc>
        <w:tc>
          <w:tcPr>
            <w:tcW w:w="482" w:type="pct"/>
            <w:vAlign w:val="center"/>
          </w:tcPr>
          <w:p w14:paraId="476D6774">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个</w:t>
            </w:r>
          </w:p>
        </w:tc>
        <w:tc>
          <w:tcPr>
            <w:tcW w:w="671" w:type="pct"/>
            <w:vAlign w:val="center"/>
          </w:tcPr>
          <w:p w14:paraId="423C8D54">
            <w:pPr>
              <w:jc w:val="center"/>
              <w:rPr>
                <w:color w:val="auto"/>
                <w:highlight w:val="none"/>
              </w:rPr>
            </w:pPr>
            <w:r>
              <w:rPr>
                <w:rFonts w:hint="eastAsia" w:ascii="仿宋" w:hAnsi="仿宋" w:eastAsia="仿宋" w:cs="宋体"/>
                <w:color w:val="auto"/>
                <w:kern w:val="0"/>
                <w:sz w:val="24"/>
                <w:highlight w:val="none"/>
                <w:lang w:bidi="ar"/>
              </w:rPr>
              <w:t>否</w:t>
            </w:r>
          </w:p>
        </w:tc>
      </w:tr>
      <w:tr w14:paraId="3BF5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73" w:type="pct"/>
            <w:vMerge w:val="continue"/>
            <w:noWrap/>
            <w:vAlign w:val="center"/>
          </w:tcPr>
          <w:p w14:paraId="51C8F9D8">
            <w:pPr>
              <w:spacing w:before="120"/>
              <w:contextualSpacing/>
              <w:jc w:val="center"/>
              <w:rPr>
                <w:rFonts w:ascii="仿宋" w:hAnsi="仿宋" w:eastAsia="仿宋"/>
                <w:color w:val="auto"/>
                <w:sz w:val="24"/>
                <w:highlight w:val="none"/>
              </w:rPr>
            </w:pPr>
          </w:p>
        </w:tc>
        <w:tc>
          <w:tcPr>
            <w:tcW w:w="698" w:type="pct"/>
            <w:vAlign w:val="center"/>
          </w:tcPr>
          <w:p w14:paraId="78F80CAA">
            <w:pPr>
              <w:jc w:val="center"/>
              <w:rPr>
                <w:rFonts w:eastAsia="仿宋"/>
                <w:color w:val="auto"/>
                <w:highlight w:val="none"/>
              </w:rPr>
            </w:pPr>
            <w:r>
              <w:rPr>
                <w:rFonts w:hint="eastAsia" w:ascii="仿宋" w:hAnsi="仿宋" w:eastAsia="仿宋" w:cs="宋体"/>
                <w:color w:val="auto"/>
                <w:kern w:val="0"/>
                <w:sz w:val="24"/>
                <w:highlight w:val="none"/>
              </w:rPr>
              <w:t>3-35</w:t>
            </w:r>
          </w:p>
        </w:tc>
        <w:tc>
          <w:tcPr>
            <w:tcW w:w="1941" w:type="pct"/>
            <w:vAlign w:val="center"/>
          </w:tcPr>
          <w:p w14:paraId="50D25A0E">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危化品防护服</w:t>
            </w:r>
          </w:p>
        </w:tc>
        <w:tc>
          <w:tcPr>
            <w:tcW w:w="635" w:type="pct"/>
            <w:vAlign w:val="center"/>
          </w:tcPr>
          <w:p w14:paraId="6457D892">
            <w:pPr>
              <w:widowControl/>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10</w:t>
            </w:r>
          </w:p>
        </w:tc>
        <w:tc>
          <w:tcPr>
            <w:tcW w:w="482" w:type="pct"/>
            <w:vAlign w:val="center"/>
          </w:tcPr>
          <w:p w14:paraId="40B3A975">
            <w:pPr>
              <w:widowControl/>
              <w:jc w:val="center"/>
              <w:textAlignment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bidi="ar"/>
              </w:rPr>
              <w:t>件</w:t>
            </w:r>
          </w:p>
        </w:tc>
        <w:tc>
          <w:tcPr>
            <w:tcW w:w="671" w:type="pct"/>
            <w:vAlign w:val="center"/>
          </w:tcPr>
          <w:p w14:paraId="4EC01B76">
            <w:pPr>
              <w:jc w:val="center"/>
              <w:rPr>
                <w:color w:val="auto"/>
                <w:highlight w:val="none"/>
              </w:rPr>
            </w:pPr>
            <w:r>
              <w:rPr>
                <w:rFonts w:hint="eastAsia" w:ascii="仿宋" w:hAnsi="仿宋" w:eastAsia="仿宋" w:cs="宋体"/>
                <w:color w:val="auto"/>
                <w:kern w:val="0"/>
                <w:sz w:val="24"/>
                <w:highlight w:val="none"/>
                <w:lang w:bidi="ar"/>
              </w:rPr>
              <w:t>否</w:t>
            </w:r>
          </w:p>
        </w:tc>
      </w:tr>
    </w:tbl>
    <w:p w14:paraId="5DB8D66E">
      <w:pPr>
        <w:pStyle w:val="2"/>
        <w:rPr>
          <w:color w:val="auto"/>
          <w:highlight w:val="none"/>
        </w:rPr>
      </w:pPr>
    </w:p>
    <w:p w14:paraId="03AC0DD4">
      <w:pPr>
        <w:tabs>
          <w:tab w:val="left" w:pos="4600"/>
        </w:tabs>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（二）项目背景/项目概述（如有）</w:t>
      </w:r>
    </w:p>
    <w:p w14:paraId="01D1B4F3">
      <w:pPr>
        <w:snapToGrid w:val="0"/>
        <w:spacing w:line="360" w:lineRule="auto"/>
        <w:ind w:firstLine="480" w:firstLineChars="200"/>
        <w:rPr>
          <w:color w:val="auto"/>
          <w:highlight w:val="none"/>
        </w:rPr>
      </w:pPr>
      <w:r>
        <w:rPr>
          <w:rFonts w:hint="eastAsia" w:ascii="仿宋" w:hAnsi="仿宋" w:eastAsia="仿宋" w:cs="仿宋"/>
          <w:bCs/>
          <w:color w:val="auto"/>
          <w:sz w:val="24"/>
          <w:highlight w:val="none"/>
        </w:rPr>
        <w:t>首都医科大学附属首都儿童医学中心通州院区作为北京城市副中心建设高标准的儿童医疗服务体系机构，拟定于2027年6月1日正式开诊营业。为保障医院公共秩序与生命财产安全，依据国家和北京市危化品法及相关标准规定要求，医院储存的易燃易爆化学制剂等危化品，设置专用存储场所，使用专用危险品存储柜、通过“双人双锁”管理、环境智能监测等防控手段，实现对危化品存储场所进行安全达标严格管控。</w:t>
      </w:r>
    </w:p>
    <w:p w14:paraId="218526E8">
      <w:pPr>
        <w:tabs>
          <w:tab w:val="left" w:pos="5456"/>
        </w:tabs>
        <w:snapToGrid w:val="0"/>
        <w:spacing w:line="360" w:lineRule="auto"/>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rPr>
        <w:t>二、商务要求</w:t>
      </w:r>
      <w:r>
        <w:rPr>
          <w:rFonts w:ascii="仿宋" w:hAnsi="仿宋" w:eastAsia="仿宋" w:cs="仿宋"/>
          <w:b/>
          <w:bCs/>
          <w:color w:val="auto"/>
          <w:sz w:val="24"/>
          <w:highlight w:val="none"/>
        </w:rPr>
        <w:tab/>
      </w:r>
    </w:p>
    <w:p w14:paraId="7D48039F">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（一）交付（实施）的时间（期限）和地点（范围）</w:t>
      </w:r>
    </w:p>
    <w:p w14:paraId="204C38D4">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1、交付时间：</w:t>
      </w:r>
    </w:p>
    <w:p w14:paraId="4A2FFEA7">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第3包：自合同签订生效之日起60个日历日内完成供货安装调试。</w:t>
      </w:r>
    </w:p>
    <w:p w14:paraId="6238B7B2">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2、交付地点：首都医科大学附属首都儿童医学中心新址，采购人指定地点。</w:t>
      </w:r>
    </w:p>
    <w:p w14:paraId="591A20E0">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（二）付款条件（进度和方式）</w:t>
      </w:r>
    </w:p>
    <w:p w14:paraId="448B82A3">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详见第六章拟签订的合同文本。</w:t>
      </w:r>
    </w:p>
    <w:p w14:paraId="57E3F7F8">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（三）包装和运输</w:t>
      </w:r>
    </w:p>
    <w:p w14:paraId="54768EED">
      <w:pPr>
        <w:snapToGrid w:val="0"/>
        <w:spacing w:line="360" w:lineRule="auto"/>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rPr>
        <w:t>如适用，须满足《关于印发〈商品包装政府采购需求标准（试行）〉、〈快递包装政府采购需求标准（试行）〉的通知》（财办库﹝2020﹞123号）。</w:t>
      </w:r>
    </w:p>
    <w:p w14:paraId="4C0B4097">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投标人负责包装和运输。投标人交付的产品应符合相关包装储运的国家标准，能承受水平受力、垂直受力、适合长途运输，防潮、防湿、防震、防锈、耐粗暴搬运。由于采用不充分或不妥善的防护措施而造成的任何锈损，投标人应负担由此而产生的一切费用和/或损失。投标人应在每件包装上，用不褪色油墨清楚地标刷件号、目的地、尺码、毛重、净重、“此端向上”，“小心轻放”，“切勿受潮”等字样。</w:t>
      </w:r>
    </w:p>
    <w:p w14:paraId="61CC385D">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（四）售后服务（质保期）</w:t>
      </w:r>
    </w:p>
    <w:p w14:paraId="483B1633">
      <w:pPr>
        <w:pStyle w:val="2"/>
        <w:spacing w:line="360" w:lineRule="auto"/>
        <w:contextualSpacing/>
        <w:rPr>
          <w:rFonts w:ascii="仿宋" w:hAnsi="仿宋" w:eastAsia="仿宋" w:cs="仿宋"/>
          <w:b/>
          <w:bCs/>
          <w:color w:val="auto"/>
          <w:highlight w:val="none"/>
        </w:rPr>
      </w:pPr>
      <w:r>
        <w:rPr>
          <w:rFonts w:hint="eastAsia" w:ascii="仿宋" w:hAnsi="仿宋" w:eastAsia="仿宋" w:cs="仿宋"/>
          <w:b/>
          <w:bCs/>
          <w:color w:val="auto"/>
          <w:highlight w:val="none"/>
        </w:rPr>
        <w:t>第3包</w:t>
      </w:r>
    </w:p>
    <w:p w14:paraId="208C2FF7">
      <w:pPr>
        <w:snapToGrid w:val="0"/>
        <w:spacing w:line="360" w:lineRule="auto"/>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rPr>
        <w:t>1、投标人为采购人提供设备自验收合格之日起为期2年的质保服务。</w:t>
      </w:r>
    </w:p>
    <w:p w14:paraId="06B98C80">
      <w:pPr>
        <w:snapToGrid w:val="0"/>
        <w:spacing w:line="360" w:lineRule="auto"/>
        <w:ind w:firstLine="480" w:firstLineChars="200"/>
        <w:rPr>
          <w:rFonts w:ascii="仿宋" w:hAnsi="仿宋" w:eastAsia="仿宋" w:cs="仿宋"/>
          <w:bCs/>
          <w:color w:val="auto"/>
          <w:sz w:val="24"/>
          <w:highlight w:val="none"/>
          <w:lang w:eastAsia="zh-Hans"/>
        </w:rPr>
      </w:pPr>
      <w:r>
        <w:rPr>
          <w:rFonts w:hint="eastAsia" w:ascii="仿宋" w:hAnsi="仿宋" w:eastAsia="仿宋" w:cs="仿宋"/>
          <w:bCs/>
          <w:color w:val="auto"/>
          <w:sz w:val="24"/>
          <w:highlight w:val="none"/>
        </w:rPr>
        <w:t>2</w:t>
      </w:r>
      <w:r>
        <w:rPr>
          <w:rFonts w:hint="eastAsia" w:ascii="仿宋" w:hAnsi="仿宋" w:eastAsia="仿宋" w:cs="仿宋"/>
          <w:bCs/>
          <w:color w:val="auto"/>
          <w:sz w:val="24"/>
          <w:highlight w:val="none"/>
          <w:lang w:eastAsia="zh-Hans"/>
        </w:rPr>
        <w:t>、</w:t>
      </w:r>
      <w:r>
        <w:rPr>
          <w:rFonts w:hint="eastAsia" w:ascii="仿宋" w:hAnsi="仿宋" w:eastAsia="仿宋" w:cs="仿宋"/>
          <w:bCs/>
          <w:color w:val="auto"/>
          <w:sz w:val="24"/>
          <w:highlight w:val="none"/>
        </w:rPr>
        <w:t>投标人</w:t>
      </w:r>
      <w:r>
        <w:rPr>
          <w:rFonts w:hint="eastAsia" w:ascii="仿宋" w:hAnsi="仿宋" w:eastAsia="仿宋" w:cs="仿宋"/>
          <w:bCs/>
          <w:color w:val="auto"/>
          <w:sz w:val="24"/>
          <w:highlight w:val="none"/>
          <w:lang w:eastAsia="zh-Hans"/>
        </w:rPr>
        <w:t>应具备完善的售后服务体系，有固定的</w:t>
      </w:r>
      <w:r>
        <w:rPr>
          <w:rFonts w:hint="eastAsia" w:ascii="仿宋" w:hAnsi="仿宋" w:eastAsia="仿宋" w:cs="仿宋"/>
          <w:bCs/>
          <w:color w:val="auto"/>
          <w:sz w:val="24"/>
          <w:highlight w:val="none"/>
        </w:rPr>
        <w:t>维护中心且</w:t>
      </w:r>
      <w:r>
        <w:rPr>
          <w:rFonts w:hint="eastAsia" w:ascii="仿宋" w:hAnsi="仿宋" w:eastAsia="仿宋" w:cs="仿宋"/>
          <w:bCs/>
          <w:color w:val="auto"/>
          <w:sz w:val="24"/>
          <w:highlight w:val="none"/>
          <w:lang w:eastAsia="zh-Hans"/>
        </w:rPr>
        <w:t>维护人员并有能力及时处理所有可能发生的故障。</w:t>
      </w:r>
    </w:p>
    <w:p w14:paraId="2EC983C7">
      <w:pPr>
        <w:snapToGrid w:val="0"/>
        <w:spacing w:line="360" w:lineRule="auto"/>
        <w:ind w:firstLine="480" w:firstLineChars="200"/>
        <w:rPr>
          <w:rFonts w:ascii="仿宋" w:hAnsi="仿宋" w:eastAsia="仿宋" w:cs="仿宋"/>
          <w:bCs/>
          <w:color w:val="auto"/>
          <w:sz w:val="24"/>
          <w:highlight w:val="none"/>
          <w:lang w:eastAsia="zh-Hans"/>
        </w:rPr>
      </w:pPr>
      <w:r>
        <w:rPr>
          <w:rFonts w:hint="eastAsia" w:ascii="仿宋" w:hAnsi="仿宋" w:eastAsia="仿宋" w:cs="仿宋"/>
          <w:bCs/>
          <w:color w:val="auto"/>
          <w:sz w:val="24"/>
          <w:highlight w:val="none"/>
          <w:lang w:eastAsia="zh-Hans"/>
        </w:rPr>
        <w:t>（1）</w:t>
      </w:r>
      <w:r>
        <w:rPr>
          <w:rFonts w:hint="eastAsia" w:ascii="仿宋" w:hAnsi="仿宋" w:eastAsia="仿宋" w:cs="仿宋"/>
          <w:bCs/>
          <w:color w:val="auto"/>
          <w:sz w:val="24"/>
          <w:highlight w:val="none"/>
        </w:rPr>
        <w:t>投标人</w:t>
      </w:r>
      <w:r>
        <w:rPr>
          <w:rFonts w:hint="eastAsia" w:ascii="仿宋" w:hAnsi="仿宋" w:eastAsia="仿宋" w:cs="仿宋"/>
          <w:bCs/>
          <w:color w:val="auto"/>
          <w:sz w:val="24"/>
          <w:highlight w:val="none"/>
          <w:lang w:eastAsia="zh-Hans"/>
        </w:rPr>
        <w:t>须提供7×8小时电话技术支持服务，并指定专人负责本项目的售后联络。</w:t>
      </w:r>
    </w:p>
    <w:p w14:paraId="50A997D0">
      <w:pPr>
        <w:snapToGrid w:val="0"/>
        <w:spacing w:line="360" w:lineRule="auto"/>
        <w:ind w:firstLine="480" w:firstLineChars="200"/>
        <w:rPr>
          <w:rFonts w:ascii="仿宋" w:hAnsi="仿宋" w:eastAsia="仿宋" w:cs="仿宋"/>
          <w:bCs/>
          <w:color w:val="auto"/>
          <w:sz w:val="24"/>
          <w:highlight w:val="none"/>
          <w:lang w:eastAsia="zh-Hans"/>
        </w:rPr>
      </w:pPr>
      <w:r>
        <w:rPr>
          <w:rFonts w:hint="eastAsia" w:ascii="仿宋" w:hAnsi="仿宋" w:eastAsia="仿宋" w:cs="仿宋"/>
          <w:bCs/>
          <w:color w:val="auto"/>
          <w:sz w:val="24"/>
          <w:highlight w:val="none"/>
          <w:lang w:eastAsia="zh-Hans"/>
        </w:rPr>
        <w:t>（2）故障响应时间：接到</w:t>
      </w:r>
      <w:r>
        <w:rPr>
          <w:rFonts w:hint="eastAsia" w:ascii="仿宋" w:hAnsi="仿宋" w:eastAsia="仿宋" w:cs="仿宋"/>
          <w:bCs/>
          <w:color w:val="auto"/>
          <w:sz w:val="24"/>
          <w:highlight w:val="none"/>
        </w:rPr>
        <w:t>采购人</w:t>
      </w:r>
      <w:r>
        <w:rPr>
          <w:rFonts w:hint="eastAsia" w:ascii="仿宋" w:hAnsi="仿宋" w:eastAsia="仿宋" w:cs="仿宋"/>
          <w:bCs/>
          <w:color w:val="auto"/>
          <w:sz w:val="24"/>
          <w:highlight w:val="none"/>
          <w:lang w:eastAsia="zh-Hans"/>
        </w:rPr>
        <w:t>报修通知后，1小时内响应，</w:t>
      </w:r>
      <w:r>
        <w:rPr>
          <w:rFonts w:hint="eastAsia" w:ascii="仿宋" w:hAnsi="仿宋" w:eastAsia="仿宋" w:cs="仿宋"/>
          <w:bCs/>
          <w:color w:val="auto"/>
          <w:sz w:val="24"/>
          <w:highlight w:val="none"/>
        </w:rPr>
        <w:t>24</w:t>
      </w:r>
      <w:r>
        <w:rPr>
          <w:rFonts w:hint="eastAsia" w:ascii="仿宋" w:hAnsi="仿宋" w:eastAsia="仿宋" w:cs="仿宋"/>
          <w:bCs/>
          <w:color w:val="auto"/>
          <w:sz w:val="24"/>
          <w:highlight w:val="none"/>
          <w:lang w:eastAsia="zh-Hans"/>
        </w:rPr>
        <w:t>时内派技术人员到达现场，并维修成功以恢复设备正常使用。</w:t>
      </w:r>
    </w:p>
    <w:p w14:paraId="67C894DD">
      <w:pPr>
        <w:snapToGrid w:val="0"/>
        <w:spacing w:line="360" w:lineRule="auto"/>
        <w:ind w:firstLine="480" w:firstLineChars="200"/>
        <w:rPr>
          <w:rFonts w:ascii="仿宋" w:hAnsi="仿宋" w:eastAsia="仿宋" w:cs="仿宋"/>
          <w:bCs/>
          <w:color w:val="auto"/>
          <w:sz w:val="24"/>
          <w:highlight w:val="none"/>
          <w:lang w:eastAsia="zh-Hans"/>
        </w:rPr>
      </w:pPr>
      <w:r>
        <w:rPr>
          <w:rFonts w:hint="eastAsia" w:ascii="仿宋" w:hAnsi="仿宋" w:eastAsia="仿宋" w:cs="仿宋"/>
          <w:bCs/>
          <w:color w:val="auto"/>
          <w:sz w:val="24"/>
          <w:highlight w:val="none"/>
          <w:lang w:eastAsia="zh-Hans"/>
        </w:rPr>
        <w:t>若</w:t>
      </w:r>
      <w:r>
        <w:rPr>
          <w:rFonts w:hint="eastAsia" w:ascii="仿宋" w:hAnsi="仿宋" w:eastAsia="仿宋" w:cs="仿宋"/>
          <w:bCs/>
          <w:color w:val="auto"/>
          <w:sz w:val="24"/>
          <w:highlight w:val="none"/>
        </w:rPr>
        <w:t>投标人24</w:t>
      </w:r>
      <w:r>
        <w:rPr>
          <w:rFonts w:hint="eastAsia" w:ascii="仿宋" w:hAnsi="仿宋" w:eastAsia="仿宋" w:cs="仿宋"/>
          <w:bCs/>
          <w:color w:val="auto"/>
          <w:sz w:val="24"/>
          <w:highlight w:val="none"/>
          <w:lang w:eastAsia="zh-Hans"/>
        </w:rPr>
        <w:t>小时仍未修复设备至正常使用，</w:t>
      </w:r>
      <w:r>
        <w:rPr>
          <w:rFonts w:hint="eastAsia" w:ascii="仿宋" w:hAnsi="仿宋" w:eastAsia="仿宋" w:cs="仿宋"/>
          <w:bCs/>
          <w:color w:val="auto"/>
          <w:sz w:val="24"/>
          <w:highlight w:val="none"/>
        </w:rPr>
        <w:t>投标人</w:t>
      </w:r>
      <w:r>
        <w:rPr>
          <w:rFonts w:hint="eastAsia" w:ascii="仿宋" w:hAnsi="仿宋" w:eastAsia="仿宋" w:cs="仿宋"/>
          <w:bCs/>
          <w:color w:val="auto"/>
          <w:sz w:val="24"/>
          <w:highlight w:val="none"/>
          <w:lang w:eastAsia="zh-Hans"/>
        </w:rPr>
        <w:t>应提供同等或更高规格的备用机供</w:t>
      </w:r>
      <w:r>
        <w:rPr>
          <w:rFonts w:hint="eastAsia" w:ascii="仿宋" w:hAnsi="仿宋" w:eastAsia="仿宋" w:cs="仿宋"/>
          <w:bCs/>
          <w:color w:val="auto"/>
          <w:sz w:val="24"/>
          <w:highlight w:val="none"/>
        </w:rPr>
        <w:t>采购人</w:t>
      </w:r>
      <w:r>
        <w:rPr>
          <w:rFonts w:hint="eastAsia" w:ascii="仿宋" w:hAnsi="仿宋" w:eastAsia="仿宋" w:cs="仿宋"/>
          <w:bCs/>
          <w:color w:val="auto"/>
          <w:sz w:val="24"/>
          <w:highlight w:val="none"/>
          <w:lang w:eastAsia="zh-Hans"/>
        </w:rPr>
        <w:t>使用至设备恢复正常使用为止。如设备在1个月内无法修复，</w:t>
      </w:r>
      <w:r>
        <w:rPr>
          <w:rFonts w:hint="eastAsia" w:ascii="仿宋" w:hAnsi="仿宋" w:eastAsia="仿宋" w:cs="仿宋"/>
          <w:bCs/>
          <w:color w:val="auto"/>
          <w:sz w:val="24"/>
          <w:highlight w:val="none"/>
        </w:rPr>
        <w:t>投标人</w:t>
      </w:r>
      <w:r>
        <w:rPr>
          <w:rFonts w:hint="eastAsia" w:ascii="仿宋" w:hAnsi="仿宋" w:eastAsia="仿宋" w:cs="仿宋"/>
          <w:bCs/>
          <w:color w:val="auto"/>
          <w:sz w:val="24"/>
          <w:highlight w:val="none"/>
          <w:lang w:eastAsia="zh-Hans"/>
        </w:rPr>
        <w:t>负责更换全新同型号或性能更优型号的设备。</w:t>
      </w:r>
    </w:p>
    <w:p w14:paraId="317DE06B">
      <w:pPr>
        <w:snapToGrid w:val="0"/>
        <w:spacing w:line="360" w:lineRule="auto"/>
        <w:ind w:firstLine="480" w:firstLineChars="200"/>
        <w:rPr>
          <w:rFonts w:ascii="仿宋" w:hAnsi="仿宋" w:eastAsia="仿宋" w:cs="仿宋"/>
          <w:bCs/>
          <w:color w:val="auto"/>
          <w:sz w:val="24"/>
          <w:highlight w:val="none"/>
          <w:lang w:eastAsia="zh-Hans"/>
        </w:rPr>
      </w:pPr>
      <w:r>
        <w:rPr>
          <w:rFonts w:hint="eastAsia" w:ascii="仿宋" w:hAnsi="仿宋" w:eastAsia="仿宋" w:cs="仿宋"/>
          <w:bCs/>
          <w:color w:val="auto"/>
          <w:sz w:val="24"/>
          <w:highlight w:val="none"/>
          <w:lang w:eastAsia="zh-Hans"/>
        </w:rPr>
        <w:t>（3）故障解决时限：</w:t>
      </w:r>
    </w:p>
    <w:p w14:paraId="0200FDD8">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lang w:eastAsia="zh-Hans"/>
        </w:rPr>
        <w:t>1）一般故障应在</w:t>
      </w:r>
      <w:r>
        <w:rPr>
          <w:rFonts w:hint="eastAsia" w:ascii="仿宋" w:hAnsi="仿宋" w:eastAsia="仿宋" w:cs="仿宋"/>
          <w:bCs/>
          <w:color w:val="auto"/>
          <w:sz w:val="24"/>
          <w:highlight w:val="none"/>
        </w:rPr>
        <w:t>24</w:t>
      </w:r>
      <w:r>
        <w:rPr>
          <w:rFonts w:hint="eastAsia" w:ascii="仿宋" w:hAnsi="仿宋" w:eastAsia="仿宋" w:cs="仿宋"/>
          <w:bCs/>
          <w:color w:val="auto"/>
          <w:sz w:val="24"/>
          <w:highlight w:val="none"/>
          <w:lang w:eastAsia="zh-Hans"/>
        </w:rPr>
        <w:t>小时内修复</w:t>
      </w:r>
      <w:r>
        <w:rPr>
          <w:rFonts w:hint="eastAsia" w:ascii="仿宋" w:hAnsi="仿宋" w:eastAsia="仿宋" w:cs="仿宋"/>
          <w:bCs/>
          <w:color w:val="auto"/>
          <w:sz w:val="24"/>
          <w:highlight w:val="none"/>
        </w:rPr>
        <w:t>。</w:t>
      </w:r>
    </w:p>
    <w:p w14:paraId="7500C5F1">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lang w:eastAsia="zh-Hans"/>
        </w:rPr>
        <w:t>2）重大故障（影响设备主要功能或涉及安全）应在</w:t>
      </w:r>
      <w:r>
        <w:rPr>
          <w:rFonts w:hint="eastAsia" w:ascii="仿宋" w:hAnsi="仿宋" w:eastAsia="仿宋" w:cs="仿宋"/>
          <w:bCs/>
          <w:color w:val="auto"/>
          <w:sz w:val="24"/>
          <w:highlight w:val="none"/>
        </w:rPr>
        <w:t>4</w:t>
      </w:r>
      <w:r>
        <w:rPr>
          <w:rFonts w:hint="eastAsia" w:ascii="仿宋" w:hAnsi="仿宋" w:eastAsia="仿宋" w:cs="仿宋"/>
          <w:bCs/>
          <w:color w:val="auto"/>
          <w:sz w:val="24"/>
          <w:highlight w:val="none"/>
          <w:lang w:eastAsia="zh-Hans"/>
        </w:rPr>
        <w:t>小时内解决</w:t>
      </w:r>
      <w:r>
        <w:rPr>
          <w:rFonts w:hint="eastAsia" w:ascii="仿宋" w:hAnsi="仿宋" w:eastAsia="仿宋" w:cs="仿宋"/>
          <w:bCs/>
          <w:color w:val="auto"/>
          <w:sz w:val="24"/>
          <w:highlight w:val="none"/>
        </w:rPr>
        <w:t>。</w:t>
      </w:r>
    </w:p>
    <w:p w14:paraId="4FA55256">
      <w:pPr>
        <w:snapToGrid w:val="0"/>
        <w:spacing w:line="360" w:lineRule="auto"/>
        <w:ind w:firstLine="480" w:firstLineChars="200"/>
        <w:rPr>
          <w:rFonts w:ascii="仿宋" w:hAnsi="仿宋" w:eastAsia="仿宋" w:cs="仿宋"/>
          <w:bCs/>
          <w:color w:val="auto"/>
          <w:sz w:val="24"/>
          <w:highlight w:val="none"/>
          <w:lang w:eastAsia="zh-Hans"/>
        </w:rPr>
      </w:pPr>
      <w:r>
        <w:rPr>
          <w:rFonts w:hint="eastAsia" w:ascii="仿宋" w:hAnsi="仿宋" w:eastAsia="仿宋" w:cs="仿宋"/>
          <w:bCs/>
          <w:color w:val="auto"/>
          <w:sz w:val="24"/>
          <w:highlight w:val="none"/>
          <w:lang w:eastAsia="zh-Hans"/>
        </w:rPr>
        <w:t>3）若无法在规定时限内修复，</w:t>
      </w:r>
      <w:r>
        <w:rPr>
          <w:rFonts w:hint="eastAsia" w:ascii="仿宋" w:hAnsi="仿宋" w:eastAsia="仿宋" w:cs="仿宋"/>
          <w:bCs/>
          <w:color w:val="auto"/>
          <w:sz w:val="24"/>
          <w:highlight w:val="none"/>
        </w:rPr>
        <w:t>投标人</w:t>
      </w:r>
      <w:r>
        <w:rPr>
          <w:rFonts w:hint="eastAsia" w:ascii="仿宋" w:hAnsi="仿宋" w:eastAsia="仿宋" w:cs="仿宋"/>
          <w:bCs/>
          <w:color w:val="auto"/>
          <w:sz w:val="24"/>
          <w:highlight w:val="none"/>
          <w:lang w:eastAsia="zh-Hans"/>
        </w:rPr>
        <w:t>须提供备用设备或采取其他有效措施，确保</w:t>
      </w:r>
      <w:r>
        <w:rPr>
          <w:rFonts w:hint="eastAsia" w:ascii="仿宋" w:hAnsi="仿宋" w:eastAsia="仿宋" w:cs="仿宋"/>
          <w:bCs/>
          <w:color w:val="auto"/>
          <w:sz w:val="24"/>
          <w:highlight w:val="none"/>
        </w:rPr>
        <w:t>采购人</w:t>
      </w:r>
      <w:r>
        <w:rPr>
          <w:rFonts w:hint="eastAsia" w:ascii="仿宋" w:hAnsi="仿宋" w:eastAsia="仿宋" w:cs="仿宋"/>
          <w:bCs/>
          <w:color w:val="auto"/>
          <w:sz w:val="24"/>
          <w:highlight w:val="none"/>
          <w:lang w:eastAsia="zh-Hans"/>
        </w:rPr>
        <w:t>正常工作不受影响。</w:t>
      </w:r>
    </w:p>
    <w:p w14:paraId="2F7EDC81">
      <w:pPr>
        <w:snapToGrid w:val="0"/>
        <w:spacing w:line="360" w:lineRule="auto"/>
        <w:ind w:firstLine="480" w:firstLineChars="200"/>
        <w:rPr>
          <w:rFonts w:ascii="仿宋" w:hAnsi="仿宋" w:eastAsia="仿宋" w:cs="仿宋"/>
          <w:bCs/>
          <w:color w:val="auto"/>
          <w:sz w:val="24"/>
          <w:highlight w:val="none"/>
          <w:lang w:eastAsia="zh-Hans"/>
        </w:rPr>
      </w:pPr>
      <w:r>
        <w:rPr>
          <w:rFonts w:hint="eastAsia" w:ascii="仿宋" w:hAnsi="仿宋" w:eastAsia="仿宋" w:cs="仿宋"/>
          <w:bCs/>
          <w:color w:val="auto"/>
          <w:sz w:val="24"/>
          <w:highlight w:val="none"/>
          <w:lang w:eastAsia="zh-Hans"/>
        </w:rPr>
        <w:t>3、具体的服务方式和要求：</w:t>
      </w:r>
    </w:p>
    <w:p w14:paraId="4468CAAC">
      <w:pPr>
        <w:snapToGrid w:val="0"/>
        <w:spacing w:line="360" w:lineRule="auto"/>
        <w:ind w:firstLine="480" w:firstLineChars="200"/>
        <w:rPr>
          <w:rFonts w:ascii="仿宋" w:hAnsi="仿宋" w:eastAsia="仿宋" w:cs="仿宋"/>
          <w:bCs/>
          <w:color w:val="auto"/>
          <w:sz w:val="24"/>
          <w:highlight w:val="none"/>
          <w:lang w:eastAsia="zh-Hans"/>
        </w:rPr>
      </w:pPr>
      <w:r>
        <w:rPr>
          <w:rFonts w:hint="eastAsia" w:ascii="仿宋" w:hAnsi="仿宋" w:eastAsia="仿宋" w:cs="仿宋"/>
          <w:bCs/>
          <w:color w:val="auto"/>
          <w:sz w:val="24"/>
          <w:highlight w:val="none"/>
        </w:rPr>
        <w:t>（1）</w:t>
      </w:r>
      <w:r>
        <w:rPr>
          <w:rFonts w:hint="eastAsia" w:ascii="仿宋" w:hAnsi="仿宋" w:eastAsia="仿宋" w:cs="仿宋"/>
          <w:bCs/>
          <w:color w:val="auto"/>
          <w:sz w:val="24"/>
          <w:highlight w:val="none"/>
          <w:lang w:eastAsia="zh-Hans"/>
        </w:rPr>
        <w:t>电话支持：</w:t>
      </w:r>
      <w:r>
        <w:rPr>
          <w:rFonts w:hint="eastAsia" w:ascii="仿宋" w:hAnsi="仿宋" w:eastAsia="仿宋" w:cs="仿宋"/>
          <w:bCs/>
          <w:color w:val="auto"/>
          <w:sz w:val="24"/>
          <w:highlight w:val="none"/>
        </w:rPr>
        <w:t>投标人</w:t>
      </w:r>
      <w:r>
        <w:rPr>
          <w:rFonts w:hint="eastAsia" w:ascii="仿宋" w:hAnsi="仿宋" w:eastAsia="仿宋" w:cs="仿宋"/>
          <w:bCs/>
          <w:color w:val="auto"/>
          <w:sz w:val="24"/>
          <w:highlight w:val="none"/>
          <w:lang w:eastAsia="zh-Hans"/>
        </w:rPr>
        <w:t>提供电话支持服务且不限次数。</w:t>
      </w:r>
      <w:bookmarkStart w:id="40" w:name="OLE_LINK3"/>
      <w:r>
        <w:rPr>
          <w:rFonts w:hint="eastAsia" w:ascii="仿宋" w:hAnsi="仿宋" w:eastAsia="仿宋" w:cs="仿宋"/>
          <w:bCs/>
          <w:color w:val="auto"/>
          <w:sz w:val="24"/>
          <w:highlight w:val="none"/>
          <w:lang w:eastAsia="zh-Hans"/>
        </w:rPr>
        <w:t>并提供服务联系人和联系方式。</w:t>
      </w:r>
      <w:bookmarkEnd w:id="40"/>
    </w:p>
    <w:p w14:paraId="16E79E20">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（2）</w:t>
      </w:r>
      <w:r>
        <w:rPr>
          <w:rFonts w:hint="eastAsia" w:ascii="仿宋" w:hAnsi="仿宋" w:eastAsia="仿宋" w:cs="仿宋"/>
          <w:bCs/>
          <w:color w:val="auto"/>
          <w:sz w:val="24"/>
          <w:highlight w:val="none"/>
          <w:lang w:eastAsia="zh-Hans"/>
        </w:rPr>
        <w:t>远程支持：</w:t>
      </w:r>
      <w:r>
        <w:rPr>
          <w:rFonts w:hint="eastAsia" w:ascii="仿宋" w:hAnsi="仿宋" w:eastAsia="仿宋" w:cs="仿宋"/>
          <w:bCs/>
          <w:color w:val="auto"/>
          <w:sz w:val="24"/>
          <w:highlight w:val="none"/>
        </w:rPr>
        <w:t>投标人</w:t>
      </w:r>
      <w:r>
        <w:rPr>
          <w:rFonts w:hint="eastAsia" w:ascii="仿宋" w:hAnsi="仿宋" w:eastAsia="仿宋" w:cs="仿宋"/>
          <w:bCs/>
          <w:color w:val="auto"/>
          <w:sz w:val="24"/>
          <w:highlight w:val="none"/>
          <w:lang w:eastAsia="zh-Hans"/>
        </w:rPr>
        <w:t>提供邮件和远程拨入用户的系统，进行咨询、诊断和修复，且不限次数。</w:t>
      </w:r>
      <w:r>
        <w:rPr>
          <w:rFonts w:hint="eastAsia" w:ascii="仿宋" w:hAnsi="仿宋" w:eastAsia="仿宋" w:cs="仿宋"/>
          <w:bCs/>
          <w:color w:val="auto"/>
          <w:sz w:val="24"/>
          <w:highlight w:val="none"/>
        </w:rPr>
        <w:t>并提供</w:t>
      </w:r>
      <w:r>
        <w:rPr>
          <w:rFonts w:hint="eastAsia" w:ascii="仿宋" w:hAnsi="仿宋" w:eastAsia="仿宋" w:cs="仿宋"/>
          <w:bCs/>
          <w:color w:val="auto"/>
          <w:sz w:val="24"/>
          <w:highlight w:val="none"/>
          <w:lang w:eastAsia="zh-Hans"/>
        </w:rPr>
        <w:t>邮箱地址。</w:t>
      </w:r>
    </w:p>
    <w:p w14:paraId="4D0FCDA6">
      <w:pPr>
        <w:snapToGrid w:val="0"/>
        <w:spacing w:line="360" w:lineRule="auto"/>
        <w:ind w:firstLine="480" w:firstLineChars="200"/>
        <w:rPr>
          <w:rFonts w:ascii="仿宋" w:hAnsi="仿宋" w:eastAsia="仿宋" w:cs="仿宋"/>
          <w:bCs/>
          <w:color w:val="auto"/>
          <w:sz w:val="24"/>
          <w:highlight w:val="none"/>
          <w:lang w:eastAsia="zh-Hans"/>
        </w:rPr>
      </w:pPr>
      <w:r>
        <w:rPr>
          <w:rFonts w:hint="eastAsia" w:ascii="仿宋" w:hAnsi="仿宋" w:eastAsia="仿宋" w:cs="仿宋"/>
          <w:bCs/>
          <w:color w:val="auto"/>
          <w:sz w:val="24"/>
          <w:highlight w:val="none"/>
        </w:rPr>
        <w:t>（3）</w:t>
      </w:r>
      <w:r>
        <w:rPr>
          <w:rFonts w:hint="eastAsia" w:ascii="仿宋" w:hAnsi="仿宋" w:eastAsia="仿宋" w:cs="仿宋"/>
          <w:bCs/>
          <w:color w:val="auto"/>
          <w:sz w:val="24"/>
          <w:highlight w:val="none"/>
          <w:lang w:eastAsia="zh-Hans"/>
        </w:rPr>
        <w:t>现场故障处理：如果</w:t>
      </w:r>
      <w:r>
        <w:rPr>
          <w:rFonts w:hint="eastAsia" w:ascii="仿宋" w:hAnsi="仿宋" w:eastAsia="仿宋" w:cs="仿宋"/>
          <w:bCs/>
          <w:color w:val="auto"/>
          <w:sz w:val="24"/>
          <w:highlight w:val="none"/>
        </w:rPr>
        <w:t>投标人</w:t>
      </w:r>
      <w:r>
        <w:rPr>
          <w:rFonts w:hint="eastAsia" w:ascii="仿宋" w:hAnsi="仿宋" w:eastAsia="仿宋" w:cs="仿宋"/>
          <w:bCs/>
          <w:color w:val="auto"/>
          <w:sz w:val="24"/>
          <w:highlight w:val="none"/>
          <w:lang w:eastAsia="zh-Hans"/>
        </w:rPr>
        <w:t>不能通过电话服务或远程支持方式解决</w:t>
      </w:r>
      <w:r>
        <w:rPr>
          <w:rFonts w:hint="eastAsia" w:ascii="仿宋" w:hAnsi="仿宋" w:eastAsia="仿宋" w:cs="仿宋"/>
          <w:bCs/>
          <w:color w:val="auto"/>
          <w:sz w:val="24"/>
          <w:highlight w:val="none"/>
        </w:rPr>
        <w:t>采购人</w:t>
      </w:r>
      <w:r>
        <w:rPr>
          <w:rFonts w:hint="eastAsia" w:ascii="仿宋" w:hAnsi="仿宋" w:eastAsia="仿宋" w:cs="仿宋"/>
          <w:bCs/>
          <w:color w:val="auto"/>
          <w:sz w:val="24"/>
          <w:highlight w:val="none"/>
          <w:lang w:eastAsia="zh-Hans"/>
        </w:rPr>
        <w:t>问题，</w:t>
      </w:r>
      <w:r>
        <w:rPr>
          <w:rFonts w:hint="eastAsia" w:ascii="仿宋" w:hAnsi="仿宋" w:eastAsia="仿宋" w:cs="仿宋"/>
          <w:bCs/>
          <w:color w:val="auto"/>
          <w:sz w:val="24"/>
          <w:highlight w:val="none"/>
        </w:rPr>
        <w:t>投标人</w:t>
      </w:r>
      <w:r>
        <w:rPr>
          <w:rFonts w:hint="eastAsia" w:ascii="仿宋" w:hAnsi="仿宋" w:eastAsia="仿宋" w:cs="仿宋"/>
          <w:bCs/>
          <w:color w:val="auto"/>
          <w:sz w:val="24"/>
          <w:highlight w:val="none"/>
          <w:lang w:eastAsia="zh-Hans"/>
        </w:rPr>
        <w:t>到达现场并解决故障。</w:t>
      </w:r>
    </w:p>
    <w:p w14:paraId="01F5ED8B">
      <w:pPr>
        <w:snapToGrid w:val="0"/>
        <w:spacing w:line="360" w:lineRule="auto"/>
        <w:ind w:firstLine="480" w:firstLineChars="200"/>
        <w:rPr>
          <w:rFonts w:ascii="仿宋" w:hAnsi="仿宋" w:eastAsia="仿宋" w:cs="仿宋"/>
          <w:bCs/>
          <w:color w:val="auto"/>
          <w:sz w:val="24"/>
          <w:highlight w:val="none"/>
          <w:lang w:eastAsia="zh-Hans"/>
        </w:rPr>
      </w:pPr>
      <w:r>
        <w:rPr>
          <w:rFonts w:hint="eastAsia" w:ascii="仿宋" w:hAnsi="仿宋" w:eastAsia="仿宋" w:cs="仿宋"/>
          <w:bCs/>
          <w:color w:val="auto"/>
          <w:sz w:val="24"/>
          <w:highlight w:val="none"/>
        </w:rPr>
        <w:t>（4）</w:t>
      </w:r>
      <w:r>
        <w:rPr>
          <w:rFonts w:hint="eastAsia" w:ascii="仿宋" w:hAnsi="仿宋" w:eastAsia="仿宋" w:cs="仿宋"/>
          <w:bCs/>
          <w:color w:val="auto"/>
          <w:sz w:val="24"/>
          <w:highlight w:val="none"/>
          <w:lang w:eastAsia="zh-Hans"/>
        </w:rPr>
        <w:t>设备应在</w:t>
      </w:r>
      <w:r>
        <w:rPr>
          <w:rFonts w:hint="eastAsia" w:ascii="仿宋" w:hAnsi="仿宋" w:eastAsia="仿宋" w:cs="仿宋"/>
          <w:bCs/>
          <w:color w:val="auto"/>
          <w:sz w:val="24"/>
          <w:highlight w:val="none"/>
        </w:rPr>
        <w:t>24</w:t>
      </w:r>
      <w:r>
        <w:rPr>
          <w:rFonts w:hint="eastAsia" w:ascii="仿宋" w:hAnsi="仿宋" w:eastAsia="仿宋" w:cs="仿宋"/>
          <w:bCs/>
          <w:color w:val="auto"/>
          <w:sz w:val="24"/>
          <w:highlight w:val="none"/>
          <w:lang w:eastAsia="zh-Hans"/>
        </w:rPr>
        <w:t>小时内恢复正常，以保障关键业务的不间断运行。若需延长期限的，需在时限到期前向</w:t>
      </w:r>
      <w:r>
        <w:rPr>
          <w:rFonts w:hint="eastAsia" w:ascii="仿宋" w:hAnsi="仿宋" w:eastAsia="仿宋" w:cs="仿宋"/>
          <w:bCs/>
          <w:color w:val="auto"/>
          <w:sz w:val="24"/>
          <w:highlight w:val="none"/>
        </w:rPr>
        <w:t>采购人</w:t>
      </w:r>
      <w:r>
        <w:rPr>
          <w:rFonts w:hint="eastAsia" w:ascii="仿宋" w:hAnsi="仿宋" w:eastAsia="仿宋" w:cs="仿宋"/>
          <w:bCs/>
          <w:color w:val="auto"/>
          <w:sz w:val="24"/>
          <w:highlight w:val="none"/>
          <w:lang w:eastAsia="zh-Hans"/>
        </w:rPr>
        <w:t>提出书面延期申请，经</w:t>
      </w:r>
      <w:r>
        <w:rPr>
          <w:rFonts w:hint="eastAsia" w:ascii="仿宋" w:hAnsi="仿宋" w:eastAsia="仿宋" w:cs="仿宋"/>
          <w:bCs/>
          <w:color w:val="auto"/>
          <w:sz w:val="24"/>
          <w:highlight w:val="none"/>
        </w:rPr>
        <w:t>采购人</w:t>
      </w:r>
      <w:r>
        <w:rPr>
          <w:rFonts w:hint="eastAsia" w:ascii="仿宋" w:hAnsi="仿宋" w:eastAsia="仿宋" w:cs="仿宋"/>
          <w:bCs/>
          <w:color w:val="auto"/>
          <w:sz w:val="24"/>
          <w:highlight w:val="none"/>
          <w:lang w:eastAsia="zh-Hans"/>
        </w:rPr>
        <w:t>书面同意方可延期。</w:t>
      </w:r>
    </w:p>
    <w:p w14:paraId="19345352">
      <w:pPr>
        <w:snapToGrid w:val="0"/>
        <w:spacing w:line="360" w:lineRule="auto"/>
        <w:ind w:firstLine="480" w:firstLineChars="200"/>
        <w:rPr>
          <w:rFonts w:ascii="仿宋" w:hAnsi="仿宋" w:eastAsia="仿宋" w:cs="仿宋"/>
          <w:bCs/>
          <w:color w:val="auto"/>
          <w:sz w:val="24"/>
          <w:highlight w:val="none"/>
          <w:lang w:eastAsia="zh-Hans"/>
        </w:rPr>
      </w:pPr>
      <w:r>
        <w:rPr>
          <w:rFonts w:hint="eastAsia" w:ascii="仿宋" w:hAnsi="仿宋" w:eastAsia="仿宋" w:cs="仿宋"/>
          <w:bCs/>
          <w:color w:val="auto"/>
          <w:sz w:val="24"/>
          <w:highlight w:val="none"/>
        </w:rPr>
        <w:t>（5）投标人</w:t>
      </w:r>
      <w:r>
        <w:rPr>
          <w:rFonts w:hint="eastAsia" w:ascii="仿宋" w:hAnsi="仿宋" w:eastAsia="仿宋" w:cs="仿宋"/>
          <w:bCs/>
          <w:color w:val="auto"/>
          <w:sz w:val="24"/>
          <w:highlight w:val="none"/>
          <w:lang w:eastAsia="zh-Hans"/>
        </w:rPr>
        <w:t>每次巡检、维修、排障等服务后都应当提供服务报告。报告内容包括：设备状态、故障成因、维修细则和故障处理记录等。</w:t>
      </w:r>
    </w:p>
    <w:p w14:paraId="0606BB9B">
      <w:pPr>
        <w:snapToGrid w:val="0"/>
        <w:spacing w:line="360" w:lineRule="auto"/>
        <w:ind w:firstLine="480" w:firstLineChars="200"/>
        <w:rPr>
          <w:rFonts w:ascii="仿宋" w:hAnsi="仿宋" w:eastAsia="仿宋" w:cs="仿宋"/>
          <w:bCs/>
          <w:color w:val="auto"/>
          <w:sz w:val="24"/>
          <w:highlight w:val="none"/>
          <w:lang w:eastAsia="zh-Hans"/>
        </w:rPr>
      </w:pPr>
      <w:r>
        <w:rPr>
          <w:rFonts w:hint="eastAsia" w:ascii="仿宋" w:hAnsi="仿宋" w:eastAsia="仿宋" w:cs="仿宋"/>
          <w:bCs/>
          <w:color w:val="auto"/>
          <w:sz w:val="24"/>
          <w:highlight w:val="none"/>
        </w:rPr>
        <w:t>4</w:t>
      </w:r>
      <w:r>
        <w:rPr>
          <w:rFonts w:hint="eastAsia" w:ascii="仿宋" w:hAnsi="仿宋" w:eastAsia="仿宋" w:cs="仿宋"/>
          <w:bCs/>
          <w:color w:val="auto"/>
          <w:sz w:val="24"/>
          <w:highlight w:val="none"/>
          <w:lang w:eastAsia="zh-Hans"/>
        </w:rPr>
        <w:t>、质保期内，因产品设计、制造缺陷或材料问题导致的任何故障，</w:t>
      </w:r>
      <w:r>
        <w:rPr>
          <w:rFonts w:hint="eastAsia" w:ascii="仿宋" w:hAnsi="仿宋" w:eastAsia="仿宋" w:cs="仿宋"/>
          <w:bCs/>
          <w:color w:val="auto"/>
          <w:sz w:val="24"/>
          <w:highlight w:val="none"/>
        </w:rPr>
        <w:t>投标人</w:t>
      </w:r>
      <w:r>
        <w:rPr>
          <w:rFonts w:hint="eastAsia" w:ascii="仿宋" w:hAnsi="仿宋" w:eastAsia="仿宋" w:cs="仿宋"/>
          <w:bCs/>
          <w:color w:val="auto"/>
          <w:sz w:val="24"/>
          <w:highlight w:val="none"/>
          <w:lang w:eastAsia="zh-Hans"/>
        </w:rPr>
        <w:t>应免费维修或更换，并承担由此产生的一切费用（包括但不限于运输费、人工费、上门费、更换零部件费用）。</w:t>
      </w:r>
    </w:p>
    <w:p w14:paraId="46AB1805">
      <w:pPr>
        <w:snapToGrid w:val="0"/>
        <w:spacing w:line="360" w:lineRule="auto"/>
        <w:ind w:firstLine="480" w:firstLineChars="200"/>
        <w:rPr>
          <w:rFonts w:ascii="仿宋" w:hAnsi="仿宋" w:eastAsia="仿宋" w:cs="仿宋"/>
          <w:bCs/>
          <w:color w:val="auto"/>
          <w:sz w:val="24"/>
          <w:highlight w:val="none"/>
          <w:lang w:eastAsia="zh-Hans"/>
        </w:rPr>
      </w:pPr>
      <w:r>
        <w:rPr>
          <w:rFonts w:hint="eastAsia" w:ascii="仿宋" w:hAnsi="仿宋" w:eastAsia="仿宋" w:cs="仿宋"/>
          <w:bCs/>
          <w:color w:val="auto"/>
          <w:sz w:val="24"/>
          <w:highlight w:val="none"/>
        </w:rPr>
        <w:t>5</w:t>
      </w:r>
      <w:r>
        <w:rPr>
          <w:rFonts w:hint="eastAsia" w:ascii="仿宋" w:hAnsi="仿宋" w:eastAsia="仿宋" w:cs="仿宋"/>
          <w:bCs/>
          <w:color w:val="auto"/>
          <w:sz w:val="24"/>
          <w:highlight w:val="none"/>
          <w:lang w:eastAsia="zh-Hans"/>
        </w:rPr>
        <w:t>、培训要求</w:t>
      </w:r>
    </w:p>
    <w:p w14:paraId="7A6FB940">
      <w:pPr>
        <w:snapToGrid w:val="0"/>
        <w:spacing w:line="360" w:lineRule="auto"/>
        <w:ind w:firstLine="480" w:firstLineChars="200"/>
        <w:rPr>
          <w:rFonts w:ascii="仿宋" w:hAnsi="仿宋" w:eastAsia="仿宋" w:cs="仿宋"/>
          <w:bCs/>
          <w:color w:val="auto"/>
          <w:sz w:val="24"/>
          <w:highlight w:val="none"/>
          <w:lang w:eastAsia="zh-Hans"/>
        </w:rPr>
      </w:pPr>
      <w:r>
        <w:rPr>
          <w:rFonts w:hint="eastAsia" w:ascii="仿宋" w:hAnsi="仿宋" w:eastAsia="仿宋" w:cs="仿宋"/>
          <w:bCs/>
          <w:color w:val="auto"/>
          <w:sz w:val="24"/>
          <w:highlight w:val="none"/>
        </w:rPr>
        <w:t>5</w:t>
      </w:r>
      <w:r>
        <w:rPr>
          <w:rFonts w:hint="eastAsia" w:ascii="仿宋" w:hAnsi="仿宋" w:eastAsia="仿宋" w:cs="仿宋"/>
          <w:bCs/>
          <w:color w:val="auto"/>
          <w:sz w:val="24"/>
          <w:highlight w:val="none"/>
          <w:lang w:eastAsia="zh-Hans"/>
        </w:rPr>
        <w:t xml:space="preserve">.1 </w:t>
      </w:r>
      <w:r>
        <w:rPr>
          <w:rFonts w:hint="eastAsia" w:ascii="仿宋" w:hAnsi="仿宋" w:eastAsia="仿宋" w:cs="仿宋"/>
          <w:bCs/>
          <w:color w:val="auto"/>
          <w:sz w:val="24"/>
          <w:highlight w:val="none"/>
        </w:rPr>
        <w:t>投标人</w:t>
      </w:r>
      <w:r>
        <w:rPr>
          <w:rFonts w:hint="eastAsia" w:ascii="仿宋" w:hAnsi="仿宋" w:eastAsia="仿宋" w:cs="仿宋"/>
          <w:bCs/>
          <w:color w:val="auto"/>
          <w:sz w:val="24"/>
          <w:highlight w:val="none"/>
          <w:lang w:eastAsia="zh-Hans"/>
        </w:rPr>
        <w:t>须对</w:t>
      </w:r>
      <w:r>
        <w:rPr>
          <w:rFonts w:hint="eastAsia" w:ascii="仿宋" w:hAnsi="仿宋" w:eastAsia="仿宋" w:cs="仿宋"/>
          <w:bCs/>
          <w:color w:val="auto"/>
          <w:sz w:val="24"/>
          <w:highlight w:val="none"/>
        </w:rPr>
        <w:t>采购人</w:t>
      </w:r>
      <w:r>
        <w:rPr>
          <w:rFonts w:hint="eastAsia" w:ascii="仿宋" w:hAnsi="仿宋" w:eastAsia="仿宋" w:cs="仿宋"/>
          <w:bCs/>
          <w:color w:val="auto"/>
          <w:sz w:val="24"/>
          <w:highlight w:val="none"/>
          <w:lang w:eastAsia="zh-Hans"/>
        </w:rPr>
        <w:t>操作人员进行现场操作培训，内容包括但不限于：设备启动、正常运行操作、紧急停机、安全注意事项、常见故障识别等，确保操作人员能正确、安全地使用设备。</w:t>
      </w:r>
    </w:p>
    <w:p w14:paraId="23C548A2">
      <w:pPr>
        <w:snapToGrid w:val="0"/>
        <w:spacing w:line="360" w:lineRule="auto"/>
        <w:ind w:firstLine="480" w:firstLineChars="200"/>
        <w:rPr>
          <w:rFonts w:ascii="仿宋" w:hAnsi="仿宋" w:eastAsia="仿宋" w:cs="仿宋"/>
          <w:bCs/>
          <w:color w:val="auto"/>
          <w:sz w:val="24"/>
          <w:highlight w:val="none"/>
          <w:lang w:eastAsia="zh-Hans"/>
        </w:rPr>
      </w:pPr>
      <w:r>
        <w:rPr>
          <w:rFonts w:hint="eastAsia" w:ascii="仿宋" w:hAnsi="仿宋" w:eastAsia="仿宋" w:cs="仿宋"/>
          <w:bCs/>
          <w:color w:val="auto"/>
          <w:sz w:val="24"/>
          <w:highlight w:val="none"/>
        </w:rPr>
        <w:t>5</w:t>
      </w:r>
      <w:r>
        <w:rPr>
          <w:rFonts w:hint="eastAsia" w:ascii="仿宋" w:hAnsi="仿宋" w:eastAsia="仿宋" w:cs="仿宋"/>
          <w:bCs/>
          <w:color w:val="auto"/>
          <w:sz w:val="24"/>
          <w:highlight w:val="none"/>
          <w:lang w:eastAsia="zh-Hans"/>
        </w:rPr>
        <w:t xml:space="preserve">.2 </w:t>
      </w:r>
      <w:r>
        <w:rPr>
          <w:rFonts w:hint="eastAsia" w:ascii="仿宋" w:hAnsi="仿宋" w:eastAsia="仿宋" w:cs="仿宋"/>
          <w:bCs/>
          <w:color w:val="auto"/>
          <w:sz w:val="24"/>
          <w:highlight w:val="none"/>
        </w:rPr>
        <w:t>投标人</w:t>
      </w:r>
      <w:r>
        <w:rPr>
          <w:rFonts w:hint="eastAsia" w:ascii="仿宋" w:hAnsi="仿宋" w:eastAsia="仿宋" w:cs="仿宋"/>
          <w:bCs/>
          <w:color w:val="auto"/>
          <w:sz w:val="24"/>
          <w:highlight w:val="none"/>
          <w:lang w:eastAsia="zh-Hans"/>
        </w:rPr>
        <w:t>须对</w:t>
      </w:r>
      <w:r>
        <w:rPr>
          <w:rFonts w:hint="eastAsia" w:ascii="仿宋" w:hAnsi="仿宋" w:eastAsia="仿宋" w:cs="仿宋"/>
          <w:bCs/>
          <w:color w:val="auto"/>
          <w:sz w:val="24"/>
          <w:highlight w:val="none"/>
        </w:rPr>
        <w:t>维护</w:t>
      </w:r>
      <w:r>
        <w:rPr>
          <w:rFonts w:hint="eastAsia" w:ascii="仿宋" w:hAnsi="仿宋" w:eastAsia="仿宋" w:cs="仿宋"/>
          <w:bCs/>
          <w:color w:val="auto"/>
          <w:sz w:val="24"/>
          <w:highlight w:val="none"/>
          <w:lang w:eastAsia="zh-Hans"/>
        </w:rPr>
        <w:t>人员进行日常维护保养培训，内容包括但不限于：清洁、润滑、简单故障排除、易损件更换等。</w:t>
      </w:r>
    </w:p>
    <w:p w14:paraId="6C31A805">
      <w:pPr>
        <w:snapToGrid w:val="0"/>
        <w:spacing w:line="360" w:lineRule="auto"/>
        <w:ind w:firstLine="480" w:firstLineChars="200"/>
        <w:rPr>
          <w:rFonts w:ascii="仿宋" w:hAnsi="仿宋" w:eastAsia="仿宋" w:cs="仿宋"/>
          <w:bCs/>
          <w:color w:val="auto"/>
          <w:sz w:val="24"/>
          <w:highlight w:val="none"/>
          <w:lang w:eastAsia="zh-Hans"/>
        </w:rPr>
      </w:pPr>
      <w:r>
        <w:rPr>
          <w:rFonts w:hint="eastAsia" w:ascii="仿宋" w:hAnsi="仿宋" w:eastAsia="仿宋" w:cs="仿宋"/>
          <w:bCs/>
          <w:color w:val="auto"/>
          <w:sz w:val="24"/>
          <w:highlight w:val="none"/>
        </w:rPr>
        <w:t>5</w:t>
      </w:r>
      <w:r>
        <w:rPr>
          <w:rFonts w:hint="eastAsia" w:ascii="仿宋" w:hAnsi="仿宋" w:eastAsia="仿宋" w:cs="仿宋"/>
          <w:bCs/>
          <w:color w:val="auto"/>
          <w:sz w:val="24"/>
          <w:highlight w:val="none"/>
          <w:lang w:eastAsia="zh-Hans"/>
        </w:rPr>
        <w:t>.3 培训完成后，</w:t>
      </w:r>
      <w:r>
        <w:rPr>
          <w:rFonts w:hint="eastAsia" w:ascii="仿宋" w:hAnsi="仿宋" w:eastAsia="仿宋" w:cs="仿宋"/>
          <w:bCs/>
          <w:color w:val="auto"/>
          <w:sz w:val="24"/>
          <w:highlight w:val="none"/>
        </w:rPr>
        <w:t>投标人</w:t>
      </w:r>
      <w:r>
        <w:rPr>
          <w:rFonts w:hint="eastAsia" w:ascii="仿宋" w:hAnsi="仿宋" w:eastAsia="仿宋" w:cs="仿宋"/>
          <w:bCs/>
          <w:color w:val="auto"/>
          <w:sz w:val="24"/>
          <w:highlight w:val="none"/>
          <w:lang w:eastAsia="zh-Hans"/>
        </w:rPr>
        <w:t>应提供完整的中文版技术资料（下述资料须提供纸质版2套和电子版1套），包括但不限于：</w:t>
      </w:r>
    </w:p>
    <w:p w14:paraId="53C422F4">
      <w:pPr>
        <w:snapToGrid w:val="0"/>
        <w:spacing w:line="360" w:lineRule="auto"/>
        <w:ind w:firstLine="480" w:firstLineChars="200"/>
        <w:rPr>
          <w:rFonts w:ascii="仿宋" w:hAnsi="仿宋" w:eastAsia="仿宋" w:cs="仿宋"/>
          <w:bCs/>
          <w:color w:val="auto"/>
          <w:sz w:val="24"/>
          <w:highlight w:val="none"/>
          <w:lang w:eastAsia="zh-Hans"/>
        </w:rPr>
      </w:pPr>
      <w:r>
        <w:rPr>
          <w:rFonts w:hint="eastAsia" w:ascii="仿宋" w:hAnsi="仿宋" w:eastAsia="仿宋" w:cs="仿宋"/>
          <w:bCs/>
          <w:color w:val="auto"/>
          <w:sz w:val="24"/>
          <w:highlight w:val="none"/>
          <w:lang w:eastAsia="zh-Hans"/>
        </w:rPr>
        <w:t>（1）操作手册；</w:t>
      </w:r>
    </w:p>
    <w:p w14:paraId="30E744A2">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lang w:eastAsia="zh-Hans"/>
        </w:rPr>
        <w:t>（2）维护保养手册</w:t>
      </w:r>
      <w:r>
        <w:rPr>
          <w:rFonts w:hint="eastAsia" w:ascii="仿宋" w:hAnsi="仿宋" w:eastAsia="仿宋" w:cs="仿宋"/>
          <w:bCs/>
          <w:color w:val="auto"/>
          <w:sz w:val="24"/>
          <w:highlight w:val="none"/>
        </w:rPr>
        <w:t>。</w:t>
      </w:r>
    </w:p>
    <w:p w14:paraId="6A10EF29">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6、验收前，投标人应将完整的资料（包括但不限于技术文档、相关图纸、设备说明书、操作手册等）提交给采购人存档管理。</w:t>
      </w:r>
    </w:p>
    <w:p w14:paraId="057EC533">
      <w:pPr>
        <w:spacing w:line="360" w:lineRule="auto"/>
        <w:ind w:firstLine="482" w:firstLineChars="200"/>
        <w:contextualSpacing/>
        <w:rPr>
          <w:rFonts w:ascii="仿宋" w:hAnsi="仿宋" w:eastAsia="仿宋" w:cs="仿宋"/>
          <w:b/>
          <w:bCs/>
          <w:color w:val="auto"/>
          <w:sz w:val="24"/>
          <w:highlight w:val="none"/>
        </w:rPr>
      </w:pPr>
      <w:r>
        <w:rPr>
          <w:rFonts w:hint="eastAsia" w:ascii="仿宋" w:hAnsi="仿宋" w:eastAsia="仿宋" w:cs="仿宋"/>
          <w:b/>
          <w:bCs/>
          <w:color w:val="auto"/>
          <w:sz w:val="24"/>
          <w:highlight w:val="none"/>
        </w:rPr>
        <w:t>三、技术要求</w:t>
      </w:r>
    </w:p>
    <w:p w14:paraId="0ED5E707">
      <w:pPr>
        <w:spacing w:line="360" w:lineRule="auto"/>
        <w:ind w:firstLine="482" w:firstLineChars="200"/>
        <w:contextualSpacing/>
        <w:rPr>
          <w:rFonts w:ascii="仿宋" w:hAnsi="仿宋" w:eastAsia="仿宋" w:cs="仿宋"/>
          <w:b/>
          <w:bCs/>
          <w:color w:val="auto"/>
          <w:sz w:val="24"/>
          <w:highlight w:val="none"/>
        </w:rPr>
      </w:pPr>
      <w:r>
        <w:rPr>
          <w:rFonts w:hint="eastAsia" w:ascii="仿宋" w:hAnsi="仿宋" w:eastAsia="仿宋" w:cs="仿宋"/>
          <w:b/>
          <w:bCs/>
          <w:color w:val="auto"/>
          <w:sz w:val="24"/>
          <w:highlight w:val="none"/>
        </w:rPr>
        <w:t>（一）基本要求</w:t>
      </w:r>
    </w:p>
    <w:p w14:paraId="12727A47">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1、采购标的需实现的功能或者目标</w:t>
      </w:r>
    </w:p>
    <w:p w14:paraId="0BABB848">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医院易燃易爆化学制剂等危险化学品需存放于专用存储区域，区域内配套配齐安全防护设施与危化品专用存储柜；通过落实双人双锁管控、布设环境智能监测系统等多重防控措施，对危化品存储区域实施标准化、规范化严格管理，确保完全符合北京市危险化学品管理相关法律法规要求。</w:t>
      </w:r>
    </w:p>
    <w:p w14:paraId="6AE93383">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项目建设总目标依据政策法规及行业规范标准，满足医院开办最基础的安全管理条件下，提升安全隐患事件的预知预判、快速响应和高效处置，降低治安案件、安全事故等事件的发生概率，提升医院的整体安全水平，形成系统、科学、高效、智慧的医院安全防范体系。</w:t>
      </w:r>
    </w:p>
    <w:p w14:paraId="69CD2176">
      <w:pPr>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2、需执行的国家相关标准、行业标准、地方标准或者其他标准、规范</w:t>
      </w:r>
    </w:p>
    <w:p w14:paraId="3484E210">
      <w:pPr>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2.1、所有设备的设计、制造、检验、包装、运输、安装及验收均须需满足国家、北京市及采购人各项最新标准及规范要求。注：以上均按最新标准执行。</w:t>
      </w:r>
    </w:p>
    <w:p w14:paraId="2245704F">
      <w:pPr>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2.2、如采购内容涉及节能产品政府采购品目清单中标注★的政府强制采购产品，需按市场监管总局关于发布参与实施政府采购节能产品、环境标志产品认证机构名录的公告（2019年第16号）等政策要求在投标文件中提供对应产品的</w:t>
      </w:r>
      <w:r>
        <w:rPr>
          <w:rFonts w:hint="eastAsia" w:ascii="仿宋" w:hAnsi="仿宋" w:eastAsia="仿宋" w:cs="仿宋"/>
          <w:bCs/>
          <w:color w:val="auto"/>
          <w:sz w:val="24"/>
          <w:highlight w:val="none"/>
        </w:rPr>
        <w:t>证明材料。</w:t>
      </w:r>
    </w:p>
    <w:p w14:paraId="191C963B">
      <w:pPr>
        <w:pStyle w:val="2"/>
        <w:spacing w:line="360" w:lineRule="auto"/>
        <w:rPr>
          <w:rFonts w:ascii="仿宋" w:hAnsi="仿宋" w:eastAsia="仿宋" w:cs="仿宋"/>
          <w:bCs/>
          <w:color w:val="auto"/>
          <w:highlight w:val="none"/>
        </w:rPr>
      </w:pPr>
      <w:r>
        <w:rPr>
          <w:rFonts w:hint="eastAsia" w:ascii="仿宋" w:hAnsi="仿宋" w:eastAsia="仿宋" w:cs="仿宋"/>
          <w:bCs/>
          <w:color w:val="auto"/>
          <w:highlight w:val="none"/>
        </w:rPr>
        <w:t>2.3、危险化学品存储硬件条件满足易制爆危险化学品储存场所相关要求、《北京市危险化学品使用单位储存设施安全评价工作指引（试行）要求》。保障整体系统接入监管平台并取得易制爆危险化学品储存场所治安防范评价验收报告及危险化学品安全现状评估报告。易制毒、危废满足相关行业标准。</w:t>
      </w:r>
    </w:p>
    <w:p w14:paraId="334B74FC">
      <w:pPr>
        <w:pStyle w:val="2"/>
        <w:spacing w:line="360" w:lineRule="auto"/>
        <w:rPr>
          <w:rFonts w:ascii="仿宋" w:hAnsi="仿宋" w:eastAsia="仿宋" w:cs="仿宋"/>
          <w:bCs/>
          <w:color w:val="auto"/>
          <w:highlight w:val="none"/>
        </w:rPr>
      </w:pPr>
      <w:r>
        <w:rPr>
          <w:rFonts w:hint="eastAsia" w:ascii="仿宋" w:hAnsi="仿宋" w:eastAsia="仿宋" w:cs="仿宋"/>
          <w:bCs/>
          <w:color w:val="auto"/>
          <w:highlight w:val="none"/>
        </w:rPr>
        <w:t>2.4、危化品防护服</w:t>
      </w:r>
      <w:r>
        <w:rPr>
          <w:rFonts w:hint="eastAsia" w:ascii="仿宋" w:hAnsi="仿宋" w:eastAsia="仿宋"/>
          <w:color w:val="auto"/>
          <w:highlight w:val="none"/>
        </w:rPr>
        <w:t>满足国家相关标准。</w:t>
      </w:r>
    </w:p>
    <w:p w14:paraId="37BBEA7C">
      <w:pPr>
        <w:pStyle w:val="2"/>
        <w:rPr>
          <w:rFonts w:ascii="仿宋" w:hAnsi="仿宋" w:eastAsia="仿宋"/>
          <w:color w:val="auto"/>
          <w:highlight w:val="none"/>
        </w:rPr>
      </w:pPr>
    </w:p>
    <w:p w14:paraId="58DEEAF8">
      <w:pPr>
        <w:snapToGrid w:val="0"/>
        <w:spacing w:line="360" w:lineRule="auto"/>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rPr>
        <w:t>（二）服务内容及要求/货物技术要求</w:t>
      </w:r>
    </w:p>
    <w:p w14:paraId="20BF5783">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1、采购标的需满足的性能、材料、结构、外观、质量、安全、技术规格、物理特性等要求：</w:t>
      </w:r>
    </w:p>
    <w:p w14:paraId="439C690B">
      <w:pPr>
        <w:pStyle w:val="2"/>
        <w:spacing w:line="360" w:lineRule="auto"/>
        <w:contextualSpacing/>
        <w:jc w:val="center"/>
        <w:rPr>
          <w:rFonts w:ascii="仿宋" w:hAnsi="仿宋" w:eastAsia="仿宋" w:cs="仿宋"/>
          <w:b/>
          <w:bCs/>
          <w:color w:val="auto"/>
          <w:highlight w:val="none"/>
        </w:rPr>
      </w:pPr>
      <w:r>
        <w:rPr>
          <w:rFonts w:hint="eastAsia" w:ascii="仿宋" w:hAnsi="仿宋" w:eastAsia="仿宋" w:cs="仿宋"/>
          <w:b/>
          <w:bCs/>
          <w:color w:val="auto"/>
          <w:highlight w:val="none"/>
        </w:rPr>
        <w:t>第3包 危化品安全装备</w:t>
      </w:r>
    </w:p>
    <w:tbl>
      <w:tblPr>
        <w:tblStyle w:val="4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6"/>
        <w:gridCol w:w="7152"/>
      </w:tblGrid>
      <w:tr w14:paraId="17D80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tcPr>
          <w:p w14:paraId="59B94705">
            <w:pPr>
              <w:pStyle w:val="89"/>
              <w:spacing w:line="276" w:lineRule="auto"/>
              <w:ind w:firstLine="422"/>
              <w:contextualSpacing/>
              <w:jc w:val="center"/>
              <w:rPr>
                <w:rFonts w:ascii="Arial" w:hAnsi="Arial" w:eastAsia="仿宋" w:cs="Arial"/>
                <w:bCs/>
                <w:color w:val="auto"/>
                <w:szCs w:val="21"/>
                <w:highlight w:val="none"/>
              </w:rPr>
            </w:pPr>
            <w:r>
              <w:rPr>
                <w:rFonts w:hint="eastAsia" w:ascii="Arial" w:hAnsi="Arial" w:eastAsia="仿宋" w:cs="Arial"/>
                <w:b/>
                <w:color w:val="auto"/>
                <w:szCs w:val="21"/>
                <w:highlight w:val="none"/>
              </w:rPr>
              <w:t>技术参数</w:t>
            </w:r>
          </w:p>
        </w:tc>
      </w:tr>
      <w:tr w14:paraId="1885A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Align w:val="center"/>
          </w:tcPr>
          <w:p w14:paraId="7DE8C9F1">
            <w:pPr>
              <w:adjustRightInd w:val="0"/>
              <w:spacing w:line="276" w:lineRule="auto"/>
              <w:contextualSpacing/>
              <w:jc w:val="center"/>
              <w:rPr>
                <w:rFonts w:ascii="仿宋" w:hAnsi="仿宋" w:eastAsia="仿宋"/>
                <w:color w:val="auto"/>
                <w:highlight w:val="none"/>
              </w:rPr>
            </w:pPr>
            <w:r>
              <w:rPr>
                <w:rFonts w:hint="eastAsia" w:ascii="仿宋" w:hAnsi="仿宋" w:eastAsia="仿宋"/>
                <w:color w:val="auto"/>
                <w:highlight w:val="none"/>
              </w:rPr>
              <w:t>危化品智能储存柜</w:t>
            </w:r>
          </w:p>
        </w:tc>
        <w:tc>
          <w:tcPr>
            <w:tcW w:w="4193" w:type="pct"/>
            <w:vAlign w:val="center"/>
          </w:tcPr>
          <w:p w14:paraId="113A105B">
            <w:pPr>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1.尺寸规格：</w:t>
            </w:r>
            <w:r>
              <w:rPr>
                <w:rFonts w:hint="eastAsia" w:ascii="宋体" w:hAnsi="宋体" w:cs="宋体"/>
                <w:color w:val="auto"/>
                <w:highlight w:val="none"/>
              </w:rPr>
              <w:t>≥</w:t>
            </w:r>
            <w:r>
              <w:rPr>
                <w:rFonts w:hint="eastAsia" w:ascii="仿宋" w:hAnsi="仿宋" w:eastAsia="仿宋"/>
                <w:color w:val="auto"/>
                <w:highlight w:val="none"/>
              </w:rPr>
              <w:t>1980×900×510mm。</w:t>
            </w:r>
          </w:p>
          <w:p w14:paraId="671997AD">
            <w:pPr>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2.存储柜结构：双开门。</w:t>
            </w:r>
          </w:p>
          <w:p w14:paraId="49C1FD69">
            <w:pPr>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▲3.存储柜材质：壳体全部采用厚度≥1.0mm冷轧钢板，柜体底座采用≥2.0mm一级冷轧钢板；柜体经中性盐雾连续喷雾240h后，防盐雾腐蚀保护等级不低于10级,外观评级不低于A级。</w:t>
            </w:r>
            <w:r>
              <w:rPr>
                <w:rFonts w:hint="eastAsia" w:ascii="仿宋" w:hAnsi="仿宋" w:eastAsia="仿宋"/>
                <w:color w:val="auto"/>
                <w:highlight w:val="none"/>
              </w:rPr>
              <w:br w:type="textWrapping"/>
            </w:r>
            <w:r>
              <w:rPr>
                <w:rFonts w:hint="eastAsia" w:ascii="仿宋" w:hAnsi="仿宋" w:eastAsia="仿宋"/>
                <w:color w:val="auto"/>
                <w:highlight w:val="none"/>
              </w:rPr>
              <w:t>4.柜体内胆：上、下、左、右内衬板全部采用瓷白聚丙烯树脂板；所使用的PP板材具有阻燃功能，其PP板阻燃级别达到V-0等级。</w:t>
            </w:r>
          </w:p>
          <w:p w14:paraId="390E7A75">
            <w:pPr>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5.配备三块平层式非焊接一体成型PP聚丙烯注塑层板，平层板承重≥50kg。</w:t>
            </w:r>
          </w:p>
          <w:p w14:paraId="3A4013BE">
            <w:pPr>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6.储存柜应进行盐雾试验检测，防盐雾腐蚀保护等级不低于10级。</w:t>
            </w:r>
          </w:p>
          <w:p w14:paraId="5A639C1E">
            <w:pPr>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7.设备配备≥7寸液晶显示屏。</w:t>
            </w:r>
          </w:p>
          <w:p w14:paraId="7ACA4029">
            <w:pPr>
              <w:spacing w:line="276" w:lineRule="auto"/>
              <w:contextualSpacing/>
              <w:jc w:val="left"/>
              <w:rPr>
                <w:rFonts w:ascii="仿宋" w:hAnsi="仿宋" w:eastAsia="仿宋"/>
                <w:color w:val="auto"/>
                <w:highlight w:val="none"/>
              </w:rPr>
            </w:pPr>
            <w:r>
              <w:rPr>
                <w:rFonts w:hint="eastAsia" w:ascii="宋体" w:hAnsi="宋体" w:cs="宋体"/>
                <w:color w:val="auto"/>
                <w:kern w:val="0"/>
                <w:szCs w:val="21"/>
                <w:highlight w:val="none"/>
              </w:rPr>
              <w:t>▲</w:t>
            </w:r>
            <w:r>
              <w:rPr>
                <w:rFonts w:hint="eastAsia" w:ascii="仿宋" w:hAnsi="仿宋" w:eastAsia="仿宋"/>
                <w:color w:val="auto"/>
                <w:highlight w:val="none"/>
              </w:rPr>
              <w:t>8.锁具：配备两把B级机械钥匙锁，锁具符合GA/T73标准，实现双人双锁管理。</w:t>
            </w:r>
            <w:r>
              <w:rPr>
                <w:rFonts w:ascii="仿宋" w:hAnsi="仿宋" w:eastAsia="仿宋"/>
                <w:color w:val="auto"/>
                <w:highlight w:val="none"/>
              </w:rPr>
              <w:t>（</w:t>
            </w:r>
            <w:r>
              <w:rPr>
                <w:rFonts w:hint="eastAsia" w:ascii="仿宋" w:hAnsi="仿宋" w:eastAsia="仿宋"/>
                <w:color w:val="auto"/>
                <w:highlight w:val="none"/>
              </w:rPr>
              <w:t>投标文件须提供第三方</w:t>
            </w:r>
            <w:r>
              <w:rPr>
                <w:rFonts w:ascii="仿宋" w:hAnsi="仿宋" w:eastAsia="仿宋"/>
                <w:color w:val="auto"/>
                <w:highlight w:val="none"/>
              </w:rPr>
              <w:t>检测机构出具锁具检测报告）</w:t>
            </w:r>
          </w:p>
          <w:p w14:paraId="395C9ADF">
            <w:pPr>
              <w:spacing w:line="276" w:lineRule="auto"/>
              <w:contextualSpacing/>
              <w:jc w:val="left"/>
              <w:rPr>
                <w:rFonts w:ascii="仿宋" w:hAnsi="仿宋" w:eastAsia="仿宋"/>
                <w:color w:val="auto"/>
                <w:highlight w:val="none"/>
              </w:rPr>
            </w:pPr>
            <w:r>
              <w:rPr>
                <w:rFonts w:hint="eastAsia" w:ascii="宋体" w:hAnsi="宋体" w:cs="宋体"/>
                <w:color w:val="auto"/>
                <w:kern w:val="0"/>
                <w:szCs w:val="21"/>
                <w:highlight w:val="none"/>
              </w:rPr>
              <w:t>▲</w:t>
            </w:r>
            <w:r>
              <w:rPr>
                <w:rFonts w:hint="eastAsia" w:ascii="仿宋" w:hAnsi="仿宋" w:eastAsia="仿宋"/>
                <w:color w:val="auto"/>
                <w:highlight w:val="none"/>
              </w:rPr>
              <w:t>9.控制系统：具备温湿度变送器和VOC报警器。</w:t>
            </w:r>
          </w:p>
          <w:p w14:paraId="3A1CD1FF">
            <w:pPr>
              <w:spacing w:line="276" w:lineRule="auto"/>
              <w:contextualSpacing/>
              <w:jc w:val="left"/>
              <w:rPr>
                <w:rFonts w:ascii="仿宋" w:hAnsi="仿宋" w:eastAsia="仿宋"/>
                <w:color w:val="auto"/>
                <w:highlight w:val="none"/>
              </w:rPr>
            </w:pPr>
            <w:r>
              <w:rPr>
                <w:rFonts w:hint="eastAsia" w:ascii="宋体" w:hAnsi="宋体" w:cs="宋体"/>
                <w:color w:val="auto"/>
                <w:kern w:val="0"/>
                <w:szCs w:val="21"/>
                <w:highlight w:val="none"/>
              </w:rPr>
              <w:t>▲</w:t>
            </w:r>
            <w:r>
              <w:rPr>
                <w:rFonts w:hint="eastAsia" w:ascii="仿宋" w:hAnsi="仿宋" w:eastAsia="仿宋"/>
                <w:color w:val="auto"/>
                <w:highlight w:val="none"/>
              </w:rPr>
              <w:t>10.网络功能：具备RS485、GPRS或Wi-Fi网络连接功能。</w:t>
            </w:r>
          </w:p>
          <w:p w14:paraId="23B4EB9A">
            <w:pPr>
              <w:spacing w:line="276" w:lineRule="auto"/>
              <w:contextualSpacing/>
              <w:jc w:val="left"/>
              <w:rPr>
                <w:rFonts w:ascii="仿宋" w:hAnsi="仿宋" w:eastAsia="仿宋"/>
                <w:color w:val="auto"/>
                <w:highlight w:val="none"/>
              </w:rPr>
            </w:pPr>
            <w:r>
              <w:rPr>
                <w:rFonts w:hint="eastAsia" w:ascii="宋体" w:hAnsi="宋体" w:cs="宋体"/>
                <w:color w:val="auto"/>
                <w:kern w:val="0"/>
                <w:szCs w:val="21"/>
                <w:highlight w:val="none"/>
              </w:rPr>
              <w:t>▲</w:t>
            </w:r>
            <w:r>
              <w:rPr>
                <w:rFonts w:hint="eastAsia" w:ascii="仿宋" w:hAnsi="仿宋" w:eastAsia="仿宋"/>
                <w:color w:val="auto"/>
                <w:highlight w:val="none"/>
              </w:rPr>
              <w:t>11.整柜具备抗爆功能。整柜为抗爆结构，柜体采用≥1.0mm厚冷轧钢板，底座采用≥2.0mm厚冷轧钢板。</w:t>
            </w:r>
          </w:p>
          <w:p w14:paraId="14F4731C">
            <w:pPr>
              <w:spacing w:line="276" w:lineRule="auto"/>
              <w:contextualSpacing/>
              <w:jc w:val="left"/>
              <w:rPr>
                <w:rFonts w:ascii="仿宋" w:hAnsi="仿宋" w:eastAsia="仿宋"/>
                <w:color w:val="auto"/>
                <w:highlight w:val="none"/>
              </w:rPr>
            </w:pPr>
            <w:r>
              <w:rPr>
                <w:rFonts w:hint="eastAsia" w:ascii="宋体" w:hAnsi="宋体" w:cs="宋体"/>
                <w:color w:val="auto"/>
                <w:kern w:val="0"/>
                <w:szCs w:val="21"/>
                <w:highlight w:val="none"/>
              </w:rPr>
              <w:t>▲</w:t>
            </w:r>
            <w:r>
              <w:rPr>
                <w:rFonts w:hint="eastAsia" w:ascii="仿宋" w:hAnsi="仿宋" w:eastAsia="仿宋"/>
                <w:color w:val="auto"/>
                <w:highlight w:val="none"/>
              </w:rPr>
              <w:t>12.产品中有害物质检测释放限量须参照GB18584-2024《家具中有害物质限量》国家标准的强制性要求进行检测。</w:t>
            </w:r>
          </w:p>
          <w:p w14:paraId="60A9AC7C">
            <w:pPr>
              <w:spacing w:line="276" w:lineRule="auto"/>
              <w:contextualSpacing/>
              <w:jc w:val="left"/>
              <w:rPr>
                <w:rFonts w:ascii="仿宋" w:hAnsi="仿宋" w:eastAsia="仿宋"/>
                <w:color w:val="auto"/>
                <w:highlight w:val="none"/>
              </w:rPr>
            </w:pPr>
            <w:r>
              <w:rPr>
                <w:rFonts w:hint="eastAsia" w:ascii="宋体" w:hAnsi="宋体" w:cs="宋体"/>
                <w:color w:val="auto"/>
                <w:kern w:val="0"/>
                <w:szCs w:val="21"/>
                <w:highlight w:val="none"/>
              </w:rPr>
              <w:t>▲</w:t>
            </w:r>
            <w:r>
              <w:rPr>
                <w:rFonts w:hint="eastAsia" w:ascii="仿宋" w:hAnsi="仿宋" w:eastAsia="仿宋"/>
                <w:color w:val="auto"/>
                <w:highlight w:val="none"/>
              </w:rPr>
              <w:t>13.配有MSDS查询码，可实时查询≥2828危险化学品名录。</w:t>
            </w:r>
          </w:p>
          <w:p w14:paraId="1D5D3B90">
            <w:pPr>
              <w:spacing w:line="276" w:lineRule="auto"/>
              <w:contextualSpacing/>
              <w:jc w:val="left"/>
              <w:rPr>
                <w:color w:val="auto"/>
                <w:highlight w:val="none"/>
              </w:rPr>
            </w:pPr>
            <w:r>
              <w:rPr>
                <w:rFonts w:hint="eastAsia" w:ascii="仿宋" w:hAnsi="仿宋" w:eastAsia="仿宋"/>
                <w:b/>
                <w:bCs/>
                <w:color w:val="auto"/>
                <w:highlight w:val="none"/>
              </w:rPr>
              <w:t>以上技术要求带▲号的</w:t>
            </w:r>
            <w:r>
              <w:rPr>
                <w:rFonts w:hint="eastAsia" w:ascii="宋体" w:hAnsi="宋体" w:cs="宋体"/>
                <w:b/>
                <w:bCs/>
                <w:color w:val="auto"/>
                <w:kern w:val="0"/>
                <w:szCs w:val="21"/>
                <w:highlight w:val="none"/>
              </w:rPr>
              <w:t>，</w:t>
            </w:r>
            <w:r>
              <w:rPr>
                <w:rFonts w:hint="eastAsia" w:ascii="仿宋" w:hAnsi="仿宋" w:eastAsia="仿宋"/>
                <w:b/>
                <w:bCs/>
                <w:color w:val="auto"/>
                <w:highlight w:val="none"/>
              </w:rPr>
              <w:t>投标人需提供具有CMA认证标志的第三方检测机构出具的检测报告复印件加盖投标人公章。</w:t>
            </w:r>
          </w:p>
        </w:tc>
      </w:tr>
      <w:tr w14:paraId="0A1E2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Align w:val="center"/>
          </w:tcPr>
          <w:p w14:paraId="19878ABF">
            <w:pPr>
              <w:adjustRightInd w:val="0"/>
              <w:spacing w:line="276" w:lineRule="auto"/>
              <w:contextualSpacing/>
              <w:jc w:val="center"/>
              <w:rPr>
                <w:rFonts w:ascii="仿宋" w:hAnsi="仿宋" w:eastAsia="仿宋"/>
                <w:color w:val="auto"/>
                <w:highlight w:val="none"/>
              </w:rPr>
            </w:pPr>
            <w:r>
              <w:rPr>
                <w:rFonts w:hint="eastAsia" w:ascii="仿宋" w:hAnsi="仿宋" w:eastAsia="仿宋"/>
                <w:color w:val="auto"/>
                <w:highlight w:val="none"/>
              </w:rPr>
              <w:t>危化品智能组合柜</w:t>
            </w:r>
          </w:p>
        </w:tc>
        <w:tc>
          <w:tcPr>
            <w:tcW w:w="4193" w:type="pct"/>
            <w:vAlign w:val="center"/>
          </w:tcPr>
          <w:p w14:paraId="2C95C202">
            <w:pPr>
              <w:spacing w:line="276" w:lineRule="auto"/>
              <w:contextualSpacing/>
              <w:jc w:val="left"/>
              <w:rPr>
                <w:rFonts w:ascii="仿宋" w:hAnsi="仿宋" w:eastAsia="仿宋" w:cs="仿宋"/>
                <w:color w:val="auto"/>
                <w:szCs w:val="21"/>
                <w:highlight w:val="none"/>
              </w:rPr>
            </w:pPr>
            <w:r>
              <w:rPr>
                <w:rFonts w:hint="eastAsia" w:ascii="仿宋" w:hAnsi="仿宋" w:eastAsia="仿宋" w:cs="仿宋"/>
                <w:color w:val="auto"/>
                <w:szCs w:val="21"/>
                <w:highlight w:val="none"/>
              </w:rPr>
              <w:t>1.尺寸规格：≥H2160×W1250×D530mm。</w:t>
            </w:r>
          </w:p>
          <w:p w14:paraId="1736EB82">
            <w:pPr>
              <w:spacing w:line="276" w:lineRule="auto"/>
              <w:contextualSpacing/>
              <w:jc w:val="left"/>
              <w:rPr>
                <w:rFonts w:ascii="仿宋" w:hAnsi="仿宋" w:eastAsia="仿宋" w:cs="仿宋"/>
                <w:color w:val="auto"/>
                <w:szCs w:val="21"/>
                <w:highlight w:val="none"/>
              </w:rPr>
            </w:pPr>
            <w:r>
              <w:rPr>
                <w:rFonts w:hint="eastAsia" w:ascii="仿宋" w:hAnsi="仿宋" w:eastAsia="仿宋" w:cs="仿宋"/>
                <w:color w:val="auto"/>
                <w:szCs w:val="21"/>
                <w:highlight w:val="none"/>
              </w:rPr>
              <w:t>▲2.存储柜材质:壳体全部采用厚度≥1.0mm冷轧钢板，柜体底座采用≥2.0mm一级冷轧钢板；柜体经中性盐雾连续喷雾240h后，防盐雾腐蚀保护等级不低于10级,外观评级不低于A级。</w:t>
            </w:r>
            <w:r>
              <w:rPr>
                <w:rFonts w:hint="eastAsia" w:ascii="仿宋" w:hAnsi="仿宋" w:eastAsia="仿宋" w:cs="仿宋"/>
                <w:color w:val="auto"/>
                <w:szCs w:val="21"/>
                <w:highlight w:val="none"/>
              </w:rPr>
              <w:br w:type="textWrapping"/>
            </w:r>
            <w:r>
              <w:rPr>
                <w:rFonts w:hint="eastAsia" w:ascii="仿宋" w:hAnsi="仿宋" w:eastAsia="仿宋" w:cs="仿宋"/>
                <w:color w:val="auto"/>
                <w:szCs w:val="21"/>
                <w:highlight w:val="none"/>
              </w:rPr>
              <w:t>3.组合式危化品防火柜设置多个独立储存单元，其中有二层为外钢内PP材质，每个储存单元内部气流组织须设计合理。</w:t>
            </w:r>
          </w:p>
          <w:p w14:paraId="5984846D">
            <w:pPr>
              <w:spacing w:line="276" w:lineRule="auto"/>
              <w:contextualSpacing/>
              <w:jc w:val="left"/>
              <w:rPr>
                <w:rFonts w:ascii="仿宋" w:hAnsi="仿宋" w:eastAsia="仿宋" w:cs="仿宋"/>
                <w:color w:val="auto"/>
                <w:szCs w:val="21"/>
                <w:highlight w:val="none"/>
              </w:rPr>
            </w:pPr>
            <w:r>
              <w:rPr>
                <w:rFonts w:hint="eastAsia" w:ascii="仿宋" w:hAnsi="仿宋" w:eastAsia="仿宋" w:cs="仿宋"/>
                <w:color w:val="auto"/>
                <w:szCs w:val="21"/>
                <w:highlight w:val="none"/>
              </w:rPr>
              <w:t>▲4.每个独立空间均配备两把B级机械钥匙锁，锁具符合GA/T73标准，实现双人双锁管理。（投标文件须提供第三方机构出具锁具检测报告）</w:t>
            </w:r>
          </w:p>
          <w:p w14:paraId="49038FB1">
            <w:pPr>
              <w:spacing w:line="276" w:lineRule="auto"/>
              <w:contextualSpacing/>
              <w:jc w:val="left"/>
              <w:rPr>
                <w:rFonts w:ascii="仿宋" w:hAnsi="仿宋" w:eastAsia="仿宋" w:cs="仿宋"/>
                <w:color w:val="auto"/>
                <w:szCs w:val="21"/>
                <w:highlight w:val="none"/>
              </w:rPr>
            </w:pPr>
            <w:r>
              <w:rPr>
                <w:rFonts w:hint="eastAsia" w:ascii="仿宋" w:hAnsi="仿宋" w:eastAsia="仿宋" w:cs="仿宋"/>
                <w:color w:val="auto"/>
                <w:szCs w:val="21"/>
                <w:highlight w:val="none"/>
              </w:rPr>
              <w:t>▲5.投标人需提供同类型组合式危化品安全柜（单台产品不少于4个门，每个门对应1个独立储存单元）防火性能检测报告。</w:t>
            </w:r>
          </w:p>
          <w:p w14:paraId="59A33820">
            <w:pPr>
              <w:spacing w:line="276" w:lineRule="auto"/>
              <w:contextualSpacing/>
              <w:jc w:val="left"/>
              <w:rPr>
                <w:rFonts w:ascii="仿宋" w:hAnsi="仿宋" w:eastAsia="仿宋" w:cs="仿宋"/>
                <w:color w:val="auto"/>
                <w:szCs w:val="21"/>
                <w:highlight w:val="none"/>
              </w:rPr>
            </w:pPr>
            <w:r>
              <w:rPr>
                <w:rFonts w:hint="eastAsia" w:ascii="仿宋" w:hAnsi="仿宋" w:eastAsia="仿宋" w:cs="仿宋"/>
                <w:color w:val="auto"/>
                <w:szCs w:val="21"/>
                <w:highlight w:val="none"/>
              </w:rPr>
              <w:t>6.环境数据检测：产品控制系统可连接温湿度传感器和TVOC传感器。</w:t>
            </w:r>
          </w:p>
          <w:p w14:paraId="6DDFE854">
            <w:pPr>
              <w:spacing w:line="276" w:lineRule="auto"/>
              <w:contextualSpacing/>
              <w:jc w:val="left"/>
              <w:rPr>
                <w:rFonts w:ascii="仿宋" w:hAnsi="仿宋" w:eastAsia="仿宋" w:cs="仿宋"/>
                <w:color w:val="auto"/>
                <w:szCs w:val="21"/>
                <w:highlight w:val="none"/>
              </w:rPr>
            </w:pPr>
            <w:r>
              <w:rPr>
                <w:rFonts w:hint="eastAsia" w:ascii="仿宋" w:hAnsi="仿宋" w:eastAsia="仿宋" w:cs="仿宋"/>
                <w:color w:val="auto"/>
                <w:szCs w:val="21"/>
                <w:highlight w:val="none"/>
              </w:rPr>
              <w:t>7.告警：传感器检测到环境数据异常，可以触发告警。</w:t>
            </w:r>
          </w:p>
          <w:p w14:paraId="6292C34E">
            <w:pPr>
              <w:spacing w:line="276" w:lineRule="auto"/>
              <w:contextualSpacing/>
              <w:jc w:val="left"/>
              <w:rPr>
                <w:rFonts w:ascii="仿宋" w:hAnsi="仿宋" w:eastAsia="仿宋" w:cs="仿宋"/>
                <w:color w:val="auto"/>
                <w:szCs w:val="21"/>
                <w:highlight w:val="none"/>
              </w:rPr>
            </w:pPr>
            <w:r>
              <w:rPr>
                <w:rFonts w:hint="eastAsia" w:ascii="仿宋" w:hAnsi="仿宋" w:eastAsia="仿宋" w:cs="仿宋"/>
                <w:color w:val="auto"/>
                <w:szCs w:val="21"/>
                <w:highlight w:val="none"/>
              </w:rPr>
              <w:t>▲8.柜体顶部配有离心风机和组合式活性炭吸附装置，有效防止危险化学品挥发物聚集。</w:t>
            </w:r>
          </w:p>
          <w:p w14:paraId="0DB498F8">
            <w:pPr>
              <w:spacing w:line="276" w:lineRule="auto"/>
              <w:contextualSpacing/>
              <w:jc w:val="left"/>
              <w:rPr>
                <w:rFonts w:ascii="仿宋" w:hAnsi="仿宋" w:eastAsia="仿宋"/>
                <w:color w:val="auto"/>
                <w:highlight w:val="none"/>
              </w:rPr>
            </w:pPr>
            <w:r>
              <w:rPr>
                <w:rFonts w:hint="eastAsia" w:ascii="仿宋" w:hAnsi="仿宋" w:eastAsia="仿宋" w:cs="仿宋"/>
                <w:b/>
                <w:bCs/>
                <w:color w:val="auto"/>
                <w:szCs w:val="21"/>
                <w:highlight w:val="none"/>
              </w:rPr>
              <w:t>以上技术要求带▲号的，投标人需提供具有CMA认证标志的第三方检测机构出具的检测报告复印件加盖投标人公章。</w:t>
            </w:r>
          </w:p>
        </w:tc>
      </w:tr>
      <w:tr w14:paraId="3E2B0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Align w:val="center"/>
          </w:tcPr>
          <w:p w14:paraId="1DEACBCB">
            <w:pPr>
              <w:adjustRightInd w:val="0"/>
              <w:spacing w:line="276" w:lineRule="auto"/>
              <w:contextualSpacing/>
              <w:jc w:val="center"/>
              <w:rPr>
                <w:rFonts w:ascii="仿宋" w:hAnsi="仿宋" w:eastAsia="仿宋"/>
                <w:color w:val="auto"/>
                <w:highlight w:val="none"/>
              </w:rPr>
            </w:pPr>
            <w:r>
              <w:rPr>
                <w:rFonts w:hint="eastAsia" w:ascii="仿宋" w:hAnsi="仿宋" w:eastAsia="仿宋"/>
                <w:color w:val="auto"/>
                <w:highlight w:val="none"/>
              </w:rPr>
              <w:t>危化品应急处置设备</w:t>
            </w:r>
          </w:p>
        </w:tc>
        <w:tc>
          <w:tcPr>
            <w:tcW w:w="4193" w:type="pct"/>
            <w:vAlign w:val="center"/>
          </w:tcPr>
          <w:p w14:paraId="5202E230">
            <w:pPr>
              <w:adjustRightInd w:val="0"/>
              <w:spacing w:line="276" w:lineRule="auto"/>
              <w:contextualSpacing/>
              <w:jc w:val="left"/>
              <w:rPr>
                <w:rFonts w:ascii="仿宋" w:hAnsi="仿宋" w:eastAsia="仿宋" w:cs="仿宋"/>
                <w:color w:val="auto"/>
                <w:szCs w:val="21"/>
                <w:highlight w:val="none"/>
              </w:rPr>
            </w:pPr>
            <w:r>
              <w:rPr>
                <w:rFonts w:hint="eastAsia" w:ascii="仿宋" w:hAnsi="仿宋" w:eastAsia="仿宋" w:cs="仿宋"/>
                <w:color w:val="auto"/>
                <w:szCs w:val="21"/>
                <w:highlight w:val="none"/>
              </w:rPr>
              <w:t>1.柜体尺寸:≥H1800×W900×D450mm。</w:t>
            </w:r>
            <w:r>
              <w:rPr>
                <w:rFonts w:hint="eastAsia" w:ascii="仿宋" w:hAnsi="仿宋" w:eastAsia="仿宋" w:cs="仿宋"/>
                <w:color w:val="auto"/>
                <w:szCs w:val="21"/>
                <w:highlight w:val="none"/>
              </w:rPr>
              <w:br w:type="textWrapping"/>
            </w:r>
            <w:r>
              <w:rPr>
                <w:rFonts w:hint="eastAsia" w:ascii="仿宋" w:hAnsi="仿宋" w:eastAsia="仿宋" w:cs="仿宋"/>
                <w:color w:val="auto"/>
                <w:szCs w:val="21"/>
                <w:highlight w:val="none"/>
              </w:rPr>
              <w:t>2.壳体全部采用≥1.0MM 的冷轧钢板, 内外表面经酸洗磷化环氧树脂粉末喷涂，烘热固化处理。</w:t>
            </w:r>
          </w:p>
          <w:p w14:paraId="750A055E">
            <w:pPr>
              <w:adjustRightInd w:val="0"/>
              <w:spacing w:line="276" w:lineRule="auto"/>
              <w:contextualSpacing/>
              <w:jc w:val="left"/>
              <w:rPr>
                <w:rFonts w:ascii="仿宋" w:hAnsi="仿宋" w:eastAsia="仿宋" w:cs="仿宋"/>
                <w:color w:val="auto"/>
                <w:szCs w:val="21"/>
                <w:highlight w:val="none"/>
              </w:rPr>
            </w:pPr>
            <w:r>
              <w:rPr>
                <w:rFonts w:hint="eastAsia" w:ascii="仿宋" w:hAnsi="仿宋" w:eastAsia="仿宋" w:cs="仿宋"/>
                <w:color w:val="auto"/>
                <w:szCs w:val="21"/>
                <w:highlight w:val="none"/>
              </w:rPr>
              <w:t>3.颜色：黄色（环氧树脂喷涂）。</w:t>
            </w:r>
          </w:p>
          <w:p w14:paraId="67F4BA39">
            <w:pPr>
              <w:spacing w:line="276" w:lineRule="auto"/>
              <w:contextualSpacing/>
              <w:jc w:val="left"/>
              <w:rPr>
                <w:rFonts w:ascii="仿宋" w:hAnsi="仿宋" w:eastAsia="仿宋"/>
                <w:color w:val="auto"/>
                <w:highlight w:val="none"/>
              </w:rPr>
            </w:pPr>
            <w:r>
              <w:rPr>
                <w:rFonts w:hint="eastAsia" w:ascii="仿宋" w:hAnsi="仿宋" w:eastAsia="仿宋" w:cs="仿宋"/>
                <w:color w:val="auto"/>
                <w:szCs w:val="21"/>
                <w:highlight w:val="none"/>
              </w:rPr>
              <w:t xml:space="preserve">4.层板：≥3块可移动层板；                                                                                                                                                                                                       5.配套物资;防化服（数量2套）；呼吸防护防毒面具（数量2套）； 吸附棉片（数量10片）；吸附棉条（数量2条）；手套（数量2副）；灭火毯（数量2个）。 </w:t>
            </w:r>
          </w:p>
        </w:tc>
      </w:tr>
      <w:tr w14:paraId="6C73D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Align w:val="center"/>
          </w:tcPr>
          <w:p w14:paraId="229DCFFA">
            <w:pPr>
              <w:adjustRightInd w:val="0"/>
              <w:spacing w:line="276" w:lineRule="auto"/>
              <w:contextualSpacing/>
              <w:jc w:val="center"/>
              <w:rPr>
                <w:rFonts w:ascii="仿宋" w:hAnsi="仿宋" w:eastAsia="仿宋"/>
                <w:color w:val="auto"/>
                <w:highlight w:val="none"/>
              </w:rPr>
            </w:pPr>
            <w:r>
              <w:rPr>
                <w:rFonts w:hint="eastAsia" w:ascii="仿宋" w:hAnsi="仿宋" w:eastAsia="仿宋"/>
                <w:color w:val="auto"/>
                <w:highlight w:val="none"/>
              </w:rPr>
              <w:t>环境检测终端</w:t>
            </w:r>
          </w:p>
        </w:tc>
        <w:tc>
          <w:tcPr>
            <w:tcW w:w="4193" w:type="pct"/>
            <w:vAlign w:val="center"/>
          </w:tcPr>
          <w:p w14:paraId="67F8C14A">
            <w:pPr>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技术要求：环境检测终端，探测器超过设定值，自动报警并启动排风，带有物联网可视化系统，可远程操控。</w:t>
            </w:r>
          </w:p>
        </w:tc>
      </w:tr>
      <w:tr w14:paraId="39DDD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Align w:val="center"/>
          </w:tcPr>
          <w:p w14:paraId="736664DA">
            <w:pPr>
              <w:adjustRightInd w:val="0"/>
              <w:spacing w:line="276" w:lineRule="auto"/>
              <w:contextualSpacing/>
              <w:jc w:val="center"/>
              <w:rPr>
                <w:rFonts w:ascii="仿宋" w:hAnsi="仿宋" w:eastAsia="仿宋"/>
                <w:color w:val="auto"/>
                <w:highlight w:val="none"/>
              </w:rPr>
            </w:pPr>
            <w:r>
              <w:rPr>
                <w:rFonts w:hint="eastAsia" w:ascii="仿宋" w:hAnsi="仿宋" w:eastAsia="仿宋"/>
                <w:color w:val="auto"/>
                <w:highlight w:val="none"/>
              </w:rPr>
              <w:t>防爆电器</w:t>
            </w:r>
          </w:p>
        </w:tc>
        <w:tc>
          <w:tcPr>
            <w:tcW w:w="4193" w:type="pct"/>
            <w:vAlign w:val="center"/>
          </w:tcPr>
          <w:p w14:paraId="12F665EE">
            <w:pPr>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防爆灯（6盏）：</w:t>
            </w:r>
          </w:p>
          <w:p w14:paraId="6955121E">
            <w:pPr>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1.额定电压：AC220V。</w:t>
            </w:r>
            <w:r>
              <w:rPr>
                <w:rFonts w:hint="eastAsia" w:ascii="仿宋" w:hAnsi="仿宋" w:eastAsia="仿宋"/>
                <w:color w:val="auto"/>
                <w:highlight w:val="none"/>
              </w:rPr>
              <w:br w:type="textWrapping"/>
            </w:r>
            <w:r>
              <w:rPr>
                <w:rFonts w:hint="eastAsia" w:ascii="仿宋" w:hAnsi="仿宋" w:eastAsia="仿宋"/>
                <w:color w:val="auto"/>
                <w:highlight w:val="none"/>
              </w:rPr>
              <w:t>2.规格：单管防爆灯。</w:t>
            </w:r>
            <w:r>
              <w:rPr>
                <w:rFonts w:hint="eastAsia" w:ascii="仿宋" w:hAnsi="仿宋" w:eastAsia="仿宋"/>
                <w:color w:val="auto"/>
                <w:highlight w:val="none"/>
              </w:rPr>
              <w:br w:type="textWrapping"/>
            </w:r>
            <w:r>
              <w:rPr>
                <w:rFonts w:hint="eastAsia" w:ascii="仿宋" w:hAnsi="仿宋" w:eastAsia="仿宋"/>
                <w:color w:val="auto"/>
                <w:highlight w:val="none"/>
              </w:rPr>
              <w:t>3.功率：≥40W(LED光源)。</w:t>
            </w:r>
          </w:p>
          <w:p w14:paraId="4F2B75EA">
            <w:pPr>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4.外壳防护等级：≥IP66。</w:t>
            </w:r>
          </w:p>
          <w:p w14:paraId="3FFB04BA">
            <w:pPr>
              <w:pStyle w:val="2"/>
              <w:rPr>
                <w:color w:val="auto"/>
                <w:highlight w:val="none"/>
              </w:rPr>
            </w:pPr>
          </w:p>
          <w:p w14:paraId="31530CF4">
            <w:pPr>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防爆开关（3个）：</w:t>
            </w:r>
          </w:p>
          <w:p w14:paraId="3938D399">
            <w:pPr>
              <w:tabs>
                <w:tab w:val="left" w:pos="312"/>
              </w:tabs>
              <w:spacing w:line="276" w:lineRule="auto"/>
              <w:contextualSpacing/>
              <w:jc w:val="left"/>
              <w:rPr>
                <w:color w:val="auto"/>
                <w:highlight w:val="none"/>
              </w:rPr>
            </w:pPr>
            <w:r>
              <w:rPr>
                <w:rFonts w:hint="eastAsia" w:ascii="仿宋" w:hAnsi="仿宋" w:eastAsia="仿宋"/>
                <w:color w:val="auto"/>
                <w:highlight w:val="none"/>
              </w:rPr>
              <w:t>1.额定电压：AC220V。</w:t>
            </w:r>
            <w:r>
              <w:rPr>
                <w:rFonts w:hint="eastAsia" w:ascii="仿宋" w:hAnsi="仿宋" w:eastAsia="仿宋"/>
                <w:color w:val="auto"/>
                <w:highlight w:val="none"/>
              </w:rPr>
              <w:br w:type="textWrapping"/>
            </w:r>
            <w:r>
              <w:rPr>
                <w:rFonts w:hint="eastAsia" w:ascii="仿宋" w:hAnsi="仿宋" w:eastAsia="仿宋"/>
                <w:color w:val="auto"/>
                <w:highlight w:val="none"/>
              </w:rPr>
              <w:t>2.规格：单开。</w:t>
            </w:r>
            <w:r>
              <w:rPr>
                <w:rFonts w:hint="eastAsia" w:ascii="仿宋" w:hAnsi="仿宋" w:eastAsia="仿宋"/>
                <w:color w:val="auto"/>
                <w:highlight w:val="none"/>
              </w:rPr>
              <w:br w:type="textWrapping"/>
            </w:r>
            <w:r>
              <w:rPr>
                <w:rFonts w:hint="eastAsia" w:ascii="仿宋" w:hAnsi="仿宋" w:eastAsia="仿宋"/>
                <w:color w:val="auto"/>
                <w:highlight w:val="none"/>
              </w:rPr>
              <w:t>3.额定电流：≥10A。</w:t>
            </w:r>
            <w:r>
              <w:rPr>
                <w:rFonts w:hint="eastAsia" w:ascii="仿宋" w:hAnsi="仿宋" w:eastAsia="仿宋"/>
                <w:color w:val="auto"/>
                <w:highlight w:val="none"/>
              </w:rPr>
              <w:br w:type="textWrapping"/>
            </w:r>
            <w:r>
              <w:rPr>
                <w:rFonts w:hint="eastAsia" w:ascii="仿宋" w:hAnsi="仿宋" w:eastAsia="仿宋"/>
                <w:color w:val="auto"/>
                <w:highlight w:val="none"/>
              </w:rPr>
              <w:t>4.外壳防护等级：≥IP66。</w:t>
            </w:r>
            <w:r>
              <w:rPr>
                <w:rFonts w:hint="eastAsia" w:ascii="仿宋" w:hAnsi="仿宋" w:eastAsia="仿宋"/>
                <w:color w:val="auto"/>
                <w:highlight w:val="none"/>
              </w:rPr>
              <w:br w:type="textWrapping"/>
            </w:r>
          </w:p>
          <w:p w14:paraId="7C950275">
            <w:pPr>
              <w:numPr>
                <w:ilvl w:val="255"/>
                <w:numId w:val="0"/>
              </w:numPr>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防爆应急灯（2盏）：</w:t>
            </w:r>
          </w:p>
          <w:p w14:paraId="7D0105F2">
            <w:pPr>
              <w:numPr>
                <w:ilvl w:val="255"/>
                <w:numId w:val="0"/>
              </w:numPr>
              <w:spacing w:line="276" w:lineRule="auto"/>
              <w:contextualSpacing/>
              <w:jc w:val="left"/>
              <w:rPr>
                <w:color w:val="auto"/>
                <w:highlight w:val="none"/>
              </w:rPr>
            </w:pPr>
            <w:r>
              <w:rPr>
                <w:rFonts w:hint="eastAsia" w:ascii="仿宋" w:hAnsi="仿宋" w:eastAsia="仿宋"/>
                <w:color w:val="auto"/>
                <w:highlight w:val="none"/>
              </w:rPr>
              <w:t>1.额定电压：AC220V。</w:t>
            </w:r>
            <w:r>
              <w:rPr>
                <w:rFonts w:hint="eastAsia" w:ascii="仿宋" w:hAnsi="仿宋" w:eastAsia="仿宋"/>
                <w:color w:val="auto"/>
                <w:highlight w:val="none"/>
              </w:rPr>
              <w:br w:type="textWrapping"/>
            </w:r>
            <w:r>
              <w:rPr>
                <w:rFonts w:hint="eastAsia" w:ascii="仿宋" w:hAnsi="仿宋" w:eastAsia="仿宋"/>
                <w:color w:val="auto"/>
                <w:highlight w:val="none"/>
              </w:rPr>
              <w:t>2.额定工作频率：50Hz。</w:t>
            </w:r>
            <w:r>
              <w:rPr>
                <w:rFonts w:hint="eastAsia" w:ascii="仿宋" w:hAnsi="仿宋" w:eastAsia="仿宋"/>
                <w:color w:val="auto"/>
                <w:highlight w:val="none"/>
              </w:rPr>
              <w:br w:type="textWrapping"/>
            </w:r>
            <w:r>
              <w:rPr>
                <w:rFonts w:hint="eastAsia" w:ascii="仿宋" w:hAnsi="仿宋" w:eastAsia="仿宋"/>
                <w:color w:val="auto"/>
                <w:highlight w:val="none"/>
              </w:rPr>
              <w:t>3.防护等级：≥IP66。</w:t>
            </w:r>
            <w:r>
              <w:rPr>
                <w:rFonts w:hint="eastAsia" w:ascii="仿宋" w:hAnsi="仿宋" w:eastAsia="仿宋"/>
                <w:color w:val="auto"/>
                <w:highlight w:val="none"/>
              </w:rPr>
              <w:br w:type="textWrapping"/>
            </w:r>
          </w:p>
          <w:p w14:paraId="6007A5EE">
            <w:pPr>
              <w:numPr>
                <w:ilvl w:val="255"/>
                <w:numId w:val="0"/>
              </w:numPr>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防爆斜插（15个）：</w:t>
            </w:r>
          </w:p>
          <w:p w14:paraId="0C05571A">
            <w:pPr>
              <w:numPr>
                <w:ilvl w:val="255"/>
                <w:numId w:val="0"/>
              </w:numPr>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1.额定电压：AC220V。</w:t>
            </w:r>
            <w:r>
              <w:rPr>
                <w:rFonts w:hint="eastAsia" w:ascii="仿宋" w:hAnsi="仿宋" w:eastAsia="仿宋"/>
                <w:color w:val="auto"/>
                <w:highlight w:val="none"/>
              </w:rPr>
              <w:br w:type="textWrapping"/>
            </w:r>
            <w:r>
              <w:rPr>
                <w:rFonts w:hint="eastAsia" w:ascii="仿宋" w:hAnsi="仿宋" w:eastAsia="仿宋"/>
                <w:color w:val="auto"/>
                <w:highlight w:val="none"/>
              </w:rPr>
              <w:t>2.额定工作频率：50Hz。</w:t>
            </w:r>
            <w:r>
              <w:rPr>
                <w:rFonts w:hint="eastAsia" w:ascii="仿宋" w:hAnsi="仿宋" w:eastAsia="仿宋"/>
                <w:color w:val="auto"/>
                <w:highlight w:val="none"/>
              </w:rPr>
              <w:br w:type="textWrapping"/>
            </w:r>
            <w:r>
              <w:rPr>
                <w:rFonts w:hint="eastAsia" w:ascii="仿宋" w:hAnsi="仿宋" w:eastAsia="仿宋"/>
                <w:color w:val="auto"/>
                <w:highlight w:val="none"/>
              </w:rPr>
              <w:t>3.外壳防护等级：≥IP66。</w:t>
            </w:r>
          </w:p>
        </w:tc>
      </w:tr>
      <w:tr w14:paraId="0F1E7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Align w:val="center"/>
          </w:tcPr>
          <w:p w14:paraId="73F215A5">
            <w:pPr>
              <w:adjustRightInd w:val="0"/>
              <w:spacing w:line="276" w:lineRule="auto"/>
              <w:contextualSpacing/>
              <w:jc w:val="center"/>
              <w:rPr>
                <w:rFonts w:ascii="仿宋" w:hAnsi="仿宋" w:eastAsia="仿宋"/>
                <w:color w:val="auto"/>
                <w:highlight w:val="none"/>
              </w:rPr>
            </w:pPr>
            <w:r>
              <w:rPr>
                <w:rFonts w:hint="eastAsia" w:ascii="仿宋" w:hAnsi="仿宋" w:eastAsia="仿宋"/>
                <w:color w:val="auto"/>
                <w:highlight w:val="none"/>
              </w:rPr>
              <w:t>室内防爆空调</w:t>
            </w:r>
          </w:p>
        </w:tc>
        <w:tc>
          <w:tcPr>
            <w:tcW w:w="4193" w:type="pct"/>
            <w:vAlign w:val="center"/>
          </w:tcPr>
          <w:p w14:paraId="1BE4EC60">
            <w:pPr>
              <w:tabs>
                <w:tab w:val="left" w:pos="658"/>
              </w:tabs>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1.规格：≥2P</w:t>
            </w:r>
          </w:p>
          <w:p w14:paraId="3879A661">
            <w:pPr>
              <w:tabs>
                <w:tab w:val="left" w:pos="658"/>
              </w:tabs>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2.机型：挂式机</w:t>
            </w:r>
            <w:r>
              <w:rPr>
                <w:rFonts w:hint="eastAsia" w:ascii="仿宋" w:hAnsi="仿宋" w:eastAsia="仿宋"/>
                <w:color w:val="auto"/>
                <w:highlight w:val="none"/>
              </w:rPr>
              <w:br w:type="textWrapping"/>
            </w:r>
            <w:r>
              <w:rPr>
                <w:rFonts w:hint="eastAsia" w:ascii="仿宋" w:hAnsi="仿宋" w:eastAsia="仿宋"/>
                <w:color w:val="auto"/>
                <w:highlight w:val="none"/>
              </w:rPr>
              <w:t>3.功能：冷暖型</w:t>
            </w:r>
          </w:p>
          <w:p w14:paraId="3630A53F">
            <w:pPr>
              <w:tabs>
                <w:tab w:val="left" w:pos="658"/>
              </w:tabs>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4.制冷量：≥5010W</w:t>
            </w:r>
            <w:r>
              <w:rPr>
                <w:rFonts w:hint="eastAsia" w:ascii="仿宋" w:hAnsi="仿宋" w:eastAsia="仿宋"/>
                <w:color w:val="auto"/>
                <w:highlight w:val="none"/>
              </w:rPr>
              <w:br w:type="textWrapping"/>
            </w:r>
            <w:r>
              <w:rPr>
                <w:rFonts w:hint="eastAsia" w:ascii="仿宋" w:hAnsi="仿宋" w:eastAsia="仿宋"/>
                <w:color w:val="auto"/>
                <w:highlight w:val="none"/>
              </w:rPr>
              <w:t>5.制热量：≥5520W</w:t>
            </w:r>
            <w:r>
              <w:rPr>
                <w:rFonts w:hint="eastAsia" w:ascii="仿宋" w:hAnsi="仿宋" w:eastAsia="仿宋"/>
                <w:color w:val="auto"/>
                <w:highlight w:val="none"/>
              </w:rPr>
              <w:br w:type="textWrapping"/>
            </w:r>
            <w:r>
              <w:rPr>
                <w:rFonts w:hint="eastAsia" w:ascii="仿宋" w:hAnsi="仿宋" w:eastAsia="仿宋"/>
                <w:color w:val="auto"/>
                <w:highlight w:val="none"/>
              </w:rPr>
              <w:t>6.防爆等级：Ex db ec ib mb nC IIB T4 Gc</w:t>
            </w:r>
          </w:p>
        </w:tc>
      </w:tr>
      <w:tr w14:paraId="262E4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Align w:val="center"/>
          </w:tcPr>
          <w:p w14:paraId="35B45F94">
            <w:pPr>
              <w:adjustRightInd w:val="0"/>
              <w:spacing w:line="276" w:lineRule="auto"/>
              <w:contextualSpacing/>
              <w:jc w:val="center"/>
              <w:rPr>
                <w:rFonts w:ascii="仿宋" w:hAnsi="仿宋" w:eastAsia="仿宋"/>
                <w:color w:val="auto"/>
                <w:highlight w:val="none"/>
              </w:rPr>
            </w:pPr>
            <w:r>
              <w:rPr>
                <w:rFonts w:hint="eastAsia" w:ascii="仿宋" w:hAnsi="仿宋" w:eastAsia="仿宋"/>
                <w:color w:val="auto"/>
                <w:highlight w:val="none"/>
              </w:rPr>
              <w:t>地面防静电铜排</w:t>
            </w:r>
          </w:p>
        </w:tc>
        <w:tc>
          <w:tcPr>
            <w:tcW w:w="4193" w:type="pct"/>
            <w:vAlign w:val="center"/>
          </w:tcPr>
          <w:p w14:paraId="56AD5E24">
            <w:pPr>
              <w:adjustRightInd w:val="0"/>
              <w:spacing w:line="276" w:lineRule="auto"/>
              <w:contextualSpacing/>
              <w:rPr>
                <w:rFonts w:ascii="仿宋" w:hAnsi="仿宋" w:eastAsia="仿宋"/>
                <w:color w:val="auto"/>
                <w:highlight w:val="none"/>
              </w:rPr>
            </w:pPr>
            <w:r>
              <w:rPr>
                <w:rFonts w:hint="eastAsia" w:ascii="仿宋" w:hAnsi="仿宋" w:eastAsia="仿宋"/>
                <w:color w:val="auto"/>
                <w:highlight w:val="none"/>
              </w:rPr>
              <w:t>1.规格:≥TMY-B30×T5mm</w:t>
            </w:r>
          </w:p>
        </w:tc>
      </w:tr>
      <w:tr w14:paraId="141A6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Align w:val="center"/>
          </w:tcPr>
          <w:p w14:paraId="78D3FD20">
            <w:pPr>
              <w:adjustRightInd w:val="0"/>
              <w:spacing w:line="276" w:lineRule="auto"/>
              <w:contextualSpacing/>
              <w:jc w:val="center"/>
              <w:rPr>
                <w:rFonts w:ascii="仿宋" w:hAnsi="仿宋" w:eastAsia="仿宋"/>
                <w:color w:val="auto"/>
                <w:highlight w:val="none"/>
              </w:rPr>
            </w:pPr>
            <w:r>
              <w:rPr>
                <w:rFonts w:hint="eastAsia" w:ascii="仿宋" w:hAnsi="仿宋" w:eastAsia="仿宋"/>
                <w:color w:val="auto"/>
                <w:highlight w:val="none"/>
              </w:rPr>
              <w:t>人体静电消除装置</w:t>
            </w:r>
          </w:p>
        </w:tc>
        <w:tc>
          <w:tcPr>
            <w:tcW w:w="4193" w:type="pct"/>
            <w:vAlign w:val="center"/>
          </w:tcPr>
          <w:p w14:paraId="676F04BD">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1.工作电源：高性能锂电池内置</w:t>
            </w:r>
            <w:r>
              <w:rPr>
                <w:rFonts w:hint="eastAsia" w:ascii="仿宋" w:hAnsi="仿宋" w:eastAsia="仿宋"/>
                <w:color w:val="auto"/>
                <w:highlight w:val="none"/>
              </w:rPr>
              <w:br w:type="textWrapping"/>
            </w:r>
            <w:r>
              <w:rPr>
                <w:rFonts w:hint="eastAsia" w:ascii="仿宋" w:hAnsi="仿宋" w:eastAsia="仿宋"/>
                <w:color w:val="auto"/>
                <w:highlight w:val="none"/>
              </w:rPr>
              <w:t xml:space="preserve">2.工作电流：≤5mA </w:t>
            </w:r>
            <w:r>
              <w:rPr>
                <w:rFonts w:hint="eastAsia" w:ascii="仿宋" w:hAnsi="仿宋" w:eastAsia="仿宋"/>
                <w:color w:val="auto"/>
                <w:highlight w:val="none"/>
              </w:rPr>
              <w:br w:type="textWrapping"/>
            </w:r>
            <w:r>
              <w:rPr>
                <w:rFonts w:hint="eastAsia" w:ascii="仿宋" w:hAnsi="仿宋" w:eastAsia="仿宋"/>
                <w:color w:val="auto"/>
                <w:highlight w:val="none"/>
              </w:rPr>
              <w:t>3.工作温度：-40℃-60℃</w:t>
            </w:r>
            <w:r>
              <w:rPr>
                <w:rFonts w:hint="eastAsia" w:ascii="仿宋" w:hAnsi="仿宋" w:eastAsia="仿宋"/>
                <w:color w:val="auto"/>
                <w:highlight w:val="none"/>
              </w:rPr>
              <w:br w:type="textWrapping"/>
            </w:r>
            <w:r>
              <w:rPr>
                <w:rFonts w:hint="eastAsia" w:ascii="仿宋" w:hAnsi="仿宋" w:eastAsia="仿宋"/>
                <w:color w:val="auto"/>
                <w:highlight w:val="none"/>
              </w:rPr>
              <w:t>4.接地电阻：≤60Ω</w:t>
            </w:r>
            <w:r>
              <w:rPr>
                <w:rFonts w:hint="eastAsia" w:ascii="仿宋" w:hAnsi="仿宋" w:eastAsia="仿宋"/>
                <w:color w:val="auto"/>
                <w:highlight w:val="none"/>
              </w:rPr>
              <w:br w:type="textWrapping"/>
            </w:r>
            <w:r>
              <w:rPr>
                <w:rFonts w:hint="eastAsia" w:ascii="仿宋" w:hAnsi="仿宋" w:eastAsia="仿宋"/>
                <w:color w:val="auto"/>
                <w:highlight w:val="none"/>
              </w:rPr>
              <w:t>5.防爆等级：≥Ex ia IIC T6 Ga</w:t>
            </w:r>
          </w:p>
          <w:p w14:paraId="66A60ED0">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6.报警方式：声光报警、语音报警、灯光提醒等多种方式</w:t>
            </w:r>
          </w:p>
        </w:tc>
      </w:tr>
      <w:tr w14:paraId="677B6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Align w:val="center"/>
          </w:tcPr>
          <w:p w14:paraId="0BDE20FA">
            <w:pPr>
              <w:adjustRightInd w:val="0"/>
              <w:spacing w:line="276" w:lineRule="auto"/>
              <w:contextualSpacing/>
              <w:jc w:val="center"/>
              <w:rPr>
                <w:rFonts w:ascii="仿宋" w:hAnsi="仿宋" w:eastAsia="仿宋"/>
                <w:color w:val="auto"/>
                <w:highlight w:val="none"/>
              </w:rPr>
            </w:pPr>
            <w:r>
              <w:rPr>
                <w:rFonts w:hint="eastAsia" w:ascii="仿宋" w:hAnsi="仿宋" w:eastAsia="仿宋"/>
                <w:color w:val="auto"/>
                <w:highlight w:val="none"/>
              </w:rPr>
              <w:t>喷淋洗眼装置</w:t>
            </w:r>
          </w:p>
        </w:tc>
        <w:tc>
          <w:tcPr>
            <w:tcW w:w="4193" w:type="pct"/>
            <w:vAlign w:val="center"/>
          </w:tcPr>
          <w:p w14:paraId="35AAC2FF">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1.主体材质SS304，符合GB/T 11170-2008《不锈钢多元素含量的测定火花放电原子发射光谱法（常规法）》标准。</w:t>
            </w:r>
          </w:p>
          <w:p w14:paraId="41A60EC3">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 xml:space="preserve">2.表面处理：精细抛光/高亮度环氧树脂涂层。 </w:t>
            </w:r>
          </w:p>
          <w:p w14:paraId="09DAFCF7">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3.表面耐污染经试剂经过≥49项化学试剂检测无明显变化，检测合格。</w:t>
            </w:r>
          </w:p>
          <w:p w14:paraId="269BFC17">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4.使用功能：喷淋+洗眼（可同时使用，也可分开使用）。</w:t>
            </w:r>
          </w:p>
          <w:p w14:paraId="183A0A54">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5.开关球阀：两片式快开球阀，洗眼阀为G304不锈钢球阀，冲洗阀为1寸不锈钢球阀，开启时间 ≤1秒开启，保证水流流畅。球阀开关灵活到位，无卡阻，启闭迅速，密封可靠。</w:t>
            </w:r>
          </w:p>
          <w:p w14:paraId="3B557309">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6.冲淋喷头：旋压式卷边工艺设计，直径 ≥250mm。</w:t>
            </w:r>
          </w:p>
        </w:tc>
      </w:tr>
      <w:tr w14:paraId="182CD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Align w:val="center"/>
          </w:tcPr>
          <w:p w14:paraId="4DC1CBE8">
            <w:pPr>
              <w:adjustRightInd w:val="0"/>
              <w:spacing w:line="276" w:lineRule="auto"/>
              <w:contextualSpacing/>
              <w:jc w:val="center"/>
              <w:rPr>
                <w:rFonts w:ascii="仿宋" w:hAnsi="仿宋" w:eastAsia="仿宋"/>
                <w:color w:val="auto"/>
                <w:highlight w:val="none"/>
              </w:rPr>
            </w:pPr>
            <w:r>
              <w:rPr>
                <w:rFonts w:hint="eastAsia" w:ascii="仿宋" w:hAnsi="仿宋" w:eastAsia="仿宋"/>
                <w:color w:val="auto"/>
                <w:highlight w:val="none"/>
              </w:rPr>
              <w:t>七氟丙烷灭火装置</w:t>
            </w:r>
          </w:p>
        </w:tc>
        <w:tc>
          <w:tcPr>
            <w:tcW w:w="4193" w:type="pct"/>
            <w:vAlign w:val="center"/>
          </w:tcPr>
          <w:p w14:paraId="3F7678A2">
            <w:pPr>
              <w:tabs>
                <w:tab w:val="left" w:pos="338"/>
              </w:tabs>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1.悬挂式自动灭火器。</w:t>
            </w:r>
          </w:p>
          <w:p w14:paraId="1A1E6080">
            <w:pPr>
              <w:tabs>
                <w:tab w:val="left" w:pos="338"/>
              </w:tabs>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2.规格：≥4Kg。</w:t>
            </w:r>
          </w:p>
        </w:tc>
      </w:tr>
      <w:tr w14:paraId="63D28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Align w:val="center"/>
          </w:tcPr>
          <w:p w14:paraId="529897DD">
            <w:pPr>
              <w:adjustRightInd w:val="0"/>
              <w:spacing w:line="276" w:lineRule="auto"/>
              <w:contextualSpacing/>
              <w:jc w:val="center"/>
              <w:rPr>
                <w:rFonts w:ascii="仿宋" w:hAnsi="仿宋" w:eastAsia="仿宋"/>
                <w:color w:val="auto"/>
                <w:highlight w:val="none"/>
              </w:rPr>
            </w:pPr>
            <w:r>
              <w:rPr>
                <w:rFonts w:hint="eastAsia" w:ascii="仿宋" w:hAnsi="仿宋" w:eastAsia="仿宋"/>
                <w:color w:val="auto"/>
                <w:highlight w:val="none"/>
              </w:rPr>
              <w:t>总线制报警主机</w:t>
            </w:r>
          </w:p>
        </w:tc>
        <w:tc>
          <w:tcPr>
            <w:tcW w:w="4193" w:type="pct"/>
            <w:vAlign w:val="center"/>
          </w:tcPr>
          <w:p w14:paraId="0C7525BD">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1.参数配置：ISBUS四总线输出，支持Modbus RTU 485及无线拓展。</w:t>
            </w:r>
          </w:p>
          <w:p w14:paraId="73A65B08">
            <w:pPr>
              <w:adjustRightInd w:val="0"/>
              <w:spacing w:line="276" w:lineRule="auto"/>
              <w:contextualSpacing/>
              <w:jc w:val="left"/>
              <w:rPr>
                <w:rFonts w:ascii="仿宋" w:hAnsi="仿宋" w:eastAsia="仿宋"/>
                <w:color w:val="auto"/>
                <w:highlight w:val="none"/>
              </w:rPr>
            </w:pPr>
            <w:r>
              <w:rPr>
                <w:rFonts w:hint="eastAsia" w:ascii="宋体" w:hAnsi="宋体" w:cs="宋体"/>
                <w:color w:val="auto"/>
                <w:kern w:val="0"/>
                <w:szCs w:val="21"/>
                <w:highlight w:val="none"/>
              </w:rPr>
              <w:t>▲</w:t>
            </w:r>
            <w:r>
              <w:rPr>
                <w:rFonts w:hint="eastAsia" w:ascii="仿宋" w:hAnsi="仿宋" w:eastAsia="仿宋"/>
                <w:color w:val="auto"/>
                <w:highlight w:val="none"/>
              </w:rPr>
              <w:t>2.具有联网功能，支持手机端、PC端实时查询报警记录，远程推送报警信息。</w:t>
            </w:r>
            <w:r>
              <w:rPr>
                <w:rFonts w:hint="eastAsia" w:ascii="仿宋" w:hAnsi="仿宋" w:eastAsia="仿宋"/>
                <w:color w:val="auto"/>
                <w:highlight w:val="none"/>
              </w:rPr>
              <w:br w:type="textWrapping"/>
            </w:r>
            <w:r>
              <w:rPr>
                <w:rFonts w:hint="eastAsia" w:ascii="仿宋" w:hAnsi="仿宋" w:eastAsia="仿宋"/>
                <w:color w:val="auto"/>
                <w:highlight w:val="none"/>
              </w:rPr>
              <w:t>3.主电源：AC220V±15% 50Hz。</w:t>
            </w:r>
          </w:p>
          <w:p w14:paraId="0DAFCF10">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4.指示方式指示灯指示探测器及本机状态。</w:t>
            </w:r>
          </w:p>
          <w:p w14:paraId="1E078B4B">
            <w:pPr>
              <w:adjustRightInd w:val="0"/>
              <w:spacing w:line="276" w:lineRule="auto"/>
              <w:contextualSpacing/>
              <w:jc w:val="left"/>
              <w:rPr>
                <w:rFonts w:ascii="仿宋" w:hAnsi="仿宋" w:eastAsia="仿宋"/>
                <w:color w:val="auto"/>
                <w:highlight w:val="none"/>
              </w:rPr>
            </w:pPr>
            <w:r>
              <w:rPr>
                <w:rFonts w:hint="eastAsia" w:ascii="仿宋" w:hAnsi="仿宋" w:eastAsia="仿宋" w:cs="仿宋"/>
                <w:b/>
                <w:bCs/>
                <w:color w:val="auto"/>
                <w:szCs w:val="21"/>
                <w:highlight w:val="none"/>
              </w:rPr>
              <w:t>以上技术要求带▲号的，投标人需提供具有CMA认证标志的第三方检测机构出具的检测报告复印件加盖投标人公章。</w:t>
            </w:r>
          </w:p>
        </w:tc>
      </w:tr>
      <w:tr w14:paraId="728BC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Align w:val="center"/>
          </w:tcPr>
          <w:p w14:paraId="6852C6B4">
            <w:pPr>
              <w:adjustRightInd w:val="0"/>
              <w:spacing w:line="276" w:lineRule="auto"/>
              <w:contextualSpacing/>
              <w:jc w:val="center"/>
              <w:rPr>
                <w:rFonts w:ascii="仿宋" w:hAnsi="仿宋" w:eastAsia="仿宋"/>
                <w:color w:val="auto"/>
                <w:highlight w:val="none"/>
              </w:rPr>
            </w:pPr>
            <w:r>
              <w:rPr>
                <w:rFonts w:hint="eastAsia" w:ascii="仿宋" w:hAnsi="仿宋" w:eastAsia="仿宋"/>
                <w:color w:val="auto"/>
                <w:highlight w:val="none"/>
              </w:rPr>
              <w:t>可燃气体报警器</w:t>
            </w:r>
          </w:p>
        </w:tc>
        <w:tc>
          <w:tcPr>
            <w:tcW w:w="4193" w:type="pct"/>
            <w:vAlign w:val="center"/>
          </w:tcPr>
          <w:p w14:paraId="118E3821">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1.防爆认证：Ex db IIC T6 GbEx tb IIIC T80</w:t>
            </w:r>
            <w:r>
              <w:rPr>
                <w:rFonts w:hint="eastAsia" w:ascii="宋体" w:hAnsi="宋体" w:cs="宋体"/>
                <w:color w:val="auto"/>
                <w:highlight w:val="none"/>
              </w:rPr>
              <w:t>℃</w:t>
            </w:r>
            <w:r>
              <w:rPr>
                <w:rFonts w:hint="eastAsia" w:ascii="仿宋" w:hAnsi="仿宋" w:eastAsia="仿宋"/>
                <w:color w:val="auto"/>
                <w:highlight w:val="none"/>
              </w:rPr>
              <w:t xml:space="preserve"> Db。</w:t>
            </w:r>
            <w:r>
              <w:rPr>
                <w:rFonts w:hint="eastAsia" w:ascii="仿宋" w:hAnsi="仿宋" w:eastAsia="仿宋"/>
                <w:color w:val="auto"/>
                <w:highlight w:val="none"/>
              </w:rPr>
              <w:br w:type="textWrapping"/>
            </w:r>
            <w:r>
              <w:rPr>
                <w:rFonts w:hint="eastAsia" w:ascii="仿宋" w:hAnsi="仿宋" w:eastAsia="仿宋"/>
                <w:color w:val="auto"/>
                <w:highlight w:val="none"/>
              </w:rPr>
              <w:t>2.继电器输出：两组常开继电器。</w:t>
            </w:r>
          </w:p>
          <w:p w14:paraId="7F1E3022">
            <w:pPr>
              <w:adjustRightInd w:val="0"/>
              <w:spacing w:line="276" w:lineRule="auto"/>
              <w:contextualSpacing/>
              <w:rPr>
                <w:rFonts w:ascii="仿宋" w:hAnsi="仿宋" w:eastAsia="仿宋"/>
                <w:color w:val="auto"/>
                <w:highlight w:val="none"/>
              </w:rPr>
            </w:pPr>
            <w:r>
              <w:rPr>
                <w:rFonts w:hint="eastAsia" w:ascii="仿宋" w:hAnsi="仿宋" w:eastAsia="仿宋"/>
                <w:color w:val="auto"/>
                <w:highlight w:val="none"/>
              </w:rPr>
              <w:t>3.通讯方式：四线制RS485信号或开关量。</w:t>
            </w:r>
          </w:p>
        </w:tc>
      </w:tr>
      <w:tr w14:paraId="6EE1C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Align w:val="center"/>
          </w:tcPr>
          <w:p w14:paraId="1B2CD1A8">
            <w:pPr>
              <w:adjustRightInd w:val="0"/>
              <w:spacing w:line="276" w:lineRule="auto"/>
              <w:contextualSpacing/>
              <w:jc w:val="center"/>
              <w:rPr>
                <w:rFonts w:ascii="仿宋" w:hAnsi="仿宋" w:eastAsia="仿宋"/>
                <w:color w:val="auto"/>
                <w:highlight w:val="none"/>
              </w:rPr>
            </w:pPr>
            <w:bookmarkStart w:id="41" w:name="OLE_LINK174"/>
            <w:bookmarkStart w:id="42" w:name="OLE_LINK175"/>
            <w:r>
              <w:rPr>
                <w:rFonts w:hint="eastAsia" w:ascii="仿宋" w:hAnsi="仿宋" w:eastAsia="仿宋"/>
                <w:color w:val="auto"/>
                <w:highlight w:val="none"/>
              </w:rPr>
              <w:t>温湿度报警探测器</w:t>
            </w:r>
          </w:p>
        </w:tc>
        <w:tc>
          <w:tcPr>
            <w:tcW w:w="4193" w:type="pct"/>
            <w:vAlign w:val="center"/>
          </w:tcPr>
          <w:p w14:paraId="0310FE1E">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1.测量范围：温度：</w:t>
            </w:r>
            <w:r>
              <w:rPr>
                <w:rFonts w:hint="eastAsia" w:ascii="宋体" w:hAnsi="宋体" w:cs="宋体"/>
                <w:color w:val="auto"/>
                <w:highlight w:val="none"/>
              </w:rPr>
              <w:t>£</w:t>
            </w:r>
            <w:r>
              <w:rPr>
                <w:rFonts w:hint="eastAsia" w:ascii="仿宋" w:hAnsi="仿宋" w:eastAsia="仿宋"/>
                <w:color w:val="auto"/>
                <w:highlight w:val="none"/>
              </w:rPr>
              <w:t>-20.0</w:t>
            </w:r>
            <w:r>
              <w:rPr>
                <w:rFonts w:hint="eastAsia" w:ascii="仿宋" w:hAnsi="仿宋" w:eastAsia="仿宋"/>
                <w:color w:val="auto"/>
                <w:highlight w:val="none"/>
                <w:lang w:eastAsia="ja-JP"/>
              </w:rPr>
              <w:t>℃</w:t>
            </w:r>
            <w:r>
              <w:rPr>
                <w:rFonts w:hint="eastAsia" w:ascii="仿宋" w:hAnsi="仿宋" w:eastAsia="仿宋"/>
                <w:color w:val="auto"/>
                <w:highlight w:val="none"/>
              </w:rPr>
              <w:t>﹣80.0</w:t>
            </w:r>
            <w:r>
              <w:rPr>
                <w:rFonts w:hint="eastAsia" w:ascii="仿宋" w:hAnsi="仿宋" w:eastAsia="仿宋"/>
                <w:color w:val="auto"/>
                <w:highlight w:val="none"/>
                <w:lang w:eastAsia="ja-JP"/>
              </w:rPr>
              <w:t>℃</w:t>
            </w:r>
            <w:r>
              <w:rPr>
                <w:rFonts w:hint="eastAsia" w:ascii="仿宋" w:hAnsi="仿宋" w:eastAsia="仿宋"/>
                <w:color w:val="auto"/>
                <w:highlight w:val="none"/>
              </w:rPr>
              <w:t xml:space="preserve"> 湿度：</w:t>
            </w:r>
            <w:r>
              <w:rPr>
                <w:rFonts w:hint="eastAsia" w:ascii="宋体" w:hAnsi="宋体" w:cs="宋体"/>
                <w:color w:val="auto"/>
                <w:highlight w:val="none"/>
              </w:rPr>
              <w:t>£</w:t>
            </w:r>
            <w:r>
              <w:rPr>
                <w:rFonts w:hint="eastAsia" w:ascii="仿宋" w:hAnsi="仿宋" w:eastAsia="仿宋"/>
                <w:color w:val="auto"/>
                <w:highlight w:val="none"/>
              </w:rPr>
              <w:t>0.1﹣100.0%（RH）1。</w:t>
            </w:r>
          </w:p>
          <w:p w14:paraId="5B1427DA">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2.测量误差：温度：±0.3</w:t>
            </w:r>
            <w:r>
              <w:rPr>
                <w:rFonts w:hint="eastAsia" w:ascii="仿宋" w:hAnsi="仿宋" w:eastAsia="仿宋"/>
                <w:color w:val="auto"/>
                <w:highlight w:val="none"/>
                <w:lang w:eastAsia="ja-JP"/>
              </w:rPr>
              <w:t>℃</w:t>
            </w:r>
            <w:r>
              <w:rPr>
                <w:rFonts w:hint="eastAsia" w:ascii="仿宋" w:hAnsi="仿宋" w:eastAsia="仿宋"/>
                <w:color w:val="auto"/>
                <w:highlight w:val="none"/>
              </w:rPr>
              <w:t>，湿度：±2.0%（RH）。</w:t>
            </w:r>
          </w:p>
          <w:p w14:paraId="1A43B9FA">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3.防护等级：≥IP66。</w:t>
            </w:r>
            <w:r>
              <w:rPr>
                <w:rFonts w:hint="eastAsia" w:ascii="仿宋" w:hAnsi="仿宋" w:eastAsia="仿宋"/>
                <w:color w:val="auto"/>
                <w:highlight w:val="none"/>
              </w:rPr>
              <w:br w:type="textWrapping"/>
            </w:r>
            <w:r>
              <w:rPr>
                <w:rFonts w:hint="eastAsia" w:ascii="仿宋" w:hAnsi="仿宋" w:eastAsia="仿宋"/>
                <w:color w:val="auto"/>
                <w:highlight w:val="none"/>
              </w:rPr>
              <w:t>4</w:t>
            </w:r>
            <w:r>
              <w:rPr>
                <w:rFonts w:hint="eastAsia" w:ascii="仿宋" w:hAnsi="仿宋" w:eastAsia="仿宋"/>
                <w:color w:val="auto"/>
                <w:highlight w:val="none"/>
              </w:rPr>
              <w:t>.报警设定：温度：低L：≤-20.0℃，高H：≥90.0℃；</w:t>
            </w:r>
            <w:r>
              <w:rPr>
                <w:rFonts w:hint="eastAsia" w:ascii="仿宋" w:hAnsi="仿宋" w:eastAsia="仿宋"/>
                <w:color w:val="auto"/>
                <w:highlight w:val="none"/>
              </w:rPr>
              <w:t>湿度：低L：≤5.0%RH，高H：≥90.0%RH。</w:t>
            </w:r>
          </w:p>
          <w:p w14:paraId="0A980A97">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5.响应时间：≥温度：10S  湿度：8S。</w:t>
            </w:r>
          </w:p>
          <w:p w14:paraId="5460FAD1">
            <w:pPr>
              <w:adjustRightInd w:val="0"/>
              <w:spacing w:line="276" w:lineRule="auto"/>
              <w:contextualSpacing/>
              <w:rPr>
                <w:rFonts w:ascii="仿宋" w:hAnsi="仿宋" w:eastAsia="仿宋"/>
                <w:color w:val="auto"/>
                <w:highlight w:val="none"/>
              </w:rPr>
            </w:pPr>
            <w:r>
              <w:rPr>
                <w:rFonts w:hint="eastAsia" w:ascii="仿宋" w:hAnsi="仿宋" w:eastAsia="仿宋"/>
                <w:color w:val="auto"/>
                <w:highlight w:val="none"/>
              </w:rPr>
              <w:t>6.</w:t>
            </w:r>
            <w:r>
              <w:rPr>
                <w:rFonts w:hint="eastAsia" w:ascii="仿宋" w:hAnsi="仿宋" w:eastAsia="仿宋" w:cs="仿宋"/>
                <w:color w:val="auto"/>
                <w:szCs w:val="21"/>
                <w:highlight w:val="none"/>
              </w:rPr>
              <w:t>12864点阵型液晶显示屏直读显示。</w:t>
            </w:r>
          </w:p>
        </w:tc>
      </w:tr>
      <w:tr w14:paraId="18EFC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Align w:val="center"/>
          </w:tcPr>
          <w:p w14:paraId="026605AE">
            <w:pPr>
              <w:adjustRightInd w:val="0"/>
              <w:spacing w:line="276" w:lineRule="auto"/>
              <w:contextualSpacing/>
              <w:jc w:val="center"/>
              <w:rPr>
                <w:rFonts w:ascii="仿宋" w:hAnsi="仿宋" w:eastAsia="仿宋"/>
                <w:color w:val="auto"/>
                <w:highlight w:val="none"/>
              </w:rPr>
            </w:pPr>
            <w:r>
              <w:rPr>
                <w:rFonts w:hint="eastAsia" w:ascii="仿宋" w:hAnsi="仿宋" w:eastAsia="仿宋"/>
                <w:color w:val="auto"/>
                <w:highlight w:val="none"/>
              </w:rPr>
              <w:t>防爆风机</w:t>
            </w:r>
          </w:p>
        </w:tc>
        <w:tc>
          <w:tcPr>
            <w:tcW w:w="4193" w:type="pct"/>
            <w:vAlign w:val="center"/>
          </w:tcPr>
          <w:p w14:paraId="00C5B29F">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1.额定电压：AC220V。</w:t>
            </w:r>
            <w:r>
              <w:rPr>
                <w:rFonts w:hint="eastAsia" w:ascii="仿宋" w:hAnsi="仿宋" w:eastAsia="仿宋"/>
                <w:color w:val="auto"/>
                <w:highlight w:val="none"/>
              </w:rPr>
              <w:br w:type="textWrapping"/>
            </w:r>
            <w:r>
              <w:rPr>
                <w:rFonts w:hint="eastAsia" w:ascii="仿宋" w:hAnsi="仿宋" w:eastAsia="仿宋"/>
                <w:color w:val="auto"/>
                <w:highlight w:val="none"/>
              </w:rPr>
              <w:t>2.功率：≥0.06KW。</w:t>
            </w:r>
            <w:r>
              <w:rPr>
                <w:rFonts w:hint="eastAsia" w:ascii="仿宋" w:hAnsi="仿宋" w:eastAsia="仿宋"/>
                <w:color w:val="auto"/>
                <w:highlight w:val="none"/>
              </w:rPr>
              <w:br w:type="textWrapping"/>
            </w:r>
            <w:r>
              <w:rPr>
                <w:rFonts w:hint="eastAsia" w:ascii="仿宋" w:hAnsi="仿宋" w:eastAsia="仿宋"/>
                <w:color w:val="auto"/>
                <w:highlight w:val="none"/>
              </w:rPr>
              <w:t>3.风量：≥1650m/h。</w:t>
            </w:r>
            <w:r>
              <w:rPr>
                <w:rFonts w:hint="eastAsia" w:ascii="仿宋" w:hAnsi="仿宋" w:eastAsia="仿宋"/>
                <w:color w:val="auto"/>
                <w:highlight w:val="none"/>
              </w:rPr>
              <w:br w:type="textWrapping"/>
            </w:r>
            <w:r>
              <w:rPr>
                <w:rFonts w:hint="eastAsia" w:ascii="仿宋" w:hAnsi="仿宋" w:eastAsia="仿宋"/>
                <w:color w:val="auto"/>
                <w:highlight w:val="none"/>
              </w:rPr>
              <w:t>4.防爆等级：Ex db IIB T4 Gb。</w:t>
            </w:r>
          </w:p>
        </w:tc>
      </w:tr>
      <w:bookmarkEnd w:id="41"/>
      <w:bookmarkEnd w:id="42"/>
      <w:tr w14:paraId="3EB8B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Align w:val="center"/>
          </w:tcPr>
          <w:p w14:paraId="48EDF5F4">
            <w:pPr>
              <w:adjustRightInd w:val="0"/>
              <w:spacing w:line="276" w:lineRule="auto"/>
              <w:contextualSpacing/>
              <w:jc w:val="center"/>
              <w:rPr>
                <w:rFonts w:ascii="仿宋" w:hAnsi="仿宋" w:eastAsia="仿宋"/>
                <w:color w:val="auto"/>
                <w:highlight w:val="none"/>
              </w:rPr>
            </w:pPr>
            <w:r>
              <w:rPr>
                <w:rFonts w:hint="eastAsia" w:ascii="仿宋" w:hAnsi="仿宋" w:eastAsia="仿宋"/>
                <w:color w:val="auto"/>
                <w:highlight w:val="none"/>
              </w:rPr>
              <w:t>防爆摄像机</w:t>
            </w:r>
          </w:p>
        </w:tc>
        <w:tc>
          <w:tcPr>
            <w:tcW w:w="4193" w:type="pct"/>
            <w:vAlign w:val="center"/>
          </w:tcPr>
          <w:p w14:paraId="775333F2">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1.像素：≥400万。</w:t>
            </w:r>
          </w:p>
          <w:p w14:paraId="77661318">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2.最高分辨率可达≥2688×1520。</w:t>
            </w:r>
            <w:r>
              <w:rPr>
                <w:rFonts w:hint="eastAsia" w:ascii="仿宋" w:hAnsi="仿宋" w:eastAsia="仿宋"/>
                <w:color w:val="auto"/>
                <w:highlight w:val="none"/>
              </w:rPr>
              <w:br w:type="textWrapping"/>
            </w:r>
            <w:r>
              <w:rPr>
                <w:rFonts w:hint="eastAsia" w:ascii="仿宋" w:hAnsi="仿宋" w:eastAsia="仿宋"/>
                <w:color w:val="auto"/>
                <w:highlight w:val="none"/>
              </w:rPr>
              <w:t>3.红外距离≥50米。</w:t>
            </w:r>
            <w:r>
              <w:rPr>
                <w:rFonts w:hint="eastAsia" w:ascii="仿宋" w:hAnsi="仿宋" w:eastAsia="仿宋"/>
                <w:color w:val="auto"/>
                <w:highlight w:val="none"/>
              </w:rPr>
              <w:br w:type="textWrapping"/>
            </w:r>
            <w:r>
              <w:rPr>
                <w:rFonts w:hint="eastAsia" w:ascii="仿宋" w:hAnsi="仿宋" w:eastAsia="仿宋"/>
                <w:color w:val="auto"/>
                <w:highlight w:val="none"/>
              </w:rPr>
              <w:t>▲4.编码：需支持H.264、H.265、MJPEG视频编码格式。</w:t>
            </w:r>
          </w:p>
          <w:p w14:paraId="17B82D38">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▲5.需支持三码流技术，支持主码流2560x1440@25fps、第三码流1920x1080@25fps和子码流704x576@25fps输出。</w:t>
            </w:r>
            <w:r>
              <w:rPr>
                <w:rFonts w:hint="eastAsia" w:ascii="仿宋" w:hAnsi="仿宋" w:eastAsia="仿宋"/>
                <w:color w:val="auto"/>
                <w:highlight w:val="none"/>
              </w:rPr>
              <w:br w:type="textWrapping"/>
            </w:r>
            <w:r>
              <w:rPr>
                <w:rFonts w:hint="eastAsia" w:ascii="仿宋" w:hAnsi="仿宋" w:eastAsia="仿宋"/>
                <w:color w:val="auto"/>
                <w:highlight w:val="none"/>
              </w:rPr>
              <w:t>▲6.最低照度彩色：≤0.002 lx，黑白:≤0.0005 lx，亮度等级不小于11级。</w:t>
            </w:r>
          </w:p>
          <w:p w14:paraId="55428045">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7.网络：≥1个RJ45 10 M/100 M自适应以太网口。</w:t>
            </w:r>
          </w:p>
          <w:p w14:paraId="0D3B1A89">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8.需支持AC220V与POE供电，且能在AC100V~AC240V范围内正常工作。</w:t>
            </w:r>
          </w:p>
          <w:p w14:paraId="29EED755">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9.设备与客户端之间用200米网线进行传输，数据包丢包数≤0.1%。</w:t>
            </w:r>
            <w:r>
              <w:rPr>
                <w:rFonts w:hint="eastAsia" w:ascii="仿宋" w:hAnsi="仿宋" w:eastAsia="仿宋"/>
                <w:color w:val="auto"/>
                <w:highlight w:val="none"/>
              </w:rPr>
              <w:br w:type="textWrapping"/>
            </w:r>
            <w:r>
              <w:rPr>
                <w:rFonts w:hint="eastAsia" w:ascii="仿宋" w:hAnsi="仿宋" w:eastAsia="仿宋"/>
                <w:color w:val="auto"/>
                <w:highlight w:val="none"/>
              </w:rPr>
              <w:t>10.支持≥IP68防护等级，≥IK10防爆等级。</w:t>
            </w:r>
          </w:p>
          <w:p w14:paraId="45374F44">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11.防爆标志：Ex db ⅡC T6 Gb/Ex tb ⅢC T80℃ Db。</w:t>
            </w:r>
          </w:p>
          <w:p w14:paraId="6DE3A492">
            <w:pPr>
              <w:adjustRightInd w:val="0"/>
              <w:spacing w:line="276" w:lineRule="auto"/>
              <w:contextualSpacing/>
              <w:jc w:val="left"/>
              <w:rPr>
                <w:rFonts w:ascii="仿宋" w:hAnsi="仿宋" w:eastAsia="仿宋"/>
                <w:color w:val="auto"/>
                <w:highlight w:val="none"/>
              </w:rPr>
            </w:pPr>
            <w:r>
              <w:rPr>
                <w:rFonts w:hint="eastAsia" w:ascii="仿宋" w:hAnsi="仿宋" w:eastAsia="仿宋" w:cs="仿宋"/>
                <w:b/>
                <w:bCs/>
                <w:color w:val="auto"/>
                <w:szCs w:val="21"/>
                <w:highlight w:val="none"/>
              </w:rPr>
              <w:t>以上技术要求带▲号的，投标人需提供具有CMA认证标志的第三方检测机构出具的检测报告复印件加盖投标人公章。</w:t>
            </w:r>
          </w:p>
        </w:tc>
      </w:tr>
      <w:tr w14:paraId="6F228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Align w:val="center"/>
          </w:tcPr>
          <w:p w14:paraId="4A89E630">
            <w:pPr>
              <w:adjustRightInd w:val="0"/>
              <w:spacing w:line="276" w:lineRule="auto"/>
              <w:contextualSpacing/>
              <w:jc w:val="center"/>
              <w:rPr>
                <w:rFonts w:ascii="仿宋" w:hAnsi="仿宋" w:eastAsia="仿宋" w:cs="仿宋"/>
                <w:color w:val="auto"/>
                <w:highlight w:val="none"/>
              </w:rPr>
            </w:pPr>
            <w:r>
              <w:rPr>
                <w:rFonts w:hint="eastAsia" w:ascii="仿宋" w:hAnsi="仿宋" w:eastAsia="仿宋" w:cs="仿宋"/>
                <w:color w:val="auto"/>
                <w:highlight w:val="none"/>
              </w:rPr>
              <w:t>防爆摄像机支架</w:t>
            </w:r>
          </w:p>
        </w:tc>
        <w:tc>
          <w:tcPr>
            <w:tcW w:w="4193" w:type="pct"/>
            <w:vAlign w:val="center"/>
          </w:tcPr>
          <w:p w14:paraId="242E0F85">
            <w:pPr>
              <w:adjustRightInd w:val="0"/>
              <w:spacing w:line="276" w:lineRule="auto"/>
              <w:contextualSpacing/>
              <w:rPr>
                <w:rFonts w:ascii="仿宋" w:hAnsi="仿宋" w:eastAsia="仿宋" w:cs="仿宋"/>
                <w:color w:val="auto"/>
                <w:highlight w:val="none"/>
              </w:rPr>
            </w:pPr>
            <w:r>
              <w:rPr>
                <w:rFonts w:hint="eastAsia" w:ascii="仿宋" w:hAnsi="仿宋" w:eastAsia="仿宋" w:cs="仿宋"/>
                <w:color w:val="auto"/>
                <w:kern w:val="0"/>
                <w:szCs w:val="21"/>
                <w:highlight w:val="none"/>
              </w:rPr>
              <w:t>1</w:t>
            </w:r>
            <w:r>
              <w:rPr>
                <w:rFonts w:hint="eastAsia" w:ascii="仿宋" w:hAnsi="仿宋" w:eastAsia="仿宋" w:cs="仿宋"/>
                <w:color w:val="auto"/>
                <w:highlight w:val="none"/>
              </w:rPr>
              <w:t>.304不锈钢材质。</w:t>
            </w:r>
          </w:p>
        </w:tc>
      </w:tr>
      <w:tr w14:paraId="43130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Align w:val="center"/>
          </w:tcPr>
          <w:p w14:paraId="0D6D03CC">
            <w:pPr>
              <w:adjustRightInd w:val="0"/>
              <w:spacing w:line="276" w:lineRule="auto"/>
              <w:contextualSpacing/>
              <w:jc w:val="center"/>
              <w:rPr>
                <w:rFonts w:ascii="仿宋" w:hAnsi="仿宋" w:eastAsia="仿宋"/>
                <w:color w:val="auto"/>
                <w:highlight w:val="none"/>
              </w:rPr>
            </w:pPr>
            <w:r>
              <w:rPr>
                <w:rFonts w:hint="eastAsia" w:ascii="仿宋" w:hAnsi="仿宋" w:eastAsia="仿宋"/>
                <w:color w:val="auto"/>
                <w:highlight w:val="none"/>
              </w:rPr>
              <w:t>红外高清数字摄像机</w:t>
            </w:r>
          </w:p>
        </w:tc>
        <w:tc>
          <w:tcPr>
            <w:tcW w:w="4193" w:type="pct"/>
            <w:vAlign w:val="center"/>
          </w:tcPr>
          <w:p w14:paraId="75C913D7">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1.像素：≥400万；</w:t>
            </w:r>
            <w:r>
              <w:rPr>
                <w:rFonts w:hint="eastAsia" w:ascii="仿宋" w:hAnsi="仿宋" w:eastAsia="仿宋" w:cs="仿宋"/>
                <w:color w:val="auto"/>
                <w:szCs w:val="21"/>
                <w:highlight w:val="none"/>
              </w:rPr>
              <w:t>符合≥IP67防尘防水设计</w:t>
            </w:r>
            <w:r>
              <w:rPr>
                <w:rFonts w:hint="eastAsia" w:ascii="仿宋" w:hAnsi="仿宋" w:eastAsia="仿宋"/>
                <w:color w:val="auto"/>
                <w:highlight w:val="none"/>
              </w:rPr>
              <w:t>。</w:t>
            </w:r>
            <w:r>
              <w:rPr>
                <w:rFonts w:hint="eastAsia" w:ascii="仿宋" w:hAnsi="仿宋" w:eastAsia="仿宋"/>
                <w:color w:val="auto"/>
                <w:highlight w:val="none"/>
              </w:rPr>
              <w:br w:type="textWrapping"/>
            </w:r>
            <w:r>
              <w:rPr>
                <w:rFonts w:hint="eastAsia" w:ascii="仿宋" w:hAnsi="仿宋" w:eastAsia="仿宋"/>
                <w:color w:val="auto"/>
                <w:highlight w:val="none"/>
              </w:rPr>
              <w:t>2.支持输出图像分辨率≥2560x1440。</w:t>
            </w:r>
          </w:p>
          <w:p w14:paraId="6547A7CF">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▲3.支持柔光灯补光，照射距离最远可达≥30m，补光灯灯杯采用双层透镜结构，外表平面为柔光层，采用复眼式微透镜阵列，具有六边形阵列纹路;下层束光层为鳞甲TIR透镜，内壁具有鳞甲阵列纹路。</w:t>
            </w:r>
            <w:r>
              <w:rPr>
                <w:rFonts w:hint="eastAsia" w:ascii="仿宋" w:hAnsi="仿宋" w:eastAsia="仿宋"/>
                <w:color w:val="auto"/>
                <w:highlight w:val="none"/>
              </w:rPr>
              <w:br w:type="textWrapping"/>
            </w:r>
            <w:r>
              <w:rPr>
                <w:rFonts w:hint="eastAsia" w:ascii="宋体" w:hAnsi="宋体" w:cs="宋体"/>
                <w:color w:val="auto"/>
                <w:kern w:val="0"/>
                <w:szCs w:val="21"/>
                <w:highlight w:val="none"/>
              </w:rPr>
              <w:t>▲</w:t>
            </w:r>
            <w:r>
              <w:rPr>
                <w:rFonts w:hint="eastAsia" w:ascii="仿宋" w:hAnsi="仿宋" w:eastAsia="仿宋"/>
                <w:color w:val="auto"/>
                <w:highlight w:val="none"/>
              </w:rPr>
              <w:t>4.具有日夜场景自适应功能，在白天和夜晚环境下，样机均可输出彩色图像，在夜晚自动开启补光灯条件下，夜晚图像清晰度应不低于白天图像清晰度的95%。</w:t>
            </w:r>
          </w:p>
          <w:p w14:paraId="3D0897E6">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▲5.在低照度环境下，可自动调节预览场景视频画面中人体、车辆等目标及预览场景视频画面的区域曝光、亮度、色彩饱和度、对比度、锐度等。</w:t>
            </w:r>
          </w:p>
          <w:p w14:paraId="574336BC">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6.支持DC12V供电。</w:t>
            </w:r>
          </w:p>
          <w:p w14:paraId="6EFA909F">
            <w:pPr>
              <w:adjustRightInd w:val="0"/>
              <w:spacing w:line="276" w:lineRule="auto"/>
              <w:contextualSpacing/>
              <w:jc w:val="left"/>
              <w:rPr>
                <w:rFonts w:ascii="仿宋" w:hAnsi="仿宋" w:eastAsia="仿宋"/>
                <w:color w:val="auto"/>
                <w:highlight w:val="none"/>
              </w:rPr>
            </w:pPr>
            <w:r>
              <w:rPr>
                <w:rFonts w:hint="eastAsia" w:ascii="仿宋" w:hAnsi="仿宋" w:eastAsia="仿宋" w:cs="仿宋"/>
                <w:b/>
                <w:bCs/>
                <w:color w:val="auto"/>
                <w:szCs w:val="21"/>
                <w:highlight w:val="none"/>
              </w:rPr>
              <w:t>以上技术要求带▲号的，投标人需提供具有CMA认证标志的第三方检测机构出具的检测报告复印件加盖投标人公章</w:t>
            </w:r>
            <w:r>
              <w:rPr>
                <w:rFonts w:hint="eastAsia" w:ascii="仿宋" w:hAnsi="仿宋" w:eastAsia="仿宋"/>
                <w:color w:val="auto"/>
                <w:highlight w:val="none"/>
              </w:rPr>
              <w:t>。</w:t>
            </w:r>
          </w:p>
        </w:tc>
      </w:tr>
      <w:tr w14:paraId="129D8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Align w:val="center"/>
          </w:tcPr>
          <w:p w14:paraId="07DDBA6B">
            <w:pPr>
              <w:adjustRightInd w:val="0"/>
              <w:spacing w:line="276" w:lineRule="auto"/>
              <w:contextualSpacing/>
              <w:jc w:val="center"/>
              <w:rPr>
                <w:rFonts w:ascii="仿宋" w:hAnsi="仿宋" w:eastAsia="仿宋"/>
                <w:color w:val="auto"/>
                <w:highlight w:val="none"/>
              </w:rPr>
            </w:pPr>
            <w:r>
              <w:rPr>
                <w:rFonts w:hint="eastAsia" w:ascii="仿宋" w:hAnsi="仿宋" w:eastAsia="仿宋"/>
                <w:color w:val="auto"/>
                <w:highlight w:val="none"/>
              </w:rPr>
              <w:t>硬盘（6T）</w:t>
            </w:r>
          </w:p>
        </w:tc>
        <w:tc>
          <w:tcPr>
            <w:tcW w:w="4193" w:type="pct"/>
            <w:vAlign w:val="center"/>
          </w:tcPr>
          <w:p w14:paraId="3FF2B1A8">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1.容量：≥6TB。</w:t>
            </w:r>
            <w:r>
              <w:rPr>
                <w:rFonts w:hint="eastAsia" w:ascii="仿宋" w:hAnsi="仿宋" w:eastAsia="仿宋"/>
                <w:color w:val="auto"/>
                <w:highlight w:val="none"/>
              </w:rPr>
              <w:br w:type="textWrapping"/>
            </w:r>
            <w:r>
              <w:rPr>
                <w:rFonts w:hint="eastAsia" w:ascii="仿宋" w:hAnsi="仿宋" w:eastAsia="仿宋"/>
                <w:color w:val="auto"/>
                <w:highlight w:val="none"/>
              </w:rPr>
              <w:t>2.接口：SATA。</w:t>
            </w:r>
            <w:r>
              <w:rPr>
                <w:rFonts w:hint="eastAsia" w:ascii="仿宋" w:hAnsi="仿宋" w:eastAsia="仿宋"/>
                <w:color w:val="auto"/>
                <w:highlight w:val="none"/>
              </w:rPr>
              <w:br w:type="textWrapping"/>
            </w:r>
            <w:r>
              <w:rPr>
                <w:rFonts w:hint="eastAsia" w:ascii="仿宋" w:hAnsi="仿宋" w:eastAsia="仿宋"/>
                <w:color w:val="auto"/>
                <w:highlight w:val="none"/>
              </w:rPr>
              <w:t>3.转速：≥5400转。</w:t>
            </w:r>
          </w:p>
        </w:tc>
      </w:tr>
      <w:tr w14:paraId="60A8D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Align w:val="center"/>
          </w:tcPr>
          <w:p w14:paraId="344E16F5">
            <w:pPr>
              <w:adjustRightInd w:val="0"/>
              <w:spacing w:line="276" w:lineRule="auto"/>
              <w:contextualSpacing/>
              <w:jc w:val="center"/>
              <w:rPr>
                <w:rFonts w:ascii="仿宋" w:hAnsi="仿宋" w:eastAsia="仿宋"/>
                <w:color w:val="auto"/>
                <w:highlight w:val="none"/>
              </w:rPr>
            </w:pPr>
            <w:r>
              <w:rPr>
                <w:rFonts w:hint="eastAsia" w:ascii="仿宋" w:hAnsi="仿宋" w:eastAsia="仿宋"/>
                <w:color w:val="auto"/>
                <w:highlight w:val="none"/>
              </w:rPr>
              <w:t>交换机</w:t>
            </w:r>
          </w:p>
        </w:tc>
        <w:tc>
          <w:tcPr>
            <w:tcW w:w="4193" w:type="pct"/>
            <w:vAlign w:val="center"/>
          </w:tcPr>
          <w:p w14:paraId="61E7DAED">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1.24口千兆。</w:t>
            </w:r>
          </w:p>
          <w:p w14:paraId="5774F41F">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2.端口结构：非模块化。</w:t>
            </w:r>
          </w:p>
          <w:p w14:paraId="0AEFE01E">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3.端口描述：≥24个10/100/1000M自适应以太网端口。</w:t>
            </w:r>
          </w:p>
          <w:p w14:paraId="3DC993BF">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4.传輸模式：全双工/半双工自适应。</w:t>
            </w:r>
          </w:p>
        </w:tc>
      </w:tr>
      <w:tr w14:paraId="1BDE3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Align w:val="center"/>
          </w:tcPr>
          <w:p w14:paraId="62F5C505">
            <w:pPr>
              <w:adjustRightInd w:val="0"/>
              <w:spacing w:line="276" w:lineRule="auto"/>
              <w:contextualSpacing/>
              <w:jc w:val="center"/>
              <w:rPr>
                <w:rFonts w:ascii="仿宋" w:hAnsi="仿宋" w:eastAsia="仿宋"/>
                <w:color w:val="auto"/>
                <w:highlight w:val="none"/>
              </w:rPr>
            </w:pPr>
            <w:r>
              <w:rPr>
                <w:rFonts w:hint="eastAsia" w:ascii="仿宋" w:hAnsi="仿宋" w:eastAsia="仿宋"/>
                <w:color w:val="auto"/>
                <w:highlight w:val="none"/>
              </w:rPr>
              <w:t>硬盘录像主机</w:t>
            </w:r>
          </w:p>
        </w:tc>
        <w:tc>
          <w:tcPr>
            <w:tcW w:w="4193" w:type="pct"/>
            <w:vAlign w:val="center"/>
          </w:tcPr>
          <w:p w14:paraId="6989A526">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1.主处理器：工业级嵌入式微控制器。</w:t>
            </w:r>
            <w:r>
              <w:rPr>
                <w:rFonts w:hint="eastAsia" w:ascii="仿宋" w:hAnsi="仿宋" w:eastAsia="仿宋"/>
                <w:color w:val="auto"/>
                <w:highlight w:val="none"/>
              </w:rPr>
              <w:br w:type="textWrapping"/>
            </w:r>
            <w:r>
              <w:rPr>
                <w:rFonts w:hint="eastAsia" w:ascii="仿宋" w:hAnsi="仿宋" w:eastAsia="仿宋"/>
                <w:color w:val="auto"/>
                <w:highlight w:val="none"/>
              </w:rPr>
              <w:t>2.最大接入路数：≥16 路。</w:t>
            </w:r>
            <w:r>
              <w:rPr>
                <w:rFonts w:hint="eastAsia" w:ascii="仿宋" w:hAnsi="仿宋" w:eastAsia="仿宋"/>
                <w:color w:val="auto"/>
                <w:highlight w:val="none"/>
              </w:rPr>
              <w:br w:type="textWrapping"/>
            </w:r>
            <w:r>
              <w:rPr>
                <w:rFonts w:hint="eastAsia" w:ascii="仿宋" w:hAnsi="仿宋" w:eastAsia="仿宋"/>
                <w:color w:val="auto"/>
                <w:highlight w:val="none"/>
              </w:rPr>
              <w:t>3.硬盘接口：≥8个SATA，单盘≥10T。</w:t>
            </w:r>
            <w:r>
              <w:rPr>
                <w:rFonts w:hint="eastAsia" w:ascii="仿宋" w:hAnsi="仿宋" w:eastAsia="仿宋"/>
                <w:color w:val="auto"/>
                <w:highlight w:val="none"/>
              </w:rPr>
              <w:br w:type="textWrapping"/>
            </w:r>
            <w:r>
              <w:rPr>
                <w:rFonts w:hint="eastAsia" w:ascii="仿宋" w:hAnsi="仿宋" w:eastAsia="仿宋"/>
                <w:color w:val="auto"/>
                <w:highlight w:val="none"/>
              </w:rPr>
              <w:t>4.解码能力：解码总资源为8个1920×1080格式的视频图像。</w:t>
            </w:r>
          </w:p>
        </w:tc>
      </w:tr>
      <w:tr w14:paraId="67CCA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Align w:val="center"/>
          </w:tcPr>
          <w:p w14:paraId="1A1E3EDF">
            <w:pPr>
              <w:adjustRightInd w:val="0"/>
              <w:spacing w:line="276" w:lineRule="auto"/>
              <w:contextualSpacing/>
              <w:jc w:val="center"/>
              <w:rPr>
                <w:rFonts w:ascii="仿宋" w:hAnsi="仿宋" w:eastAsia="仿宋"/>
                <w:color w:val="auto"/>
                <w:highlight w:val="none"/>
              </w:rPr>
            </w:pPr>
            <w:r>
              <w:rPr>
                <w:rFonts w:hint="eastAsia" w:ascii="仿宋" w:hAnsi="仿宋" w:eastAsia="仿宋"/>
                <w:color w:val="auto"/>
                <w:highlight w:val="none"/>
              </w:rPr>
              <w:t>机柜</w:t>
            </w:r>
          </w:p>
        </w:tc>
        <w:tc>
          <w:tcPr>
            <w:tcW w:w="4193" w:type="pct"/>
            <w:vAlign w:val="center"/>
          </w:tcPr>
          <w:p w14:paraId="7C560776">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szCs w:val="21"/>
                <w:highlight w:val="none"/>
              </w:rPr>
              <w:t>1.规格：42U机柜（1800×600×600mm）。</w:t>
            </w:r>
          </w:p>
        </w:tc>
      </w:tr>
      <w:tr w14:paraId="04C6D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Align w:val="center"/>
          </w:tcPr>
          <w:p w14:paraId="0B5E0BB3">
            <w:pPr>
              <w:adjustRightInd w:val="0"/>
              <w:spacing w:line="276" w:lineRule="auto"/>
              <w:contextualSpacing/>
              <w:jc w:val="center"/>
              <w:rPr>
                <w:rFonts w:ascii="仿宋" w:hAnsi="仿宋" w:eastAsia="仿宋"/>
                <w:color w:val="auto"/>
                <w:highlight w:val="none"/>
              </w:rPr>
            </w:pPr>
            <w:r>
              <w:rPr>
                <w:rFonts w:hint="eastAsia" w:ascii="仿宋" w:hAnsi="仿宋" w:eastAsia="仿宋"/>
                <w:color w:val="auto"/>
                <w:highlight w:val="none"/>
              </w:rPr>
              <w:t>门禁控制器</w:t>
            </w:r>
          </w:p>
        </w:tc>
        <w:tc>
          <w:tcPr>
            <w:tcW w:w="4193" w:type="pct"/>
            <w:vAlign w:val="center"/>
          </w:tcPr>
          <w:p w14:paraId="3775208A">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1.控制单门双向进出。</w:t>
            </w:r>
          </w:p>
          <w:p w14:paraId="086F98CE">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2.支持多种Weigand卡格式，支持密码键盘，兼容各种卡片。</w:t>
            </w:r>
          </w:p>
        </w:tc>
      </w:tr>
      <w:tr w14:paraId="01521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Align w:val="center"/>
          </w:tcPr>
          <w:p w14:paraId="76CD3A6E">
            <w:pPr>
              <w:adjustRightInd w:val="0"/>
              <w:spacing w:line="276" w:lineRule="auto"/>
              <w:contextualSpacing/>
              <w:jc w:val="center"/>
              <w:rPr>
                <w:rFonts w:ascii="仿宋" w:hAnsi="仿宋" w:eastAsia="仿宋"/>
                <w:color w:val="auto"/>
                <w:highlight w:val="none"/>
              </w:rPr>
            </w:pPr>
            <w:r>
              <w:rPr>
                <w:rFonts w:hint="eastAsia" w:ascii="仿宋" w:hAnsi="仿宋" w:eastAsia="仿宋"/>
                <w:color w:val="auto"/>
                <w:highlight w:val="none"/>
              </w:rPr>
              <w:t>门禁专用标准机箱</w:t>
            </w:r>
          </w:p>
        </w:tc>
        <w:tc>
          <w:tcPr>
            <w:tcW w:w="4193" w:type="pct"/>
            <w:vAlign w:val="center"/>
          </w:tcPr>
          <w:p w14:paraId="2DBB5D62">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1.机箱尺寸：≥273mm×228mm×65mm。</w:t>
            </w:r>
          </w:p>
          <w:p w14:paraId="60DF6AD7">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2.输入电压：AC220V；可外接蓄电池12v7AH。</w:t>
            </w:r>
          </w:p>
        </w:tc>
      </w:tr>
      <w:tr w14:paraId="4F900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Align w:val="center"/>
          </w:tcPr>
          <w:p w14:paraId="34E72A7E">
            <w:pPr>
              <w:adjustRightInd w:val="0"/>
              <w:spacing w:line="276" w:lineRule="auto"/>
              <w:contextualSpacing/>
              <w:jc w:val="center"/>
              <w:rPr>
                <w:rFonts w:ascii="仿宋" w:hAnsi="仿宋" w:eastAsia="仿宋"/>
                <w:color w:val="auto"/>
                <w:highlight w:val="none"/>
              </w:rPr>
            </w:pPr>
            <w:r>
              <w:rPr>
                <w:rFonts w:hint="eastAsia" w:ascii="仿宋" w:hAnsi="仿宋" w:eastAsia="仿宋"/>
                <w:color w:val="auto"/>
                <w:highlight w:val="none"/>
              </w:rPr>
              <w:t>电磁锁（单开）</w:t>
            </w:r>
          </w:p>
        </w:tc>
        <w:tc>
          <w:tcPr>
            <w:tcW w:w="4193" w:type="pct"/>
            <w:vAlign w:val="center"/>
          </w:tcPr>
          <w:p w14:paraId="626E650D">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1.类别：明装型。</w:t>
            </w:r>
          </w:p>
          <w:p w14:paraId="34699DEA">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2.电压：DC12V输入。</w:t>
            </w:r>
            <w:r>
              <w:rPr>
                <w:rFonts w:hint="eastAsia" w:ascii="仿宋" w:hAnsi="仿宋" w:eastAsia="仿宋"/>
                <w:color w:val="auto"/>
                <w:highlight w:val="none"/>
              </w:rPr>
              <w:br w:type="textWrapping"/>
            </w:r>
            <w:r>
              <w:rPr>
                <w:rFonts w:hint="eastAsia" w:ascii="仿宋" w:hAnsi="仿宋" w:eastAsia="仿宋"/>
                <w:color w:val="auto"/>
                <w:highlight w:val="none"/>
              </w:rPr>
              <w:t>3.抗拉力：≥280kg级。</w:t>
            </w:r>
          </w:p>
        </w:tc>
      </w:tr>
      <w:tr w14:paraId="6BFE0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Align w:val="center"/>
          </w:tcPr>
          <w:p w14:paraId="4EE79085">
            <w:pPr>
              <w:adjustRightInd w:val="0"/>
              <w:spacing w:line="276" w:lineRule="auto"/>
              <w:contextualSpacing/>
              <w:jc w:val="center"/>
              <w:rPr>
                <w:rFonts w:ascii="仿宋" w:hAnsi="仿宋" w:eastAsia="仿宋"/>
                <w:color w:val="auto"/>
                <w:highlight w:val="none"/>
              </w:rPr>
            </w:pPr>
            <w:r>
              <w:rPr>
                <w:rFonts w:hint="eastAsia" w:ascii="仿宋" w:hAnsi="仿宋" w:eastAsia="仿宋"/>
                <w:color w:val="auto"/>
                <w:highlight w:val="none"/>
              </w:rPr>
              <w:t>门禁读卡器</w:t>
            </w:r>
          </w:p>
        </w:tc>
        <w:tc>
          <w:tcPr>
            <w:tcW w:w="4193" w:type="pct"/>
            <w:vAlign w:val="center"/>
          </w:tcPr>
          <w:p w14:paraId="6D53CD37">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1.卡支持：ID卡/IC卡。</w:t>
            </w:r>
          </w:p>
          <w:p w14:paraId="727C2676">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2.读卡距离：≥5cm。</w:t>
            </w:r>
          </w:p>
        </w:tc>
      </w:tr>
      <w:tr w14:paraId="1291A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Align w:val="center"/>
          </w:tcPr>
          <w:p w14:paraId="03FDC72D">
            <w:pPr>
              <w:adjustRightInd w:val="0"/>
              <w:spacing w:line="276" w:lineRule="auto"/>
              <w:contextualSpacing/>
              <w:jc w:val="center"/>
              <w:rPr>
                <w:rFonts w:ascii="仿宋" w:hAnsi="仿宋" w:eastAsia="仿宋"/>
                <w:color w:val="auto"/>
                <w:highlight w:val="none"/>
              </w:rPr>
            </w:pPr>
            <w:r>
              <w:rPr>
                <w:rFonts w:hint="eastAsia" w:ascii="仿宋" w:hAnsi="仿宋" w:eastAsia="仿宋"/>
                <w:color w:val="auto"/>
                <w:highlight w:val="none"/>
              </w:rPr>
              <w:t>门禁卡</w:t>
            </w:r>
          </w:p>
        </w:tc>
        <w:tc>
          <w:tcPr>
            <w:tcW w:w="4193" w:type="pct"/>
            <w:vAlign w:val="center"/>
          </w:tcPr>
          <w:p w14:paraId="1AE81BC2">
            <w:pPr>
              <w:adjustRightInd w:val="0"/>
              <w:spacing w:line="276" w:lineRule="auto"/>
              <w:contextualSpacing/>
              <w:rPr>
                <w:rFonts w:ascii="仿宋" w:hAnsi="仿宋" w:eastAsia="仿宋"/>
                <w:color w:val="auto"/>
                <w:highlight w:val="none"/>
              </w:rPr>
            </w:pPr>
            <w:r>
              <w:rPr>
                <w:rFonts w:hint="eastAsia" w:ascii="仿宋" w:hAnsi="仿宋" w:eastAsia="仿宋"/>
                <w:color w:val="auto"/>
                <w:highlight w:val="none"/>
              </w:rPr>
              <w:t>1.IC卡。</w:t>
            </w:r>
          </w:p>
        </w:tc>
      </w:tr>
      <w:tr w14:paraId="4E09C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Align w:val="center"/>
          </w:tcPr>
          <w:p w14:paraId="322200AB">
            <w:pPr>
              <w:adjustRightInd w:val="0"/>
              <w:spacing w:line="276" w:lineRule="auto"/>
              <w:contextualSpacing/>
              <w:jc w:val="center"/>
              <w:rPr>
                <w:rFonts w:ascii="仿宋" w:hAnsi="仿宋" w:eastAsia="仿宋"/>
                <w:color w:val="auto"/>
                <w:highlight w:val="none"/>
              </w:rPr>
            </w:pPr>
            <w:r>
              <w:rPr>
                <w:rFonts w:hint="eastAsia" w:ascii="仿宋" w:hAnsi="仿宋" w:eastAsia="仿宋"/>
                <w:color w:val="auto"/>
                <w:highlight w:val="none"/>
              </w:rPr>
              <w:t>出门按钮</w:t>
            </w:r>
          </w:p>
        </w:tc>
        <w:tc>
          <w:tcPr>
            <w:tcW w:w="4193" w:type="pct"/>
            <w:vAlign w:val="center"/>
          </w:tcPr>
          <w:p w14:paraId="3E167D02">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1.规格：86型开关，≥86mm×86mm。</w:t>
            </w:r>
          </w:p>
        </w:tc>
      </w:tr>
      <w:tr w14:paraId="1D238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shd w:val="clear" w:color="auto" w:fill="auto"/>
            <w:vAlign w:val="center"/>
          </w:tcPr>
          <w:p w14:paraId="48D4BF08">
            <w:pPr>
              <w:adjustRightInd w:val="0"/>
              <w:spacing w:line="276" w:lineRule="auto"/>
              <w:contextualSpacing/>
              <w:jc w:val="center"/>
              <w:rPr>
                <w:rFonts w:ascii="仿宋" w:hAnsi="仿宋" w:eastAsia="仿宋"/>
                <w:color w:val="auto"/>
                <w:highlight w:val="none"/>
              </w:rPr>
            </w:pPr>
            <w:r>
              <w:rPr>
                <w:rFonts w:hint="eastAsia" w:ascii="仿宋" w:hAnsi="仿宋" w:eastAsia="仿宋"/>
                <w:color w:val="auto"/>
                <w:highlight w:val="none"/>
              </w:rPr>
              <w:t>玻破开关</w:t>
            </w:r>
          </w:p>
        </w:tc>
        <w:tc>
          <w:tcPr>
            <w:tcW w:w="4193" w:type="pct"/>
            <w:shd w:val="clear" w:color="auto" w:fill="auto"/>
            <w:vAlign w:val="center"/>
          </w:tcPr>
          <w:p w14:paraId="6C0BE3E4">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1.规格：86型开关；</w:t>
            </w:r>
          </w:p>
          <w:p w14:paraId="18F3E061">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2.适用类型:门禁紧急开门、安防信号输出等。</w:t>
            </w:r>
          </w:p>
        </w:tc>
      </w:tr>
      <w:tr w14:paraId="2BF68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Align w:val="center"/>
          </w:tcPr>
          <w:p w14:paraId="266496E8">
            <w:pPr>
              <w:adjustRightInd w:val="0"/>
              <w:spacing w:line="276" w:lineRule="auto"/>
              <w:contextualSpacing/>
              <w:jc w:val="center"/>
              <w:rPr>
                <w:rFonts w:ascii="仿宋" w:hAnsi="仿宋" w:eastAsia="仿宋"/>
                <w:color w:val="auto"/>
                <w:highlight w:val="none"/>
              </w:rPr>
            </w:pPr>
            <w:r>
              <w:rPr>
                <w:rFonts w:hint="eastAsia" w:ascii="仿宋" w:hAnsi="仿宋" w:eastAsia="仿宋"/>
                <w:color w:val="auto"/>
                <w:highlight w:val="none"/>
              </w:rPr>
              <w:t>8路报警主机</w:t>
            </w:r>
          </w:p>
        </w:tc>
        <w:tc>
          <w:tcPr>
            <w:tcW w:w="4193" w:type="pct"/>
            <w:vAlign w:val="center"/>
          </w:tcPr>
          <w:p w14:paraId="52424921">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szCs w:val="21"/>
                <w:highlight w:val="none"/>
              </w:rPr>
              <w:t>1.8防区微电脑控制、键盘编程。</w:t>
            </w:r>
            <w:r>
              <w:rPr>
                <w:rFonts w:hint="eastAsia" w:ascii="仿宋" w:hAnsi="仿宋" w:eastAsia="仿宋"/>
                <w:color w:val="auto"/>
                <w:szCs w:val="21"/>
                <w:highlight w:val="none"/>
              </w:rPr>
              <w:br w:type="textWrapping"/>
            </w:r>
            <w:r>
              <w:rPr>
                <w:rFonts w:hint="eastAsia" w:ascii="仿宋" w:hAnsi="仿宋" w:eastAsia="仿宋"/>
                <w:color w:val="auto"/>
                <w:szCs w:val="21"/>
                <w:highlight w:val="none"/>
              </w:rPr>
              <w:t>2.编程简单：主叫号、被叫号、地址码、密码、延时报警时间、布防／撤防方式可由用户随意自行操作设定。</w:t>
            </w:r>
            <w:r>
              <w:rPr>
                <w:rFonts w:hint="eastAsia" w:ascii="仿宋" w:hAnsi="仿宋" w:eastAsia="仿宋"/>
                <w:color w:val="auto"/>
                <w:szCs w:val="21"/>
                <w:highlight w:val="none"/>
              </w:rPr>
              <w:br w:type="textWrapping"/>
            </w:r>
            <w:r>
              <w:rPr>
                <w:rFonts w:hint="eastAsia" w:ascii="宋体" w:hAnsi="宋体" w:cs="宋体"/>
                <w:color w:val="auto"/>
                <w:kern w:val="0"/>
                <w:szCs w:val="21"/>
                <w:highlight w:val="none"/>
              </w:rPr>
              <w:t>▲</w:t>
            </w:r>
            <w:r>
              <w:rPr>
                <w:rFonts w:hint="eastAsia" w:ascii="仿宋" w:hAnsi="仿宋" w:eastAsia="仿宋"/>
                <w:color w:val="auto"/>
                <w:szCs w:val="21"/>
                <w:highlight w:val="none"/>
              </w:rPr>
              <w:t>3.发生警情时能与报警中心联网，并将报警信息上传至报警中心。</w:t>
            </w:r>
            <w:r>
              <w:rPr>
                <w:rFonts w:hint="eastAsia" w:ascii="仿宋" w:hAnsi="仿宋" w:eastAsia="仿宋"/>
                <w:color w:val="auto"/>
                <w:szCs w:val="21"/>
                <w:highlight w:val="none"/>
              </w:rPr>
              <w:br w:type="textWrapping"/>
            </w:r>
            <w:r>
              <w:rPr>
                <w:rFonts w:hint="eastAsia" w:ascii="仿宋" w:hAnsi="仿宋" w:eastAsia="仿宋"/>
                <w:color w:val="auto"/>
                <w:szCs w:val="21"/>
                <w:highlight w:val="none"/>
              </w:rPr>
              <w:t>4.操作键盘密码进行布防／撤防。</w:t>
            </w:r>
            <w:r>
              <w:rPr>
                <w:rFonts w:hint="eastAsia" w:ascii="仿宋" w:hAnsi="仿宋" w:eastAsia="仿宋"/>
                <w:color w:val="auto"/>
                <w:szCs w:val="21"/>
                <w:highlight w:val="none"/>
              </w:rPr>
              <w:br w:type="textWrapping"/>
            </w:r>
            <w:r>
              <w:rPr>
                <w:rFonts w:hint="eastAsia" w:ascii="仿宋" w:hAnsi="仿宋" w:eastAsia="仿宋"/>
                <w:color w:val="auto"/>
                <w:szCs w:val="21"/>
                <w:highlight w:val="none"/>
              </w:rPr>
              <w:t>5.具有四种密码，具有不同的控制权限，可分配给不同级别的管理人员使用。可配用一个安装员码，八个用户码。</w:t>
            </w:r>
            <w:r>
              <w:rPr>
                <w:rFonts w:hint="eastAsia" w:ascii="仿宋" w:hAnsi="仿宋" w:eastAsia="仿宋"/>
                <w:color w:val="auto"/>
                <w:szCs w:val="21"/>
                <w:highlight w:val="none"/>
              </w:rPr>
              <w:br w:type="textWrapping"/>
            </w:r>
            <w:r>
              <w:rPr>
                <w:rFonts w:hint="eastAsia" w:ascii="仿宋" w:hAnsi="仿宋" w:eastAsia="仿宋" w:cs="仿宋"/>
                <w:b/>
                <w:bCs/>
                <w:color w:val="auto"/>
                <w:szCs w:val="21"/>
                <w:highlight w:val="none"/>
              </w:rPr>
              <w:t>以上技术要求带▲号的，投标人需提供具有CMA认证标志的第三方检测机构出具的检测报告复印件加盖投标人公章</w:t>
            </w:r>
            <w:r>
              <w:rPr>
                <w:rFonts w:hint="eastAsia" w:ascii="仿宋" w:hAnsi="仿宋" w:eastAsia="仿宋"/>
                <w:color w:val="auto"/>
                <w:highlight w:val="none"/>
              </w:rPr>
              <w:t>。</w:t>
            </w:r>
          </w:p>
        </w:tc>
      </w:tr>
      <w:tr w14:paraId="120E0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Align w:val="center"/>
          </w:tcPr>
          <w:p w14:paraId="017D2540">
            <w:pPr>
              <w:adjustRightInd w:val="0"/>
              <w:spacing w:line="276" w:lineRule="auto"/>
              <w:contextualSpacing/>
              <w:jc w:val="center"/>
              <w:rPr>
                <w:rFonts w:ascii="仿宋" w:hAnsi="仿宋" w:eastAsia="仿宋"/>
                <w:color w:val="auto"/>
                <w:highlight w:val="none"/>
              </w:rPr>
            </w:pPr>
            <w:r>
              <w:rPr>
                <w:rFonts w:hint="eastAsia" w:ascii="仿宋" w:hAnsi="仿宋" w:eastAsia="仿宋"/>
                <w:color w:val="auto"/>
                <w:highlight w:val="none"/>
              </w:rPr>
              <w:t>8路报警主机键盘</w:t>
            </w:r>
          </w:p>
        </w:tc>
        <w:tc>
          <w:tcPr>
            <w:tcW w:w="4193" w:type="pct"/>
            <w:vAlign w:val="center"/>
          </w:tcPr>
          <w:p w14:paraId="32ED911D">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1.每一个防区用数字LED表示。</w:t>
            </w:r>
            <w:r>
              <w:rPr>
                <w:rFonts w:hint="eastAsia" w:ascii="仿宋" w:hAnsi="仿宋" w:eastAsia="仿宋"/>
                <w:color w:val="auto"/>
                <w:highlight w:val="none"/>
              </w:rPr>
              <w:br w:type="textWrapping"/>
            </w:r>
            <w:r>
              <w:rPr>
                <w:rFonts w:hint="eastAsia" w:ascii="仿宋" w:hAnsi="仿宋" w:eastAsia="仿宋"/>
                <w:color w:val="auto"/>
                <w:highlight w:val="none"/>
              </w:rPr>
              <w:t>2.系统状态用状态LED灯显示。</w:t>
            </w:r>
            <w:r>
              <w:rPr>
                <w:rFonts w:hint="eastAsia" w:ascii="仿宋" w:hAnsi="仿宋" w:eastAsia="仿宋"/>
                <w:color w:val="auto"/>
                <w:highlight w:val="none"/>
              </w:rPr>
              <w:br w:type="textWrapping"/>
            </w:r>
            <w:r>
              <w:rPr>
                <w:rFonts w:hint="eastAsia" w:ascii="仿宋" w:hAnsi="仿宋" w:eastAsia="仿宋"/>
                <w:color w:val="auto"/>
                <w:highlight w:val="none"/>
              </w:rPr>
              <w:t>3.电气：≥12VDC，≥35mA。</w:t>
            </w:r>
          </w:p>
        </w:tc>
      </w:tr>
      <w:tr w14:paraId="60F4E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Align w:val="center"/>
          </w:tcPr>
          <w:p w14:paraId="0973B4E9">
            <w:pPr>
              <w:adjustRightInd w:val="0"/>
              <w:spacing w:line="276" w:lineRule="auto"/>
              <w:contextualSpacing/>
              <w:jc w:val="center"/>
              <w:rPr>
                <w:rFonts w:ascii="仿宋" w:hAnsi="仿宋" w:eastAsia="仿宋"/>
                <w:color w:val="auto"/>
                <w:highlight w:val="none"/>
              </w:rPr>
            </w:pPr>
            <w:r>
              <w:rPr>
                <w:rFonts w:hint="eastAsia" w:ascii="仿宋" w:hAnsi="仿宋" w:eastAsia="仿宋"/>
                <w:color w:val="auto"/>
                <w:highlight w:val="none"/>
              </w:rPr>
              <w:t>防爆双鉴探测器</w:t>
            </w:r>
          </w:p>
        </w:tc>
        <w:tc>
          <w:tcPr>
            <w:tcW w:w="4193" w:type="pct"/>
            <w:vAlign w:val="center"/>
          </w:tcPr>
          <w:p w14:paraId="57F06547">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1.报警时间：≤2s。</w:t>
            </w:r>
            <w:r>
              <w:rPr>
                <w:rFonts w:hint="eastAsia" w:ascii="仿宋" w:hAnsi="仿宋" w:eastAsia="仿宋"/>
                <w:color w:val="auto"/>
                <w:highlight w:val="none"/>
              </w:rPr>
              <w:br w:type="textWrapping"/>
            </w:r>
            <w:r>
              <w:rPr>
                <w:rFonts w:hint="eastAsia" w:ascii="仿宋" w:hAnsi="仿宋" w:eastAsia="仿宋"/>
                <w:color w:val="auto"/>
                <w:highlight w:val="none"/>
              </w:rPr>
              <w:t>2.检测速度：0.2m/s to 3.5m/s。</w:t>
            </w:r>
            <w:r>
              <w:rPr>
                <w:rFonts w:hint="eastAsia" w:ascii="仿宋" w:hAnsi="仿宋" w:eastAsia="仿宋"/>
                <w:color w:val="auto"/>
                <w:highlight w:val="none"/>
              </w:rPr>
              <w:br w:type="textWrapping"/>
            </w:r>
            <w:r>
              <w:rPr>
                <w:rFonts w:hint="eastAsia" w:ascii="仿宋" w:hAnsi="仿宋" w:eastAsia="仿宋"/>
                <w:color w:val="auto"/>
                <w:highlight w:val="none"/>
              </w:rPr>
              <w:t>3.防爆标志:Ex db IIB T6 Gb。</w:t>
            </w:r>
          </w:p>
        </w:tc>
      </w:tr>
      <w:tr w14:paraId="144BE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Align w:val="center"/>
          </w:tcPr>
          <w:p w14:paraId="06ABD268">
            <w:pPr>
              <w:adjustRightInd w:val="0"/>
              <w:spacing w:line="276" w:lineRule="auto"/>
              <w:contextualSpacing/>
              <w:jc w:val="center"/>
              <w:rPr>
                <w:rFonts w:ascii="仿宋" w:hAnsi="仿宋" w:eastAsia="仿宋"/>
                <w:color w:val="auto"/>
                <w:highlight w:val="none"/>
              </w:rPr>
            </w:pPr>
            <w:r>
              <w:rPr>
                <w:rFonts w:hint="eastAsia" w:ascii="仿宋" w:hAnsi="仿宋" w:eastAsia="仿宋"/>
                <w:color w:val="auto"/>
                <w:highlight w:val="none"/>
              </w:rPr>
              <w:t>报警联动模块</w:t>
            </w:r>
          </w:p>
        </w:tc>
        <w:tc>
          <w:tcPr>
            <w:tcW w:w="4193" w:type="pct"/>
            <w:vAlign w:val="center"/>
          </w:tcPr>
          <w:p w14:paraId="31BC9F94">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1.输出模块与键盘并联连接。</w:t>
            </w:r>
            <w:r>
              <w:rPr>
                <w:rFonts w:hint="eastAsia" w:ascii="仿宋" w:hAnsi="仿宋" w:eastAsia="仿宋"/>
                <w:color w:val="auto"/>
                <w:highlight w:val="none"/>
              </w:rPr>
              <w:br w:type="textWrapping"/>
            </w:r>
            <w:r>
              <w:rPr>
                <w:rFonts w:hint="eastAsia" w:ascii="仿宋" w:hAnsi="仿宋" w:eastAsia="仿宋"/>
                <w:color w:val="auto"/>
                <w:highlight w:val="none"/>
              </w:rPr>
              <w:t>2.可最大提供≥16路防区报警输出及≥8路系统状态输出。</w:t>
            </w:r>
            <w:r>
              <w:rPr>
                <w:rFonts w:hint="eastAsia" w:ascii="仿宋" w:hAnsi="仿宋" w:eastAsia="仿宋"/>
                <w:color w:val="auto"/>
                <w:highlight w:val="none"/>
              </w:rPr>
              <w:br w:type="textWrapping"/>
            </w:r>
            <w:r>
              <w:rPr>
                <w:rFonts w:hint="eastAsia" w:ascii="仿宋" w:hAnsi="仿宋" w:eastAsia="仿宋"/>
                <w:color w:val="auto"/>
                <w:highlight w:val="none"/>
              </w:rPr>
              <w:t>3.需适用报警主机，实现报警联动。</w:t>
            </w:r>
          </w:p>
        </w:tc>
      </w:tr>
      <w:tr w14:paraId="7CE7F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Align w:val="center"/>
          </w:tcPr>
          <w:p w14:paraId="6AAF66E9">
            <w:pPr>
              <w:adjustRightInd w:val="0"/>
              <w:spacing w:line="276" w:lineRule="auto"/>
              <w:contextualSpacing/>
              <w:jc w:val="center"/>
              <w:rPr>
                <w:rFonts w:ascii="仿宋" w:hAnsi="仿宋" w:eastAsia="仿宋"/>
                <w:color w:val="auto"/>
                <w:highlight w:val="none"/>
              </w:rPr>
            </w:pPr>
            <w:r>
              <w:rPr>
                <w:rFonts w:hint="eastAsia" w:ascii="仿宋" w:hAnsi="仿宋" w:eastAsia="仿宋"/>
                <w:color w:val="auto"/>
                <w:highlight w:val="none"/>
              </w:rPr>
              <w:t>报警打印机</w:t>
            </w:r>
          </w:p>
        </w:tc>
        <w:tc>
          <w:tcPr>
            <w:tcW w:w="4193" w:type="pct"/>
            <w:vAlign w:val="center"/>
          </w:tcPr>
          <w:p w14:paraId="004F7874">
            <w:pPr>
              <w:adjustRightInd w:val="0"/>
              <w:spacing w:line="276" w:lineRule="auto"/>
              <w:contextualSpacing/>
              <w:jc w:val="left"/>
              <w:rPr>
                <w:rFonts w:ascii="仿宋" w:hAnsi="仿宋"/>
                <w:color w:val="auto"/>
                <w:highlight w:val="none"/>
              </w:rPr>
            </w:pPr>
            <w:r>
              <w:rPr>
                <w:rFonts w:hint="eastAsia" w:ascii="仿宋" w:hAnsi="仿宋" w:eastAsia="仿宋"/>
                <w:color w:val="auto"/>
                <w:highlight w:val="none"/>
              </w:rPr>
              <w:t>1.综合语音播报，信息存储，时钟显示，报警信息记录输出。</w:t>
            </w:r>
            <w:r>
              <w:rPr>
                <w:rFonts w:hint="eastAsia" w:ascii="仿宋" w:hAnsi="仿宋" w:eastAsia="仿宋"/>
                <w:color w:val="auto"/>
                <w:highlight w:val="none"/>
              </w:rPr>
              <w:br w:type="textWrapping"/>
            </w:r>
            <w:r>
              <w:rPr>
                <w:rFonts w:hint="eastAsia" w:ascii="宋体" w:hAnsi="宋体" w:cs="宋体"/>
                <w:color w:val="auto"/>
                <w:kern w:val="0"/>
                <w:szCs w:val="21"/>
                <w:highlight w:val="none"/>
              </w:rPr>
              <w:t>▲</w:t>
            </w:r>
            <w:r>
              <w:rPr>
                <w:rFonts w:hint="eastAsia" w:ascii="仿宋" w:hAnsi="仿宋" w:eastAsia="仿宋"/>
                <w:color w:val="auto"/>
                <w:highlight w:val="none"/>
              </w:rPr>
              <w:t>2.具备布防、撤防、报警、报警清除、旁路、解除旁路、紧急报警、编程、编程结束、存储信息、故障、脱机等信息及时间。</w:t>
            </w:r>
            <w:r>
              <w:rPr>
                <w:rFonts w:hint="eastAsia" w:ascii="仿宋" w:hAnsi="仿宋" w:eastAsia="仿宋"/>
                <w:color w:val="auto"/>
                <w:highlight w:val="none"/>
              </w:rPr>
              <w:br w:type="textWrapping"/>
            </w:r>
            <w:r>
              <w:rPr>
                <w:rFonts w:hint="eastAsia" w:ascii="仿宋" w:hAnsi="仿宋" w:eastAsia="仿宋"/>
                <w:color w:val="auto"/>
                <w:highlight w:val="none"/>
              </w:rPr>
              <w:t>3.报警信息的时间准确到时、分、秒；</w:t>
            </w:r>
            <w:r>
              <w:rPr>
                <w:rFonts w:hint="eastAsia" w:ascii="仿宋" w:hAnsi="仿宋" w:eastAsia="仿宋" w:cs="仿宋"/>
                <w:color w:val="auto"/>
                <w:szCs w:val="21"/>
                <w:highlight w:val="none"/>
              </w:rPr>
              <w:t>采用串口通讯协议</w:t>
            </w:r>
            <w:r>
              <w:rPr>
                <w:rFonts w:hint="eastAsia" w:ascii="仿宋" w:hAnsi="仿宋" w:eastAsia="仿宋"/>
                <w:color w:val="auto"/>
                <w:highlight w:val="none"/>
              </w:rPr>
              <w:t>。</w:t>
            </w:r>
            <w:r>
              <w:rPr>
                <w:rFonts w:hint="eastAsia" w:ascii="仿宋" w:hAnsi="仿宋" w:eastAsia="仿宋"/>
                <w:color w:val="auto"/>
                <w:highlight w:val="none"/>
              </w:rPr>
              <w:br w:type="textWrapping"/>
            </w:r>
            <w:r>
              <w:rPr>
                <w:rFonts w:hint="eastAsia" w:ascii="仿宋" w:hAnsi="仿宋" w:eastAsia="仿宋" w:cs="仿宋"/>
                <w:b/>
                <w:bCs/>
                <w:color w:val="auto"/>
                <w:szCs w:val="21"/>
                <w:highlight w:val="none"/>
              </w:rPr>
              <w:t>以上技术要求带▲号的，投标人需提供具有CMA认证标志的第三方检测机构出具的检测报告复印件加盖投标人公章</w:t>
            </w:r>
            <w:r>
              <w:rPr>
                <w:rFonts w:hint="eastAsia" w:ascii="仿宋" w:hAnsi="仿宋" w:eastAsia="仿宋"/>
                <w:color w:val="auto"/>
                <w:highlight w:val="none"/>
              </w:rPr>
              <w:t>。</w:t>
            </w:r>
          </w:p>
        </w:tc>
      </w:tr>
      <w:tr w14:paraId="77B97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Align w:val="center"/>
          </w:tcPr>
          <w:p w14:paraId="13F27D38">
            <w:pPr>
              <w:adjustRightInd w:val="0"/>
              <w:spacing w:line="276" w:lineRule="auto"/>
              <w:contextualSpacing/>
              <w:jc w:val="center"/>
              <w:rPr>
                <w:rFonts w:ascii="仿宋" w:hAnsi="仿宋" w:eastAsia="仿宋"/>
                <w:color w:val="auto"/>
                <w:highlight w:val="none"/>
              </w:rPr>
            </w:pPr>
            <w:r>
              <w:rPr>
                <w:rFonts w:hint="eastAsia" w:ascii="仿宋" w:hAnsi="仿宋" w:eastAsia="仿宋"/>
                <w:color w:val="auto"/>
                <w:highlight w:val="none"/>
              </w:rPr>
              <w:t>危化品应急处置箱</w:t>
            </w:r>
          </w:p>
        </w:tc>
        <w:tc>
          <w:tcPr>
            <w:tcW w:w="4193" w:type="pct"/>
            <w:vAlign w:val="center"/>
          </w:tcPr>
          <w:p w14:paraId="731703B9">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1.柜体尺寸:</w:t>
            </w:r>
            <w:r>
              <w:rPr>
                <w:rFonts w:hint="eastAsia" w:ascii="宋体" w:hAnsi="宋体" w:cs="宋体"/>
                <w:color w:val="auto"/>
                <w:highlight w:val="none"/>
              </w:rPr>
              <w:t>≥</w:t>
            </w:r>
            <w:r>
              <w:rPr>
                <w:rFonts w:hint="eastAsia" w:ascii="仿宋" w:hAnsi="仿宋" w:eastAsia="仿宋"/>
                <w:color w:val="auto"/>
                <w:highlight w:val="none"/>
              </w:rPr>
              <w:t>H850×W560×D350mm。</w:t>
            </w:r>
            <w:r>
              <w:rPr>
                <w:rFonts w:hint="eastAsia" w:ascii="仿宋" w:hAnsi="仿宋" w:eastAsia="仿宋"/>
                <w:color w:val="auto"/>
                <w:highlight w:val="none"/>
              </w:rPr>
              <w:br w:type="textWrapping"/>
            </w:r>
            <w:r>
              <w:rPr>
                <w:rFonts w:hint="eastAsia" w:ascii="仿宋" w:hAnsi="仿宋" w:eastAsia="仿宋"/>
                <w:color w:val="auto"/>
                <w:highlight w:val="none"/>
              </w:rPr>
              <w:t>2.壳体全部采用</w:t>
            </w:r>
            <w:r>
              <w:rPr>
                <w:rFonts w:hint="eastAsia" w:ascii="宋体" w:hAnsi="宋体" w:cs="宋体"/>
                <w:color w:val="auto"/>
                <w:highlight w:val="none"/>
              </w:rPr>
              <w:t>≥</w:t>
            </w:r>
            <w:r>
              <w:rPr>
                <w:rFonts w:hint="eastAsia" w:ascii="仿宋" w:hAnsi="仿宋" w:eastAsia="仿宋"/>
                <w:color w:val="auto"/>
                <w:highlight w:val="none"/>
              </w:rPr>
              <w:t>1.0MM的冷轧钢板,内外表面经酸洗磷化环氧树脂粉末喷涂，烘热固化处理。</w:t>
            </w:r>
          </w:p>
          <w:p w14:paraId="171D599E">
            <w:pPr>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3.配套物资：</w:t>
            </w:r>
            <w:r>
              <w:rPr>
                <w:rFonts w:hint="eastAsia" w:ascii="仿宋" w:hAnsi="仿宋" w:eastAsia="仿宋" w:cs="仿宋"/>
                <w:color w:val="auto"/>
                <w:szCs w:val="21"/>
                <w:highlight w:val="none"/>
              </w:rPr>
              <w:t>灭火毯（1个）、防毒面具（1个）、MSDS资料盒（1个）、吸附棉片（数量2片）、吸附棉条（数量1条）、手套（数量2个）。</w:t>
            </w:r>
          </w:p>
        </w:tc>
      </w:tr>
      <w:tr w14:paraId="661FD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Align w:val="center"/>
          </w:tcPr>
          <w:p w14:paraId="7F931E4F">
            <w:pPr>
              <w:adjustRightInd w:val="0"/>
              <w:spacing w:line="276" w:lineRule="auto"/>
              <w:contextualSpacing/>
              <w:jc w:val="center"/>
              <w:rPr>
                <w:rFonts w:ascii="仿宋" w:hAnsi="仿宋" w:eastAsia="仿宋"/>
                <w:color w:val="auto"/>
                <w:highlight w:val="none"/>
              </w:rPr>
            </w:pPr>
            <w:r>
              <w:rPr>
                <w:rFonts w:hint="eastAsia" w:ascii="仿宋" w:hAnsi="仿宋" w:eastAsia="仿宋"/>
                <w:color w:val="auto"/>
                <w:highlight w:val="none"/>
              </w:rPr>
              <w:t>危化品防护服</w:t>
            </w:r>
          </w:p>
        </w:tc>
        <w:tc>
          <w:tcPr>
            <w:tcW w:w="4193" w:type="pct"/>
            <w:vAlign w:val="center"/>
          </w:tcPr>
          <w:p w14:paraId="27788264">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1.整体气密性：4分钟内压力下降不大于测试压力20%；向内泄漏率≤0.05%。款式为连体全封闭结构。</w:t>
            </w:r>
          </w:p>
          <w:p w14:paraId="0AFCC2B6">
            <w:pPr>
              <w:adjustRightInd w:val="0"/>
              <w:spacing w:line="276" w:lineRule="auto"/>
              <w:contextualSpacing/>
              <w:jc w:val="left"/>
              <w:rPr>
                <w:rFonts w:ascii="仿宋" w:hAnsi="仿宋" w:eastAsia="仿宋"/>
                <w:color w:val="auto"/>
                <w:highlight w:val="none"/>
              </w:rPr>
            </w:pPr>
            <w:r>
              <w:rPr>
                <w:rFonts w:hint="eastAsia" w:ascii="仿宋" w:hAnsi="仿宋" w:eastAsia="仿宋"/>
                <w:color w:val="auto"/>
                <w:highlight w:val="none"/>
              </w:rPr>
              <w:t>2.面料机械性能：耐磨性能≥3级；抗撕裂、抗穿刺、断裂强力、耐屈挠破坏满足国家相关标准。接缝：全部接缝采用热封贴条密封工艺，接缝渗透、液体耐压穿透性能与面料等级匹配，不得简单缝纫无贴条，外层阻隔膜加内部两层无纺布，防放射性颗粒物、耐酸碱防护级别3&amp;4类/C级。</w:t>
            </w:r>
          </w:p>
        </w:tc>
      </w:tr>
    </w:tbl>
    <w:p w14:paraId="33300B29">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2、采购标的需满足的服务标准、期限、效率等要求；</w:t>
      </w:r>
    </w:p>
    <w:p w14:paraId="1AC0CA7F">
      <w:pPr>
        <w:spacing w:line="360" w:lineRule="auto"/>
        <w:ind w:firstLine="482" w:firstLineChars="200"/>
        <w:contextualSpacing/>
        <w:rPr>
          <w:rFonts w:ascii="仿宋" w:hAnsi="仿宋" w:eastAsia="仿宋" w:cs="仿宋"/>
          <w:b/>
          <w:bCs/>
          <w:color w:val="auto"/>
          <w:sz w:val="24"/>
          <w:highlight w:val="none"/>
        </w:rPr>
      </w:pPr>
      <w:r>
        <w:rPr>
          <w:rFonts w:hint="eastAsia" w:ascii="仿宋" w:hAnsi="仿宋" w:eastAsia="仿宋" w:cs="仿宋"/>
          <w:b/>
          <w:bCs/>
          <w:color w:val="auto"/>
          <w:sz w:val="24"/>
          <w:highlight w:val="none"/>
        </w:rPr>
        <w:t>详见上文。</w:t>
      </w:r>
    </w:p>
    <w:p w14:paraId="175193A4">
      <w:pPr>
        <w:pStyle w:val="2"/>
        <w:rPr>
          <w:color w:val="auto"/>
          <w:highlight w:val="none"/>
        </w:rPr>
      </w:pPr>
    </w:p>
    <w:p w14:paraId="50697035">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3、为落实政府采购政策需满足的要求；</w:t>
      </w:r>
    </w:p>
    <w:p w14:paraId="1046E799">
      <w:pPr>
        <w:snapToGrid w:val="0"/>
        <w:spacing w:line="360" w:lineRule="auto"/>
        <w:ind w:firstLine="480" w:firstLineChars="200"/>
        <w:rPr>
          <w:rFonts w:ascii="仿宋" w:hAnsi="仿宋" w:eastAsia="仿宋" w:cs="仿宋"/>
          <w:b/>
          <w:color w:val="auto"/>
          <w:sz w:val="24"/>
          <w:highlight w:val="none"/>
        </w:rPr>
      </w:pPr>
      <w:r>
        <w:rPr>
          <w:rFonts w:hint="eastAsia" w:ascii="仿宋" w:hAnsi="仿宋" w:eastAsia="仿宋" w:cs="仿宋"/>
          <w:bCs/>
          <w:color w:val="auto"/>
          <w:sz w:val="24"/>
          <w:highlight w:val="none"/>
        </w:rPr>
        <w:t>3.1、促进中小企业发展政策：根据《政府采购促进中小企业发展管理办法》规定，本项目采购货物为小型或微型企业制造的，投标人应出具招标文件要求的《中小企业声明函》给予证明，否则评标时不予认可。投标人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14:paraId="6C6C8A4F">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3.2、监狱企业扶持政策：投标人如为监狱企业将视同为小型或微型企业，且所投产品为小型或微型企业生产的，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14:paraId="5B2AF7D5">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投标人为残疾人福利性单位的，采购代理机构将随中标结果同时公告其《残疾人福利性单位声明函》，接受社会监督。残疾人福利性单位视同小型、微型企业。不重复享受政策。</w:t>
      </w:r>
    </w:p>
    <w:p w14:paraId="44E93FA5">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14:paraId="64909549">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14:paraId="6E374C35">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w:t>
      </w:r>
      <w:r>
        <w:rPr>
          <w:rFonts w:hint="eastAsia" w:ascii="仿宋" w:hAnsi="仿宋" w:eastAsia="仿宋" w:cs="仿宋"/>
          <w:b/>
          <w:bCs/>
          <w:color w:val="auto"/>
          <w:sz w:val="24"/>
          <w:highlight w:val="none"/>
        </w:rPr>
        <w:t>投标人应出具招标文件要求的证明材料给予证明，否则评标时不予认可。投标人应对提交的证明材料真实性负责，</w:t>
      </w:r>
      <w:r>
        <w:rPr>
          <w:rFonts w:hint="eastAsia" w:ascii="仿宋" w:hAnsi="仿宋" w:eastAsia="仿宋" w:cs="仿宋"/>
          <w:bCs/>
          <w:color w:val="auto"/>
          <w:sz w:val="24"/>
          <w:highlight w:val="none"/>
        </w:rPr>
        <w:t>提交证明材料不真实的，应承担相应的法律责任。</w:t>
      </w:r>
    </w:p>
    <w:p w14:paraId="4B2A6F23">
      <w:pPr>
        <w:pStyle w:val="2"/>
        <w:rPr>
          <w:color w:val="auto"/>
          <w:highlight w:val="none"/>
        </w:rPr>
      </w:pPr>
    </w:p>
    <w:p w14:paraId="0CABDFA6">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4、采购标的的其他技术、服务等要求；</w:t>
      </w:r>
    </w:p>
    <w:p w14:paraId="282C8B9F">
      <w:pPr>
        <w:spacing w:line="360" w:lineRule="auto"/>
        <w:ind w:firstLine="482" w:firstLineChars="200"/>
        <w:contextualSpacing/>
        <w:rPr>
          <w:rFonts w:ascii="仿宋" w:hAnsi="仿宋" w:eastAsia="仿宋" w:cs="仿宋"/>
          <w:b/>
          <w:bCs/>
          <w:color w:val="auto"/>
          <w:sz w:val="24"/>
          <w:highlight w:val="none"/>
        </w:rPr>
      </w:pPr>
      <w:r>
        <w:rPr>
          <w:rFonts w:hint="eastAsia" w:ascii="仿宋" w:hAnsi="仿宋" w:eastAsia="仿宋" w:cs="仿宋"/>
          <w:b/>
          <w:bCs/>
          <w:color w:val="auto"/>
          <w:sz w:val="24"/>
          <w:highlight w:val="none"/>
        </w:rPr>
        <w:t>4.1、项目实施需求：</w:t>
      </w:r>
    </w:p>
    <w:p w14:paraId="3C11D53F">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1）投标人提供针对本项目的实施方案，同时严格按照采购人及合同要求的工期完成安装调试工作。</w:t>
      </w:r>
    </w:p>
    <w:p w14:paraId="27CAE9FE">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2）投标人应当做好安全管理工作，负责货物安装及施工现场的安全。</w:t>
      </w:r>
    </w:p>
    <w:p w14:paraId="6F3811FF">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3）投标人保证提供的货物是全新的未经使用的产品，投标人提供满足技术要求的设备。投标人免费提供全套、完整的中文书面技术资料，包括操作手册等。</w:t>
      </w:r>
    </w:p>
    <w:p w14:paraId="1521B78F">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4）投标人负责货物的运输及全部保险，包括但不限于购买或者要求承运人购买货运保险及其他第三者责任险，并对其在项目现场提供服务、培训的人员进行保险。运输费和保险费包含在合同总价款中。</w:t>
      </w:r>
    </w:p>
    <w:p w14:paraId="3D21EBB2">
      <w:pPr>
        <w:spacing w:line="360" w:lineRule="auto"/>
        <w:ind w:firstLine="482" w:firstLineChars="200"/>
        <w:contextualSpacing/>
        <w:rPr>
          <w:rFonts w:ascii="仿宋" w:hAnsi="仿宋" w:eastAsia="仿宋" w:cs="仿宋"/>
          <w:b/>
          <w:bCs/>
          <w:color w:val="auto"/>
          <w:sz w:val="24"/>
          <w:highlight w:val="none"/>
        </w:rPr>
      </w:pPr>
      <w:r>
        <w:rPr>
          <w:rFonts w:hint="eastAsia" w:ascii="仿宋" w:hAnsi="仿宋" w:eastAsia="仿宋" w:cs="仿宋"/>
          <w:b/>
          <w:bCs/>
          <w:color w:val="auto"/>
          <w:sz w:val="24"/>
          <w:highlight w:val="none"/>
        </w:rPr>
        <w:t>4.2、供货及安装要求</w:t>
      </w:r>
      <w:r>
        <w:rPr>
          <w:rFonts w:hint="eastAsia" w:ascii="仿宋" w:hAnsi="仿宋" w:eastAsia="仿宋" w:cs="仿宋"/>
          <w:b/>
          <w:bCs/>
          <w:color w:val="auto"/>
          <w:sz w:val="24"/>
          <w:highlight w:val="none"/>
        </w:rPr>
        <w:tab/>
      </w:r>
    </w:p>
    <w:p w14:paraId="45E50D3B">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4.2.1、投标人发运货物时，每台设备要提供一整套中文的技术资料，包括安装、操作手册、使用说明、维修保养手册等，这些资料费应包括在投标报价内。如果采购人确认投标人提供的技术资料不完整或在运输过程中丢失，投标人需保证在收到采购人通知后3天内将这些资料免费寄给采购人。</w:t>
      </w:r>
    </w:p>
    <w:p w14:paraId="25EE4E82">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4.2.2、投标人应在保证在接到采购人通知的一周内，自付费用在采购人指定所在地对设备进行安装、调试和试运行，直到该产品的技术指标完全符合合同要求为止。投标人技术人员的费用，如：差旅费、住宿费等应计入投标报价。投标人安装人员应自备必要的专用工具、量具及调试用的材料等。</w:t>
      </w:r>
    </w:p>
    <w:p w14:paraId="66835F12">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4.2.3、投标人所提供的部件之间及设备之间的连线或接插件均视为设备内部部件，应包含在相应的配置中。</w:t>
      </w:r>
    </w:p>
    <w:p w14:paraId="0DCE5A98">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4.2.4、工作条件：除了在技术规格中另有规定外，投标人提供的一切仪器、设备和系统，应符合下列条件：</w:t>
      </w:r>
    </w:p>
    <w:p w14:paraId="4A75A93C">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1）仪器设备的插头要符合中国电工标准。如不符合，则应提供适合仪器插头的插座，必须要有接地。</w:t>
      </w:r>
    </w:p>
    <w:p w14:paraId="744C4BFC">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2）如果仪器设备需特殊的工作条件（如：水、电源、磁场强度、特殊温度、湿度、震动强度等），投标人应在有关投标文件中加以说明。</w:t>
      </w:r>
    </w:p>
    <w:p w14:paraId="287B35D4">
      <w:pPr>
        <w:pStyle w:val="2"/>
        <w:spacing w:line="360" w:lineRule="auto"/>
        <w:contextualSpacing/>
        <w:rPr>
          <w:rFonts w:ascii="仿宋" w:hAnsi="仿宋" w:eastAsia="仿宋" w:cs="仿宋"/>
          <w:bCs/>
          <w:color w:val="auto"/>
          <w:highlight w:val="none"/>
        </w:rPr>
      </w:pPr>
      <w:r>
        <w:rPr>
          <w:rFonts w:hint="eastAsia" w:ascii="仿宋" w:hAnsi="仿宋" w:eastAsia="仿宋" w:cs="仿宋"/>
          <w:bCs/>
          <w:color w:val="auto"/>
          <w:highlight w:val="none"/>
        </w:rPr>
        <w:t>4.2.5、中标人负责本包的设备采购、运输、安装、调试工作。投标人投标报价包括产品费、运输费、应缴纳的税费、验收费、培训费、安装调试费等交付采购人使用的一切费用。</w:t>
      </w:r>
    </w:p>
    <w:p w14:paraId="39FD1BBA">
      <w:pPr>
        <w:pStyle w:val="2"/>
        <w:spacing w:line="360" w:lineRule="auto"/>
        <w:contextualSpacing/>
        <w:rPr>
          <w:rFonts w:ascii="仿宋" w:hAnsi="仿宋" w:eastAsia="仿宋" w:cs="仿宋"/>
          <w:bCs/>
          <w:color w:val="auto"/>
          <w:highlight w:val="none"/>
        </w:rPr>
      </w:pPr>
    </w:p>
    <w:p w14:paraId="4C3BE0A2">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5、需由投标人提供设计方案、解决方案或者组织方案的采购项目，应当说明采购标的的功能、应用场景、目标等基本要求</w:t>
      </w:r>
    </w:p>
    <w:p w14:paraId="1A9DE448">
      <w:pPr>
        <w:pStyle w:val="2"/>
        <w:rPr>
          <w:rFonts w:ascii="仿宋" w:hAnsi="仿宋" w:eastAsia="仿宋"/>
          <w:color w:val="auto"/>
          <w:highlight w:val="none"/>
        </w:rPr>
      </w:pPr>
    </w:p>
    <w:p w14:paraId="72D58CDE">
      <w:pPr>
        <w:snapToGrid w:val="0"/>
        <w:spacing w:line="360" w:lineRule="auto"/>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rPr>
        <w:t>（三）验收标准</w:t>
      </w:r>
    </w:p>
    <w:p w14:paraId="3719CDD9">
      <w:pPr>
        <w:snapToGrid w:val="0"/>
        <w:spacing w:line="360" w:lineRule="auto"/>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rPr>
        <w:t>第3包：</w:t>
      </w:r>
    </w:p>
    <w:p w14:paraId="4C73F192">
      <w:pPr>
        <w:numPr>
          <w:ilvl w:val="255"/>
          <w:numId w:val="0"/>
        </w:num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1、验收内容：设备品牌型号，数量、质量能否满足参数要求，调试是否正常。</w:t>
      </w:r>
    </w:p>
    <w:p w14:paraId="492F7381">
      <w:pPr>
        <w:numPr>
          <w:ilvl w:val="255"/>
          <w:numId w:val="0"/>
        </w:num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2、验收标准：合同约定或国家标准、行业标准、厂标或招标文件的规定，设备产品应经制造商质量检验合格后方可以出厂，产品均需提供合格证明。因设备质量问题引起调试不合格，由中标人无偿调换。</w:t>
      </w:r>
    </w:p>
    <w:p w14:paraId="61B1A1CE">
      <w:pPr>
        <w:snapToGrid w:val="0"/>
        <w:spacing w:line="360" w:lineRule="auto"/>
        <w:ind w:firstLine="480" w:firstLineChars="200"/>
        <w:rPr>
          <w:rFonts w:ascii="仿宋" w:hAnsi="仿宋" w:eastAsia="仿宋" w:cs="仿宋"/>
          <w:bCs/>
          <w:color w:val="auto"/>
          <w:highlight w:val="none"/>
        </w:rPr>
      </w:pPr>
      <w:r>
        <w:rPr>
          <w:rFonts w:hint="eastAsia" w:ascii="仿宋" w:hAnsi="仿宋" w:eastAsia="仿宋" w:cs="仿宋"/>
          <w:bCs/>
          <w:color w:val="auto"/>
          <w:sz w:val="24"/>
          <w:highlight w:val="none"/>
        </w:rPr>
        <w:t>3、中标人所提供和交付的货物应是全新的、未使用过的、完全符合以上质量技术标准的原装正品，且表面无划伤、无碰撞；货物的安装维修，须由专业安装调试人员按照国家现行安装规范来实施。</w:t>
      </w:r>
    </w:p>
    <w:p w14:paraId="3CCB9EDF">
      <w:pPr>
        <w:numPr>
          <w:ilvl w:val="255"/>
          <w:numId w:val="0"/>
        </w:numPr>
        <w:snapToGrid w:val="0"/>
        <w:spacing w:line="360" w:lineRule="auto"/>
        <w:ind w:firstLine="482" w:firstLineChars="200"/>
        <w:rPr>
          <w:rFonts w:ascii="仿宋" w:hAnsi="仿宋" w:eastAsia="仿宋" w:cs="仿宋"/>
          <w:b/>
          <w:bCs/>
          <w:color w:val="auto"/>
          <w:sz w:val="24"/>
          <w:highlight w:val="none"/>
        </w:rPr>
      </w:pPr>
    </w:p>
    <w:p w14:paraId="2AA9E173">
      <w:pPr>
        <w:numPr>
          <w:ilvl w:val="255"/>
          <w:numId w:val="0"/>
        </w:numPr>
        <w:snapToGrid w:val="0"/>
        <w:spacing w:line="360" w:lineRule="auto"/>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rPr>
        <w:t>（四）其他要求</w:t>
      </w:r>
    </w:p>
    <w:p w14:paraId="47B9AA38">
      <w:pPr>
        <w:numPr>
          <w:ilvl w:val="255"/>
          <w:numId w:val="0"/>
        </w:num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无。</w:t>
      </w:r>
    </w:p>
    <w:p w14:paraId="203ADF81">
      <w:pPr>
        <w:rPr>
          <w:rFonts w:hint="eastAsia"/>
          <w:color w:val="auto"/>
          <w:highlight w:val="none"/>
          <w:lang w:val="en-US" w:eastAsia="zh-CN"/>
        </w:rPr>
      </w:pPr>
      <w:r>
        <w:rPr>
          <w:rFonts w:hint="eastAsia"/>
          <w:color w:val="auto"/>
          <w:highlight w:val="none"/>
          <w:lang w:val="en-US" w:eastAsia="zh-CN"/>
        </w:rPr>
        <w:br w:type="page"/>
      </w:r>
    </w:p>
    <w:p w14:paraId="5383F8B6">
      <w:pPr>
        <w:spacing w:line="360" w:lineRule="auto"/>
        <w:contextualSpacing/>
        <w:jc w:val="center"/>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第4包</w:t>
      </w:r>
    </w:p>
    <w:p w14:paraId="61926104">
      <w:pPr>
        <w:snapToGrid w:val="0"/>
        <w:spacing w:line="360" w:lineRule="auto"/>
        <w:jc w:val="center"/>
        <w:outlineLvl w:val="0"/>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第五章   采购需求</w:t>
      </w:r>
    </w:p>
    <w:p w14:paraId="0E30212F">
      <w:pPr>
        <w:snapToGrid w:val="0"/>
        <w:spacing w:line="360" w:lineRule="auto"/>
        <w:contextualSpacing/>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说明：</w:t>
      </w:r>
    </w:p>
    <w:p w14:paraId="38A0259D">
      <w:pPr>
        <w:snapToGrid w:val="0"/>
        <w:spacing w:line="360" w:lineRule="auto"/>
        <w:contextualSpacing/>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 当采购项目涉及政务信息系统时，采购需求应当符合《政务信息系统政府采购管理暂行办法》（财库〔2017〕210号）的相关要求。</w:t>
      </w:r>
    </w:p>
    <w:p w14:paraId="134185A7">
      <w:pPr>
        <w:snapToGrid w:val="0"/>
        <w:spacing w:line="360" w:lineRule="auto"/>
        <w:contextualSpacing/>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 采购人及采购代理机构应关注财政部门会同有关部门制定发布的需求标准，结合具体应用场景，根据对应《需求标准》确定采购需求。</w:t>
      </w:r>
    </w:p>
    <w:p w14:paraId="247CC111">
      <w:pPr>
        <w:snapToGrid w:val="0"/>
        <w:spacing w:line="360" w:lineRule="auto"/>
        <w:contextualSpacing/>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已发布的需求标准如下：</w:t>
      </w:r>
    </w:p>
    <w:p w14:paraId="3B1AAFBD">
      <w:pPr>
        <w:snapToGrid w:val="0"/>
        <w:spacing w:line="360" w:lineRule="auto"/>
        <w:contextualSpacing/>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《关于印发〈商品包装政府采购需求标准（试行）〉、〈快递包装政府采购需求标准（试行）〉的通知》（财办库﹝2020﹞123号））</w:t>
      </w:r>
    </w:p>
    <w:p w14:paraId="7AA55E7E">
      <w:pPr>
        <w:pStyle w:val="270"/>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《绿色数据中心政府采购需求标准（试行）》（财库〔2023〕7号）</w:t>
      </w:r>
    </w:p>
    <w:p w14:paraId="72B24B56">
      <w:pPr>
        <w:pStyle w:val="270"/>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《台式计算机政府采购需求标准（2023年版）》（财库〔2023〕29号）</w:t>
      </w:r>
    </w:p>
    <w:p w14:paraId="7F5C3B23">
      <w:pPr>
        <w:pStyle w:val="270"/>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《便携式计算机政府采购需求标准（2023年版）》（财库〔2023〕30号）</w:t>
      </w:r>
    </w:p>
    <w:p w14:paraId="19AC28E5">
      <w:pPr>
        <w:pStyle w:val="270"/>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《一体式计算机政府采购需求标准（2023年版）》（财库〔2023〕31号）</w:t>
      </w:r>
    </w:p>
    <w:p w14:paraId="2762E6D1">
      <w:pPr>
        <w:pStyle w:val="270"/>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《工作站政府采购需求标准（2023年版）》（财库〔2023〕32号）</w:t>
      </w:r>
    </w:p>
    <w:p w14:paraId="70669B28">
      <w:pPr>
        <w:pStyle w:val="270"/>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《通用服务器政府采购需求标准（2023年版）》（财库〔2023〕33号）</w:t>
      </w:r>
    </w:p>
    <w:p w14:paraId="6B6E008E">
      <w:pPr>
        <w:pStyle w:val="270"/>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《操作系统政府采购需求标准（2023年版）》（财库〔2023〕34号）</w:t>
      </w:r>
    </w:p>
    <w:p w14:paraId="053BD17E">
      <w:pPr>
        <w:pStyle w:val="270"/>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《数据库政府采购需求标准（2023年版）》（财库〔2023〕35号）</w:t>
      </w:r>
    </w:p>
    <w:p w14:paraId="67D81951">
      <w:pPr>
        <w:pStyle w:val="270"/>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《物业管理服务政府采购需求标准（办公场所类）（试行）》（财办库〔2024〕113号）</w:t>
      </w:r>
    </w:p>
    <w:p w14:paraId="42A761D0">
      <w:pPr>
        <w:snapToGrid w:val="0"/>
        <w:spacing w:line="360" w:lineRule="auto"/>
        <w:contextualSpacing/>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如有更新或增加，以财政部门发布为准。</w:t>
      </w:r>
    </w:p>
    <w:p w14:paraId="5C10387B">
      <w:pPr>
        <w:widowControl/>
        <w:snapToGrid w:val="0"/>
        <w:spacing w:line="360" w:lineRule="auto"/>
        <w:jc w:val="left"/>
        <w:rPr>
          <w:rFonts w:ascii="仿宋" w:hAnsi="仿宋" w:eastAsia="仿宋" w:cs="仿宋"/>
          <w:b/>
          <w:color w:val="auto"/>
          <w:sz w:val="28"/>
          <w:szCs w:val="28"/>
          <w:highlight w:val="none"/>
        </w:rPr>
      </w:pPr>
      <w:r>
        <w:rPr>
          <w:rFonts w:ascii="仿宋" w:hAnsi="仿宋" w:eastAsia="仿宋" w:cs="仿宋"/>
          <w:b/>
          <w:color w:val="auto"/>
          <w:sz w:val="28"/>
          <w:szCs w:val="28"/>
          <w:highlight w:val="none"/>
        </w:rPr>
        <w:br w:type="page"/>
      </w:r>
    </w:p>
    <w:p w14:paraId="7F459755">
      <w:pPr>
        <w:snapToGrid w:val="0"/>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一、采购标的</w:t>
      </w:r>
    </w:p>
    <w:p w14:paraId="21D94C64">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（一）采购标的（货物需求一览表或简要服务内容及数量）</w:t>
      </w:r>
    </w:p>
    <w:tbl>
      <w:tblPr>
        <w:tblStyle w:val="4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9"/>
        <w:gridCol w:w="1232"/>
        <w:gridCol w:w="3351"/>
        <w:gridCol w:w="879"/>
        <w:gridCol w:w="863"/>
        <w:gridCol w:w="1184"/>
      </w:tblGrid>
      <w:tr w14:paraId="44E66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597" w:type="pct"/>
            <w:vAlign w:val="center"/>
          </w:tcPr>
          <w:p w14:paraId="6B7DF93A">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包号</w:t>
            </w:r>
          </w:p>
        </w:tc>
        <w:tc>
          <w:tcPr>
            <w:tcW w:w="722" w:type="pct"/>
            <w:vAlign w:val="center"/>
          </w:tcPr>
          <w:p w14:paraId="3D5B6F5E">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品目号</w:t>
            </w:r>
          </w:p>
        </w:tc>
        <w:tc>
          <w:tcPr>
            <w:tcW w:w="1964" w:type="pct"/>
            <w:tcBorders>
              <w:bottom w:val="single" w:color="auto" w:sz="4" w:space="0"/>
            </w:tcBorders>
            <w:vAlign w:val="center"/>
          </w:tcPr>
          <w:p w14:paraId="625D7BC4">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标的名称</w:t>
            </w:r>
          </w:p>
        </w:tc>
        <w:tc>
          <w:tcPr>
            <w:tcW w:w="515" w:type="pct"/>
            <w:vAlign w:val="center"/>
          </w:tcPr>
          <w:p w14:paraId="01ED2D97">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数量</w:t>
            </w:r>
          </w:p>
        </w:tc>
        <w:tc>
          <w:tcPr>
            <w:tcW w:w="506" w:type="pct"/>
            <w:vAlign w:val="center"/>
          </w:tcPr>
          <w:p w14:paraId="10F7D68E">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单位</w:t>
            </w:r>
          </w:p>
        </w:tc>
        <w:tc>
          <w:tcPr>
            <w:tcW w:w="694" w:type="pct"/>
            <w:vAlign w:val="center"/>
          </w:tcPr>
          <w:p w14:paraId="2EAFBFCF">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是否接受进口产品</w:t>
            </w:r>
          </w:p>
        </w:tc>
      </w:tr>
      <w:tr w14:paraId="3B106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restart"/>
            <w:noWrap/>
            <w:vAlign w:val="center"/>
          </w:tcPr>
          <w:p w14:paraId="52CE5D1A">
            <w:pPr>
              <w:spacing w:before="120"/>
              <w:contextualSpacing/>
              <w:jc w:val="center"/>
              <w:rPr>
                <w:rFonts w:ascii="仿宋" w:hAnsi="仿宋" w:eastAsia="仿宋"/>
                <w:color w:val="auto"/>
                <w:sz w:val="24"/>
                <w:highlight w:val="none"/>
              </w:rPr>
            </w:pPr>
            <w:r>
              <w:rPr>
                <w:rFonts w:hint="eastAsia" w:ascii="仿宋" w:hAnsi="仿宋" w:eastAsia="仿宋"/>
                <w:color w:val="auto"/>
                <w:sz w:val="24"/>
                <w:highlight w:val="none"/>
              </w:rPr>
              <w:t>4</w:t>
            </w:r>
          </w:p>
        </w:tc>
        <w:tc>
          <w:tcPr>
            <w:tcW w:w="722" w:type="pct"/>
            <w:vAlign w:val="center"/>
          </w:tcPr>
          <w:p w14:paraId="7F1B1378">
            <w:pPr>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4-1</w:t>
            </w:r>
          </w:p>
        </w:tc>
        <w:tc>
          <w:tcPr>
            <w:tcW w:w="1964" w:type="pct"/>
            <w:vAlign w:val="center"/>
          </w:tcPr>
          <w:p w14:paraId="07E5D237">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消火栓箱体内灭火器</w:t>
            </w:r>
          </w:p>
        </w:tc>
        <w:tc>
          <w:tcPr>
            <w:tcW w:w="515" w:type="pct"/>
            <w:vAlign w:val="center"/>
          </w:tcPr>
          <w:p w14:paraId="765FF832">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3900</w:t>
            </w:r>
          </w:p>
        </w:tc>
        <w:tc>
          <w:tcPr>
            <w:tcW w:w="506" w:type="pct"/>
            <w:vAlign w:val="center"/>
          </w:tcPr>
          <w:p w14:paraId="33181AA7">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694" w:type="pct"/>
            <w:vAlign w:val="center"/>
          </w:tcPr>
          <w:p w14:paraId="7D74DC61">
            <w:pPr>
              <w:jc w:val="center"/>
              <w:rPr>
                <w:color w:val="auto"/>
                <w:highlight w:val="none"/>
              </w:rPr>
            </w:pPr>
            <w:r>
              <w:rPr>
                <w:rFonts w:hint="eastAsia" w:ascii="仿宋" w:hAnsi="仿宋" w:eastAsia="仿宋" w:cs="宋体"/>
                <w:color w:val="auto"/>
                <w:kern w:val="0"/>
                <w:sz w:val="24"/>
                <w:highlight w:val="none"/>
                <w:lang w:bidi="ar"/>
              </w:rPr>
              <w:t>否</w:t>
            </w:r>
          </w:p>
        </w:tc>
      </w:tr>
      <w:tr w14:paraId="527EC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264D4ECD">
            <w:pPr>
              <w:spacing w:before="120"/>
              <w:contextualSpacing/>
              <w:jc w:val="center"/>
              <w:rPr>
                <w:rFonts w:ascii="仿宋" w:hAnsi="仿宋" w:eastAsia="仿宋"/>
                <w:color w:val="auto"/>
                <w:sz w:val="24"/>
                <w:highlight w:val="none"/>
              </w:rPr>
            </w:pPr>
          </w:p>
        </w:tc>
        <w:tc>
          <w:tcPr>
            <w:tcW w:w="722" w:type="pct"/>
            <w:vAlign w:val="center"/>
          </w:tcPr>
          <w:p w14:paraId="1F194A7B">
            <w:pPr>
              <w:jc w:val="center"/>
              <w:rPr>
                <w:color w:val="auto"/>
                <w:highlight w:val="none"/>
              </w:rPr>
            </w:pPr>
            <w:r>
              <w:rPr>
                <w:rFonts w:hint="eastAsia" w:ascii="仿宋" w:hAnsi="仿宋" w:eastAsia="仿宋" w:cs="宋体"/>
                <w:color w:val="auto"/>
                <w:kern w:val="0"/>
                <w:sz w:val="24"/>
                <w:highlight w:val="none"/>
              </w:rPr>
              <w:t>4-2</w:t>
            </w:r>
          </w:p>
        </w:tc>
        <w:tc>
          <w:tcPr>
            <w:tcW w:w="1964" w:type="pct"/>
            <w:vAlign w:val="center"/>
          </w:tcPr>
          <w:p w14:paraId="290B5D7B">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干粉灭火器</w:t>
            </w:r>
          </w:p>
        </w:tc>
        <w:tc>
          <w:tcPr>
            <w:tcW w:w="515" w:type="pct"/>
            <w:vAlign w:val="center"/>
          </w:tcPr>
          <w:p w14:paraId="6AEDA695">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300</w:t>
            </w:r>
          </w:p>
        </w:tc>
        <w:tc>
          <w:tcPr>
            <w:tcW w:w="506" w:type="pct"/>
            <w:vAlign w:val="center"/>
          </w:tcPr>
          <w:p w14:paraId="0885A95F">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具</w:t>
            </w:r>
          </w:p>
        </w:tc>
        <w:tc>
          <w:tcPr>
            <w:tcW w:w="694" w:type="pct"/>
            <w:vAlign w:val="center"/>
          </w:tcPr>
          <w:p w14:paraId="353D41F2">
            <w:pPr>
              <w:jc w:val="center"/>
              <w:rPr>
                <w:color w:val="auto"/>
                <w:highlight w:val="none"/>
              </w:rPr>
            </w:pPr>
            <w:r>
              <w:rPr>
                <w:rFonts w:hint="eastAsia" w:ascii="仿宋" w:hAnsi="仿宋" w:eastAsia="仿宋" w:cs="宋体"/>
                <w:color w:val="auto"/>
                <w:kern w:val="0"/>
                <w:sz w:val="24"/>
                <w:highlight w:val="none"/>
                <w:lang w:bidi="ar"/>
              </w:rPr>
              <w:t>否</w:t>
            </w:r>
          </w:p>
        </w:tc>
      </w:tr>
      <w:tr w14:paraId="63D19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22A350CC">
            <w:pPr>
              <w:spacing w:before="120"/>
              <w:contextualSpacing/>
              <w:jc w:val="center"/>
              <w:rPr>
                <w:rFonts w:ascii="仿宋" w:hAnsi="仿宋" w:eastAsia="仿宋"/>
                <w:color w:val="auto"/>
                <w:sz w:val="24"/>
                <w:highlight w:val="none"/>
              </w:rPr>
            </w:pPr>
          </w:p>
        </w:tc>
        <w:tc>
          <w:tcPr>
            <w:tcW w:w="722" w:type="pct"/>
            <w:vAlign w:val="center"/>
          </w:tcPr>
          <w:p w14:paraId="001B7B11">
            <w:pPr>
              <w:jc w:val="center"/>
              <w:rPr>
                <w:color w:val="auto"/>
                <w:highlight w:val="none"/>
              </w:rPr>
            </w:pPr>
            <w:r>
              <w:rPr>
                <w:rFonts w:hint="eastAsia" w:ascii="仿宋" w:hAnsi="仿宋" w:eastAsia="仿宋" w:cs="宋体"/>
                <w:color w:val="auto"/>
                <w:kern w:val="0"/>
                <w:sz w:val="24"/>
                <w:highlight w:val="none"/>
              </w:rPr>
              <w:t>4-3</w:t>
            </w:r>
          </w:p>
        </w:tc>
        <w:tc>
          <w:tcPr>
            <w:tcW w:w="1964" w:type="pct"/>
            <w:vAlign w:val="center"/>
          </w:tcPr>
          <w:p w14:paraId="7393F8D9">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二氧化碳灭火器</w:t>
            </w:r>
          </w:p>
        </w:tc>
        <w:tc>
          <w:tcPr>
            <w:tcW w:w="515" w:type="pct"/>
            <w:vAlign w:val="center"/>
          </w:tcPr>
          <w:p w14:paraId="0F426069">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800</w:t>
            </w:r>
          </w:p>
        </w:tc>
        <w:tc>
          <w:tcPr>
            <w:tcW w:w="506" w:type="pct"/>
            <w:vAlign w:val="center"/>
          </w:tcPr>
          <w:p w14:paraId="41D69207">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具</w:t>
            </w:r>
          </w:p>
        </w:tc>
        <w:tc>
          <w:tcPr>
            <w:tcW w:w="694" w:type="pct"/>
            <w:vAlign w:val="center"/>
          </w:tcPr>
          <w:p w14:paraId="2A7D1549">
            <w:pPr>
              <w:jc w:val="center"/>
              <w:rPr>
                <w:color w:val="auto"/>
                <w:highlight w:val="none"/>
              </w:rPr>
            </w:pPr>
            <w:r>
              <w:rPr>
                <w:rFonts w:hint="eastAsia" w:ascii="仿宋" w:hAnsi="仿宋" w:eastAsia="仿宋" w:cs="宋体"/>
                <w:color w:val="auto"/>
                <w:kern w:val="0"/>
                <w:sz w:val="24"/>
                <w:highlight w:val="none"/>
                <w:lang w:bidi="ar"/>
              </w:rPr>
              <w:t>否</w:t>
            </w:r>
          </w:p>
        </w:tc>
      </w:tr>
      <w:tr w14:paraId="6DF5B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42801251">
            <w:pPr>
              <w:spacing w:before="120"/>
              <w:contextualSpacing/>
              <w:jc w:val="center"/>
              <w:rPr>
                <w:rFonts w:ascii="仿宋" w:hAnsi="仿宋" w:eastAsia="仿宋"/>
                <w:color w:val="auto"/>
                <w:sz w:val="24"/>
                <w:highlight w:val="none"/>
              </w:rPr>
            </w:pPr>
          </w:p>
        </w:tc>
        <w:tc>
          <w:tcPr>
            <w:tcW w:w="722" w:type="pct"/>
            <w:vAlign w:val="center"/>
          </w:tcPr>
          <w:p w14:paraId="4A6A1C63">
            <w:pPr>
              <w:jc w:val="center"/>
              <w:rPr>
                <w:color w:val="auto"/>
                <w:highlight w:val="none"/>
              </w:rPr>
            </w:pPr>
            <w:r>
              <w:rPr>
                <w:rFonts w:hint="eastAsia" w:ascii="仿宋" w:hAnsi="仿宋" w:eastAsia="仿宋" w:cs="宋体"/>
                <w:color w:val="auto"/>
                <w:kern w:val="0"/>
                <w:sz w:val="24"/>
                <w:highlight w:val="none"/>
              </w:rPr>
              <w:t>4-4</w:t>
            </w:r>
          </w:p>
        </w:tc>
        <w:tc>
          <w:tcPr>
            <w:tcW w:w="1964" w:type="pct"/>
            <w:vAlign w:val="center"/>
          </w:tcPr>
          <w:p w14:paraId="7D232A91">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水基灭火器</w:t>
            </w:r>
          </w:p>
        </w:tc>
        <w:tc>
          <w:tcPr>
            <w:tcW w:w="515" w:type="pct"/>
            <w:vAlign w:val="center"/>
          </w:tcPr>
          <w:p w14:paraId="786E3F6D">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212</w:t>
            </w:r>
          </w:p>
        </w:tc>
        <w:tc>
          <w:tcPr>
            <w:tcW w:w="506" w:type="pct"/>
            <w:vAlign w:val="center"/>
          </w:tcPr>
          <w:p w14:paraId="168B65F5">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具</w:t>
            </w:r>
          </w:p>
        </w:tc>
        <w:tc>
          <w:tcPr>
            <w:tcW w:w="694" w:type="pct"/>
            <w:vAlign w:val="center"/>
          </w:tcPr>
          <w:p w14:paraId="034921CE">
            <w:pPr>
              <w:jc w:val="center"/>
              <w:rPr>
                <w:color w:val="auto"/>
                <w:highlight w:val="none"/>
              </w:rPr>
            </w:pPr>
            <w:r>
              <w:rPr>
                <w:rFonts w:hint="eastAsia" w:ascii="仿宋" w:hAnsi="仿宋" w:eastAsia="仿宋" w:cs="宋体"/>
                <w:color w:val="auto"/>
                <w:kern w:val="0"/>
                <w:sz w:val="24"/>
                <w:highlight w:val="none"/>
                <w:lang w:bidi="ar"/>
              </w:rPr>
              <w:t>否</w:t>
            </w:r>
          </w:p>
        </w:tc>
      </w:tr>
      <w:tr w14:paraId="312FC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2C270B17">
            <w:pPr>
              <w:spacing w:before="120"/>
              <w:contextualSpacing/>
              <w:jc w:val="center"/>
              <w:rPr>
                <w:rFonts w:ascii="仿宋" w:hAnsi="仿宋" w:eastAsia="仿宋"/>
                <w:color w:val="auto"/>
                <w:sz w:val="24"/>
                <w:highlight w:val="none"/>
              </w:rPr>
            </w:pPr>
          </w:p>
        </w:tc>
        <w:tc>
          <w:tcPr>
            <w:tcW w:w="722" w:type="pct"/>
            <w:vAlign w:val="center"/>
          </w:tcPr>
          <w:p w14:paraId="642C2C5D">
            <w:pPr>
              <w:jc w:val="center"/>
              <w:rPr>
                <w:color w:val="auto"/>
                <w:highlight w:val="none"/>
              </w:rPr>
            </w:pPr>
            <w:r>
              <w:rPr>
                <w:rFonts w:hint="eastAsia" w:ascii="仿宋" w:hAnsi="仿宋" w:eastAsia="仿宋" w:cs="宋体"/>
                <w:color w:val="auto"/>
                <w:kern w:val="0"/>
                <w:sz w:val="24"/>
                <w:highlight w:val="none"/>
              </w:rPr>
              <w:t>4-5</w:t>
            </w:r>
          </w:p>
        </w:tc>
        <w:tc>
          <w:tcPr>
            <w:tcW w:w="1964" w:type="pct"/>
            <w:vAlign w:val="center"/>
          </w:tcPr>
          <w:p w14:paraId="707D440C">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5*2灭火器箱</w:t>
            </w:r>
          </w:p>
        </w:tc>
        <w:tc>
          <w:tcPr>
            <w:tcW w:w="515" w:type="pct"/>
            <w:vAlign w:val="center"/>
          </w:tcPr>
          <w:p w14:paraId="2D9D3B51">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550</w:t>
            </w:r>
          </w:p>
        </w:tc>
        <w:tc>
          <w:tcPr>
            <w:tcW w:w="506" w:type="pct"/>
            <w:vAlign w:val="center"/>
          </w:tcPr>
          <w:p w14:paraId="4E62B217">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个</w:t>
            </w:r>
          </w:p>
        </w:tc>
        <w:tc>
          <w:tcPr>
            <w:tcW w:w="694" w:type="pct"/>
            <w:vAlign w:val="center"/>
          </w:tcPr>
          <w:p w14:paraId="6822D4C4">
            <w:pPr>
              <w:jc w:val="center"/>
              <w:rPr>
                <w:color w:val="auto"/>
                <w:highlight w:val="none"/>
              </w:rPr>
            </w:pPr>
            <w:r>
              <w:rPr>
                <w:rFonts w:hint="eastAsia" w:ascii="仿宋" w:hAnsi="仿宋" w:eastAsia="仿宋" w:cs="宋体"/>
                <w:color w:val="auto"/>
                <w:kern w:val="0"/>
                <w:sz w:val="24"/>
                <w:highlight w:val="none"/>
                <w:lang w:bidi="ar"/>
              </w:rPr>
              <w:t>否</w:t>
            </w:r>
          </w:p>
        </w:tc>
      </w:tr>
      <w:tr w14:paraId="6695F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0CF8C1BE">
            <w:pPr>
              <w:spacing w:before="120"/>
              <w:contextualSpacing/>
              <w:jc w:val="center"/>
              <w:rPr>
                <w:rFonts w:ascii="仿宋" w:hAnsi="仿宋" w:eastAsia="仿宋"/>
                <w:color w:val="auto"/>
                <w:sz w:val="24"/>
                <w:highlight w:val="none"/>
              </w:rPr>
            </w:pPr>
          </w:p>
        </w:tc>
        <w:tc>
          <w:tcPr>
            <w:tcW w:w="722" w:type="pct"/>
            <w:vAlign w:val="center"/>
          </w:tcPr>
          <w:p w14:paraId="462FCF6A">
            <w:pPr>
              <w:jc w:val="center"/>
              <w:rPr>
                <w:color w:val="auto"/>
                <w:highlight w:val="none"/>
              </w:rPr>
            </w:pPr>
            <w:r>
              <w:rPr>
                <w:rFonts w:hint="eastAsia" w:ascii="仿宋" w:hAnsi="仿宋" w:eastAsia="仿宋" w:cs="宋体"/>
                <w:color w:val="auto"/>
                <w:kern w:val="0"/>
                <w:sz w:val="24"/>
                <w:highlight w:val="none"/>
              </w:rPr>
              <w:t>4-6</w:t>
            </w:r>
          </w:p>
        </w:tc>
        <w:tc>
          <w:tcPr>
            <w:tcW w:w="1964" w:type="pct"/>
            <w:vAlign w:val="center"/>
          </w:tcPr>
          <w:p w14:paraId="531889B6">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5*4灭火器箱</w:t>
            </w:r>
          </w:p>
        </w:tc>
        <w:tc>
          <w:tcPr>
            <w:tcW w:w="515" w:type="pct"/>
            <w:vAlign w:val="center"/>
          </w:tcPr>
          <w:p w14:paraId="7FEA06B5">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50</w:t>
            </w:r>
          </w:p>
        </w:tc>
        <w:tc>
          <w:tcPr>
            <w:tcW w:w="506" w:type="pct"/>
            <w:vAlign w:val="center"/>
          </w:tcPr>
          <w:p w14:paraId="0C601541">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个</w:t>
            </w:r>
          </w:p>
        </w:tc>
        <w:tc>
          <w:tcPr>
            <w:tcW w:w="694" w:type="pct"/>
            <w:vAlign w:val="center"/>
          </w:tcPr>
          <w:p w14:paraId="2088DCD7">
            <w:pPr>
              <w:jc w:val="center"/>
              <w:rPr>
                <w:color w:val="auto"/>
                <w:highlight w:val="none"/>
              </w:rPr>
            </w:pPr>
            <w:r>
              <w:rPr>
                <w:rFonts w:hint="eastAsia" w:ascii="仿宋" w:hAnsi="仿宋" w:eastAsia="仿宋" w:cs="宋体"/>
                <w:color w:val="auto"/>
                <w:kern w:val="0"/>
                <w:sz w:val="24"/>
                <w:highlight w:val="none"/>
                <w:lang w:bidi="ar"/>
              </w:rPr>
              <w:t>否</w:t>
            </w:r>
          </w:p>
        </w:tc>
      </w:tr>
      <w:tr w14:paraId="21F05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6826B126">
            <w:pPr>
              <w:spacing w:before="120"/>
              <w:contextualSpacing/>
              <w:jc w:val="center"/>
              <w:rPr>
                <w:rFonts w:ascii="仿宋" w:hAnsi="仿宋" w:eastAsia="仿宋"/>
                <w:color w:val="auto"/>
                <w:sz w:val="24"/>
                <w:highlight w:val="none"/>
              </w:rPr>
            </w:pPr>
          </w:p>
        </w:tc>
        <w:tc>
          <w:tcPr>
            <w:tcW w:w="722" w:type="pct"/>
            <w:vAlign w:val="center"/>
          </w:tcPr>
          <w:p w14:paraId="0F04CCB7">
            <w:pPr>
              <w:jc w:val="center"/>
              <w:rPr>
                <w:color w:val="auto"/>
                <w:highlight w:val="none"/>
              </w:rPr>
            </w:pPr>
            <w:r>
              <w:rPr>
                <w:rFonts w:hint="eastAsia" w:ascii="仿宋" w:hAnsi="仿宋" w:eastAsia="仿宋" w:cs="宋体"/>
                <w:color w:val="auto"/>
                <w:kern w:val="0"/>
                <w:sz w:val="24"/>
                <w:highlight w:val="none"/>
              </w:rPr>
              <w:t>4-7</w:t>
            </w:r>
          </w:p>
        </w:tc>
        <w:tc>
          <w:tcPr>
            <w:tcW w:w="1964" w:type="pct"/>
            <w:vAlign w:val="center"/>
          </w:tcPr>
          <w:p w14:paraId="1958FC2E">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应急包</w:t>
            </w:r>
          </w:p>
        </w:tc>
        <w:tc>
          <w:tcPr>
            <w:tcW w:w="515" w:type="pct"/>
            <w:vAlign w:val="center"/>
          </w:tcPr>
          <w:p w14:paraId="3A924C0B">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6</w:t>
            </w:r>
          </w:p>
        </w:tc>
        <w:tc>
          <w:tcPr>
            <w:tcW w:w="506" w:type="pct"/>
            <w:vAlign w:val="center"/>
          </w:tcPr>
          <w:p w14:paraId="42BA1C12">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个</w:t>
            </w:r>
          </w:p>
        </w:tc>
        <w:tc>
          <w:tcPr>
            <w:tcW w:w="694" w:type="pct"/>
            <w:vAlign w:val="center"/>
          </w:tcPr>
          <w:p w14:paraId="253DA13D">
            <w:pPr>
              <w:jc w:val="center"/>
              <w:rPr>
                <w:color w:val="auto"/>
                <w:highlight w:val="none"/>
              </w:rPr>
            </w:pPr>
            <w:r>
              <w:rPr>
                <w:rFonts w:hint="eastAsia" w:ascii="仿宋" w:hAnsi="仿宋" w:eastAsia="仿宋" w:cs="宋体"/>
                <w:color w:val="auto"/>
                <w:kern w:val="0"/>
                <w:sz w:val="24"/>
                <w:highlight w:val="none"/>
                <w:lang w:bidi="ar"/>
              </w:rPr>
              <w:t>否</w:t>
            </w:r>
          </w:p>
        </w:tc>
      </w:tr>
      <w:tr w14:paraId="0CEEA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55601B74">
            <w:pPr>
              <w:spacing w:before="120"/>
              <w:contextualSpacing/>
              <w:jc w:val="center"/>
              <w:rPr>
                <w:rFonts w:ascii="仿宋" w:hAnsi="仿宋" w:eastAsia="仿宋"/>
                <w:color w:val="auto"/>
                <w:sz w:val="24"/>
                <w:highlight w:val="none"/>
              </w:rPr>
            </w:pPr>
          </w:p>
        </w:tc>
        <w:tc>
          <w:tcPr>
            <w:tcW w:w="722" w:type="pct"/>
            <w:vAlign w:val="center"/>
          </w:tcPr>
          <w:p w14:paraId="5986FA19">
            <w:pPr>
              <w:jc w:val="center"/>
              <w:rPr>
                <w:color w:val="auto"/>
                <w:highlight w:val="none"/>
              </w:rPr>
            </w:pPr>
            <w:r>
              <w:rPr>
                <w:rFonts w:hint="eastAsia" w:ascii="仿宋" w:hAnsi="仿宋" w:eastAsia="仿宋" w:cs="宋体"/>
                <w:color w:val="auto"/>
                <w:kern w:val="0"/>
                <w:sz w:val="24"/>
                <w:highlight w:val="none"/>
              </w:rPr>
              <w:t>4-8</w:t>
            </w:r>
          </w:p>
        </w:tc>
        <w:tc>
          <w:tcPr>
            <w:tcW w:w="1964" w:type="pct"/>
            <w:vAlign w:val="center"/>
          </w:tcPr>
          <w:p w14:paraId="5E6C3AFE">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消防呼救器</w:t>
            </w:r>
          </w:p>
        </w:tc>
        <w:tc>
          <w:tcPr>
            <w:tcW w:w="515" w:type="pct"/>
            <w:vAlign w:val="center"/>
          </w:tcPr>
          <w:p w14:paraId="3C286A41">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12</w:t>
            </w:r>
          </w:p>
        </w:tc>
        <w:tc>
          <w:tcPr>
            <w:tcW w:w="506" w:type="pct"/>
            <w:vAlign w:val="center"/>
          </w:tcPr>
          <w:p w14:paraId="6863CBF4">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个</w:t>
            </w:r>
          </w:p>
        </w:tc>
        <w:tc>
          <w:tcPr>
            <w:tcW w:w="694" w:type="pct"/>
            <w:vAlign w:val="center"/>
          </w:tcPr>
          <w:p w14:paraId="0BFDDED7">
            <w:pPr>
              <w:jc w:val="center"/>
              <w:rPr>
                <w:color w:val="auto"/>
                <w:highlight w:val="none"/>
              </w:rPr>
            </w:pPr>
            <w:r>
              <w:rPr>
                <w:rFonts w:hint="eastAsia" w:ascii="仿宋" w:hAnsi="仿宋" w:eastAsia="仿宋" w:cs="宋体"/>
                <w:color w:val="auto"/>
                <w:kern w:val="0"/>
                <w:sz w:val="24"/>
                <w:highlight w:val="none"/>
                <w:lang w:bidi="ar"/>
              </w:rPr>
              <w:t>否</w:t>
            </w:r>
          </w:p>
        </w:tc>
      </w:tr>
      <w:tr w14:paraId="778E7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42CEBD7B">
            <w:pPr>
              <w:spacing w:before="120"/>
              <w:contextualSpacing/>
              <w:jc w:val="center"/>
              <w:rPr>
                <w:rFonts w:ascii="仿宋" w:hAnsi="仿宋" w:eastAsia="仿宋"/>
                <w:color w:val="auto"/>
                <w:sz w:val="24"/>
                <w:highlight w:val="none"/>
              </w:rPr>
            </w:pPr>
          </w:p>
        </w:tc>
        <w:tc>
          <w:tcPr>
            <w:tcW w:w="722" w:type="pct"/>
            <w:vAlign w:val="center"/>
          </w:tcPr>
          <w:p w14:paraId="736C404E">
            <w:pPr>
              <w:jc w:val="center"/>
              <w:rPr>
                <w:color w:val="auto"/>
                <w:highlight w:val="none"/>
              </w:rPr>
            </w:pPr>
            <w:r>
              <w:rPr>
                <w:rFonts w:hint="eastAsia" w:ascii="仿宋" w:hAnsi="仿宋" w:eastAsia="仿宋" w:cs="宋体"/>
                <w:color w:val="auto"/>
                <w:kern w:val="0"/>
                <w:sz w:val="24"/>
                <w:highlight w:val="none"/>
              </w:rPr>
              <w:t>4-9</w:t>
            </w:r>
          </w:p>
        </w:tc>
        <w:tc>
          <w:tcPr>
            <w:tcW w:w="1964" w:type="pct"/>
            <w:vAlign w:val="center"/>
          </w:tcPr>
          <w:p w14:paraId="43DF0644">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消防水带</w:t>
            </w:r>
          </w:p>
        </w:tc>
        <w:tc>
          <w:tcPr>
            <w:tcW w:w="515" w:type="pct"/>
            <w:vAlign w:val="center"/>
          </w:tcPr>
          <w:p w14:paraId="70875AE3">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6</w:t>
            </w:r>
          </w:p>
        </w:tc>
        <w:tc>
          <w:tcPr>
            <w:tcW w:w="506" w:type="pct"/>
            <w:vAlign w:val="center"/>
          </w:tcPr>
          <w:p w14:paraId="4A55120B">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条</w:t>
            </w:r>
          </w:p>
        </w:tc>
        <w:tc>
          <w:tcPr>
            <w:tcW w:w="694" w:type="pct"/>
            <w:vAlign w:val="center"/>
          </w:tcPr>
          <w:p w14:paraId="573E80AB">
            <w:pPr>
              <w:jc w:val="center"/>
              <w:rPr>
                <w:color w:val="auto"/>
                <w:highlight w:val="none"/>
              </w:rPr>
            </w:pPr>
            <w:r>
              <w:rPr>
                <w:rFonts w:hint="eastAsia" w:ascii="仿宋" w:hAnsi="仿宋" w:eastAsia="仿宋" w:cs="宋体"/>
                <w:color w:val="auto"/>
                <w:kern w:val="0"/>
                <w:sz w:val="24"/>
                <w:highlight w:val="none"/>
                <w:lang w:bidi="ar"/>
              </w:rPr>
              <w:t>否</w:t>
            </w:r>
          </w:p>
        </w:tc>
      </w:tr>
      <w:tr w14:paraId="29F95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792BD315">
            <w:pPr>
              <w:spacing w:before="120"/>
              <w:contextualSpacing/>
              <w:jc w:val="center"/>
              <w:rPr>
                <w:rFonts w:ascii="仿宋" w:hAnsi="仿宋" w:eastAsia="仿宋"/>
                <w:color w:val="auto"/>
                <w:sz w:val="24"/>
                <w:highlight w:val="none"/>
              </w:rPr>
            </w:pPr>
          </w:p>
        </w:tc>
        <w:tc>
          <w:tcPr>
            <w:tcW w:w="722" w:type="pct"/>
            <w:vAlign w:val="center"/>
          </w:tcPr>
          <w:p w14:paraId="6AB45045">
            <w:pPr>
              <w:jc w:val="center"/>
              <w:rPr>
                <w:color w:val="auto"/>
                <w:highlight w:val="none"/>
              </w:rPr>
            </w:pPr>
            <w:r>
              <w:rPr>
                <w:rFonts w:hint="eastAsia" w:ascii="仿宋" w:hAnsi="仿宋" w:eastAsia="仿宋" w:cs="宋体"/>
                <w:color w:val="auto"/>
                <w:kern w:val="0"/>
                <w:sz w:val="24"/>
                <w:highlight w:val="none"/>
              </w:rPr>
              <w:t>4-10</w:t>
            </w:r>
          </w:p>
        </w:tc>
        <w:tc>
          <w:tcPr>
            <w:tcW w:w="1964" w:type="pct"/>
            <w:vAlign w:val="center"/>
          </w:tcPr>
          <w:p w14:paraId="4F07B3EA">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消防枪头</w:t>
            </w:r>
          </w:p>
        </w:tc>
        <w:tc>
          <w:tcPr>
            <w:tcW w:w="515" w:type="pct"/>
            <w:vAlign w:val="center"/>
          </w:tcPr>
          <w:p w14:paraId="0D837E3F">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6</w:t>
            </w:r>
          </w:p>
        </w:tc>
        <w:tc>
          <w:tcPr>
            <w:tcW w:w="506" w:type="pct"/>
            <w:vAlign w:val="center"/>
          </w:tcPr>
          <w:p w14:paraId="7E49981C">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个</w:t>
            </w:r>
          </w:p>
        </w:tc>
        <w:tc>
          <w:tcPr>
            <w:tcW w:w="694" w:type="pct"/>
            <w:vAlign w:val="center"/>
          </w:tcPr>
          <w:p w14:paraId="3664AC53">
            <w:pPr>
              <w:jc w:val="center"/>
              <w:rPr>
                <w:color w:val="auto"/>
                <w:highlight w:val="none"/>
              </w:rPr>
            </w:pPr>
            <w:r>
              <w:rPr>
                <w:rFonts w:hint="eastAsia" w:ascii="仿宋" w:hAnsi="仿宋" w:eastAsia="仿宋" w:cs="宋体"/>
                <w:color w:val="auto"/>
                <w:kern w:val="0"/>
                <w:sz w:val="24"/>
                <w:highlight w:val="none"/>
                <w:lang w:bidi="ar"/>
              </w:rPr>
              <w:t>否</w:t>
            </w:r>
          </w:p>
        </w:tc>
      </w:tr>
      <w:tr w14:paraId="7DA74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08829710">
            <w:pPr>
              <w:spacing w:before="120"/>
              <w:contextualSpacing/>
              <w:jc w:val="center"/>
              <w:rPr>
                <w:rFonts w:ascii="仿宋" w:hAnsi="仿宋" w:eastAsia="仿宋"/>
                <w:color w:val="auto"/>
                <w:sz w:val="24"/>
                <w:highlight w:val="none"/>
              </w:rPr>
            </w:pPr>
          </w:p>
        </w:tc>
        <w:tc>
          <w:tcPr>
            <w:tcW w:w="722" w:type="pct"/>
            <w:vAlign w:val="center"/>
          </w:tcPr>
          <w:p w14:paraId="7C1557E5">
            <w:pPr>
              <w:jc w:val="center"/>
              <w:rPr>
                <w:color w:val="auto"/>
                <w:highlight w:val="none"/>
              </w:rPr>
            </w:pPr>
            <w:r>
              <w:rPr>
                <w:rFonts w:hint="eastAsia" w:ascii="仿宋" w:hAnsi="仿宋" w:eastAsia="仿宋" w:cs="宋体"/>
                <w:color w:val="auto"/>
                <w:kern w:val="0"/>
                <w:sz w:val="24"/>
                <w:highlight w:val="none"/>
              </w:rPr>
              <w:t>4-11</w:t>
            </w:r>
          </w:p>
        </w:tc>
        <w:tc>
          <w:tcPr>
            <w:tcW w:w="1964" w:type="pct"/>
            <w:vAlign w:val="center"/>
          </w:tcPr>
          <w:p w14:paraId="32175849">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消防多功能喷枪头</w:t>
            </w:r>
          </w:p>
        </w:tc>
        <w:tc>
          <w:tcPr>
            <w:tcW w:w="515" w:type="pct"/>
            <w:vAlign w:val="center"/>
          </w:tcPr>
          <w:p w14:paraId="424A42C0">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6</w:t>
            </w:r>
          </w:p>
        </w:tc>
        <w:tc>
          <w:tcPr>
            <w:tcW w:w="506" w:type="pct"/>
            <w:vAlign w:val="center"/>
          </w:tcPr>
          <w:p w14:paraId="14A45743">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个</w:t>
            </w:r>
          </w:p>
        </w:tc>
        <w:tc>
          <w:tcPr>
            <w:tcW w:w="694" w:type="pct"/>
            <w:vAlign w:val="center"/>
          </w:tcPr>
          <w:p w14:paraId="5F7912B1">
            <w:pPr>
              <w:jc w:val="center"/>
              <w:rPr>
                <w:color w:val="auto"/>
                <w:highlight w:val="none"/>
              </w:rPr>
            </w:pPr>
            <w:r>
              <w:rPr>
                <w:rFonts w:hint="eastAsia" w:ascii="仿宋" w:hAnsi="仿宋" w:eastAsia="仿宋" w:cs="宋体"/>
                <w:color w:val="auto"/>
                <w:kern w:val="0"/>
                <w:sz w:val="24"/>
                <w:highlight w:val="none"/>
                <w:lang w:bidi="ar"/>
              </w:rPr>
              <w:t>否</w:t>
            </w:r>
          </w:p>
        </w:tc>
      </w:tr>
      <w:tr w14:paraId="30B0F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2084160A">
            <w:pPr>
              <w:spacing w:before="120"/>
              <w:contextualSpacing/>
              <w:jc w:val="center"/>
              <w:rPr>
                <w:rFonts w:ascii="仿宋" w:hAnsi="仿宋" w:eastAsia="仿宋"/>
                <w:color w:val="auto"/>
                <w:sz w:val="24"/>
                <w:highlight w:val="none"/>
              </w:rPr>
            </w:pPr>
          </w:p>
        </w:tc>
        <w:tc>
          <w:tcPr>
            <w:tcW w:w="722" w:type="pct"/>
            <w:vAlign w:val="center"/>
          </w:tcPr>
          <w:p w14:paraId="41B0F129">
            <w:pPr>
              <w:jc w:val="center"/>
              <w:rPr>
                <w:color w:val="auto"/>
                <w:highlight w:val="none"/>
              </w:rPr>
            </w:pPr>
            <w:r>
              <w:rPr>
                <w:rFonts w:hint="eastAsia" w:ascii="仿宋" w:hAnsi="仿宋" w:eastAsia="仿宋" w:cs="宋体"/>
                <w:color w:val="auto"/>
                <w:kern w:val="0"/>
                <w:sz w:val="24"/>
                <w:highlight w:val="none"/>
              </w:rPr>
              <w:t>4-12</w:t>
            </w:r>
          </w:p>
        </w:tc>
        <w:tc>
          <w:tcPr>
            <w:tcW w:w="1964" w:type="pct"/>
            <w:vAlign w:val="center"/>
          </w:tcPr>
          <w:p w14:paraId="578D27A3">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消防设施柜</w:t>
            </w:r>
          </w:p>
        </w:tc>
        <w:tc>
          <w:tcPr>
            <w:tcW w:w="515" w:type="pct"/>
            <w:vAlign w:val="center"/>
          </w:tcPr>
          <w:p w14:paraId="3E0272B8">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12</w:t>
            </w:r>
          </w:p>
        </w:tc>
        <w:tc>
          <w:tcPr>
            <w:tcW w:w="506" w:type="pct"/>
            <w:vAlign w:val="center"/>
          </w:tcPr>
          <w:p w14:paraId="6F5A9B7A">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套</w:t>
            </w:r>
          </w:p>
        </w:tc>
        <w:tc>
          <w:tcPr>
            <w:tcW w:w="694" w:type="pct"/>
            <w:vAlign w:val="center"/>
          </w:tcPr>
          <w:p w14:paraId="4088AF21">
            <w:pPr>
              <w:jc w:val="center"/>
              <w:rPr>
                <w:color w:val="auto"/>
                <w:highlight w:val="none"/>
              </w:rPr>
            </w:pPr>
            <w:r>
              <w:rPr>
                <w:rFonts w:hint="eastAsia" w:ascii="仿宋" w:hAnsi="仿宋" w:eastAsia="仿宋" w:cs="宋体"/>
                <w:color w:val="auto"/>
                <w:kern w:val="0"/>
                <w:sz w:val="24"/>
                <w:highlight w:val="none"/>
                <w:lang w:bidi="ar"/>
              </w:rPr>
              <w:t>否</w:t>
            </w:r>
          </w:p>
        </w:tc>
      </w:tr>
      <w:tr w14:paraId="5CB7C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3DAE4408">
            <w:pPr>
              <w:spacing w:before="120"/>
              <w:contextualSpacing/>
              <w:jc w:val="center"/>
              <w:rPr>
                <w:rFonts w:ascii="仿宋" w:hAnsi="仿宋" w:eastAsia="仿宋"/>
                <w:color w:val="auto"/>
                <w:sz w:val="24"/>
                <w:highlight w:val="none"/>
              </w:rPr>
            </w:pPr>
          </w:p>
        </w:tc>
        <w:tc>
          <w:tcPr>
            <w:tcW w:w="722" w:type="pct"/>
            <w:vAlign w:val="center"/>
          </w:tcPr>
          <w:p w14:paraId="070963A1">
            <w:pPr>
              <w:jc w:val="center"/>
              <w:rPr>
                <w:color w:val="auto"/>
                <w:highlight w:val="none"/>
              </w:rPr>
            </w:pPr>
            <w:r>
              <w:rPr>
                <w:rFonts w:hint="eastAsia" w:ascii="仿宋" w:hAnsi="仿宋" w:eastAsia="仿宋" w:cs="宋体"/>
                <w:color w:val="auto"/>
                <w:kern w:val="0"/>
                <w:sz w:val="24"/>
                <w:highlight w:val="none"/>
              </w:rPr>
              <w:t>4-13</w:t>
            </w:r>
          </w:p>
        </w:tc>
        <w:tc>
          <w:tcPr>
            <w:tcW w:w="1964" w:type="pct"/>
            <w:vAlign w:val="center"/>
          </w:tcPr>
          <w:p w14:paraId="2D19F362">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灭火毯</w:t>
            </w:r>
          </w:p>
        </w:tc>
        <w:tc>
          <w:tcPr>
            <w:tcW w:w="515" w:type="pct"/>
            <w:vAlign w:val="center"/>
          </w:tcPr>
          <w:p w14:paraId="2474EF57">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12</w:t>
            </w:r>
          </w:p>
        </w:tc>
        <w:tc>
          <w:tcPr>
            <w:tcW w:w="506" w:type="pct"/>
            <w:vAlign w:val="center"/>
          </w:tcPr>
          <w:p w14:paraId="630E7700">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张</w:t>
            </w:r>
          </w:p>
        </w:tc>
        <w:tc>
          <w:tcPr>
            <w:tcW w:w="694" w:type="pct"/>
            <w:vAlign w:val="center"/>
          </w:tcPr>
          <w:p w14:paraId="18D4E96A">
            <w:pPr>
              <w:jc w:val="center"/>
              <w:rPr>
                <w:color w:val="auto"/>
                <w:highlight w:val="none"/>
              </w:rPr>
            </w:pPr>
            <w:r>
              <w:rPr>
                <w:rFonts w:hint="eastAsia" w:ascii="仿宋" w:hAnsi="仿宋" w:eastAsia="仿宋" w:cs="宋体"/>
                <w:color w:val="auto"/>
                <w:kern w:val="0"/>
                <w:sz w:val="24"/>
                <w:highlight w:val="none"/>
                <w:lang w:bidi="ar"/>
              </w:rPr>
              <w:t>否</w:t>
            </w:r>
          </w:p>
        </w:tc>
      </w:tr>
      <w:tr w14:paraId="54F09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6B3260F5">
            <w:pPr>
              <w:spacing w:before="120"/>
              <w:contextualSpacing/>
              <w:jc w:val="center"/>
              <w:rPr>
                <w:rFonts w:ascii="仿宋" w:hAnsi="仿宋" w:eastAsia="仿宋"/>
                <w:color w:val="auto"/>
                <w:sz w:val="24"/>
                <w:highlight w:val="none"/>
              </w:rPr>
            </w:pPr>
          </w:p>
        </w:tc>
        <w:tc>
          <w:tcPr>
            <w:tcW w:w="722" w:type="pct"/>
            <w:vAlign w:val="center"/>
          </w:tcPr>
          <w:p w14:paraId="3E4DC8AA">
            <w:pPr>
              <w:jc w:val="center"/>
              <w:rPr>
                <w:color w:val="auto"/>
                <w:highlight w:val="none"/>
              </w:rPr>
            </w:pPr>
            <w:r>
              <w:rPr>
                <w:rFonts w:hint="eastAsia" w:ascii="仿宋" w:hAnsi="仿宋" w:eastAsia="仿宋" w:cs="宋体"/>
                <w:color w:val="auto"/>
                <w:kern w:val="0"/>
                <w:sz w:val="24"/>
                <w:highlight w:val="none"/>
              </w:rPr>
              <w:t>4-14</w:t>
            </w:r>
          </w:p>
        </w:tc>
        <w:tc>
          <w:tcPr>
            <w:tcW w:w="1964" w:type="pct"/>
            <w:vAlign w:val="center"/>
          </w:tcPr>
          <w:p w14:paraId="4BB73566">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灭火毯</w:t>
            </w:r>
          </w:p>
        </w:tc>
        <w:tc>
          <w:tcPr>
            <w:tcW w:w="515" w:type="pct"/>
            <w:vAlign w:val="center"/>
          </w:tcPr>
          <w:p w14:paraId="1AD11E43">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12</w:t>
            </w:r>
          </w:p>
        </w:tc>
        <w:tc>
          <w:tcPr>
            <w:tcW w:w="506" w:type="pct"/>
            <w:vAlign w:val="center"/>
          </w:tcPr>
          <w:p w14:paraId="06D7AC87">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张</w:t>
            </w:r>
          </w:p>
        </w:tc>
        <w:tc>
          <w:tcPr>
            <w:tcW w:w="694" w:type="pct"/>
            <w:vAlign w:val="center"/>
          </w:tcPr>
          <w:p w14:paraId="22380D3C">
            <w:pPr>
              <w:jc w:val="center"/>
              <w:rPr>
                <w:color w:val="auto"/>
                <w:highlight w:val="none"/>
              </w:rPr>
            </w:pPr>
            <w:r>
              <w:rPr>
                <w:rFonts w:hint="eastAsia" w:ascii="仿宋" w:hAnsi="仿宋" w:eastAsia="仿宋" w:cs="宋体"/>
                <w:color w:val="auto"/>
                <w:kern w:val="0"/>
                <w:sz w:val="24"/>
                <w:highlight w:val="none"/>
                <w:lang w:bidi="ar"/>
              </w:rPr>
              <w:t>否</w:t>
            </w:r>
          </w:p>
        </w:tc>
      </w:tr>
      <w:tr w14:paraId="09F93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6DFACC91">
            <w:pPr>
              <w:spacing w:before="120"/>
              <w:contextualSpacing/>
              <w:jc w:val="center"/>
              <w:rPr>
                <w:rFonts w:ascii="仿宋" w:hAnsi="仿宋" w:eastAsia="仿宋"/>
                <w:color w:val="auto"/>
                <w:sz w:val="24"/>
                <w:highlight w:val="none"/>
              </w:rPr>
            </w:pPr>
          </w:p>
        </w:tc>
        <w:tc>
          <w:tcPr>
            <w:tcW w:w="722" w:type="pct"/>
            <w:vAlign w:val="center"/>
          </w:tcPr>
          <w:p w14:paraId="222B5489">
            <w:pPr>
              <w:jc w:val="center"/>
              <w:rPr>
                <w:color w:val="auto"/>
                <w:highlight w:val="none"/>
              </w:rPr>
            </w:pPr>
            <w:r>
              <w:rPr>
                <w:rFonts w:hint="eastAsia" w:ascii="仿宋" w:hAnsi="仿宋" w:eastAsia="仿宋" w:cs="宋体"/>
                <w:color w:val="auto"/>
                <w:kern w:val="0"/>
                <w:sz w:val="24"/>
                <w:highlight w:val="none"/>
              </w:rPr>
              <w:t>4-15</w:t>
            </w:r>
          </w:p>
        </w:tc>
        <w:tc>
          <w:tcPr>
            <w:tcW w:w="1964" w:type="pct"/>
            <w:vAlign w:val="center"/>
          </w:tcPr>
          <w:p w14:paraId="67221F2C">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佩戴式防爆手电</w:t>
            </w:r>
          </w:p>
        </w:tc>
        <w:tc>
          <w:tcPr>
            <w:tcW w:w="515" w:type="pct"/>
            <w:vAlign w:val="center"/>
          </w:tcPr>
          <w:p w14:paraId="280F71F8">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12</w:t>
            </w:r>
          </w:p>
        </w:tc>
        <w:tc>
          <w:tcPr>
            <w:tcW w:w="506" w:type="pct"/>
            <w:vAlign w:val="center"/>
          </w:tcPr>
          <w:p w14:paraId="1FE9A651">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把</w:t>
            </w:r>
          </w:p>
        </w:tc>
        <w:tc>
          <w:tcPr>
            <w:tcW w:w="694" w:type="pct"/>
            <w:vAlign w:val="center"/>
          </w:tcPr>
          <w:p w14:paraId="7886ED35">
            <w:pPr>
              <w:jc w:val="center"/>
              <w:rPr>
                <w:color w:val="auto"/>
                <w:highlight w:val="none"/>
              </w:rPr>
            </w:pPr>
            <w:r>
              <w:rPr>
                <w:rFonts w:hint="eastAsia" w:ascii="仿宋" w:hAnsi="仿宋" w:eastAsia="仿宋" w:cs="宋体"/>
                <w:color w:val="auto"/>
                <w:kern w:val="0"/>
                <w:sz w:val="24"/>
                <w:highlight w:val="none"/>
                <w:lang w:bidi="ar"/>
              </w:rPr>
              <w:t>否</w:t>
            </w:r>
          </w:p>
        </w:tc>
      </w:tr>
      <w:tr w14:paraId="01EFF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579765FC">
            <w:pPr>
              <w:spacing w:before="120"/>
              <w:contextualSpacing/>
              <w:jc w:val="center"/>
              <w:rPr>
                <w:rFonts w:ascii="仿宋" w:hAnsi="仿宋" w:eastAsia="仿宋"/>
                <w:color w:val="auto"/>
                <w:sz w:val="24"/>
                <w:highlight w:val="none"/>
              </w:rPr>
            </w:pPr>
          </w:p>
        </w:tc>
        <w:tc>
          <w:tcPr>
            <w:tcW w:w="722" w:type="pct"/>
            <w:vAlign w:val="center"/>
          </w:tcPr>
          <w:p w14:paraId="5BA48E01">
            <w:pPr>
              <w:jc w:val="center"/>
              <w:rPr>
                <w:color w:val="auto"/>
                <w:highlight w:val="none"/>
              </w:rPr>
            </w:pPr>
            <w:r>
              <w:rPr>
                <w:rFonts w:hint="eastAsia" w:ascii="仿宋" w:hAnsi="仿宋" w:eastAsia="仿宋" w:cs="宋体"/>
                <w:color w:val="auto"/>
                <w:kern w:val="0"/>
                <w:sz w:val="24"/>
                <w:highlight w:val="none"/>
              </w:rPr>
              <w:t>4-16</w:t>
            </w:r>
          </w:p>
        </w:tc>
        <w:tc>
          <w:tcPr>
            <w:tcW w:w="1964" w:type="pct"/>
            <w:vAlign w:val="center"/>
          </w:tcPr>
          <w:p w14:paraId="214D88A3">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防毒面具</w:t>
            </w:r>
          </w:p>
        </w:tc>
        <w:tc>
          <w:tcPr>
            <w:tcW w:w="515" w:type="pct"/>
            <w:vAlign w:val="center"/>
          </w:tcPr>
          <w:p w14:paraId="21086F61">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12</w:t>
            </w:r>
          </w:p>
        </w:tc>
        <w:tc>
          <w:tcPr>
            <w:tcW w:w="506" w:type="pct"/>
            <w:vAlign w:val="center"/>
          </w:tcPr>
          <w:p w14:paraId="25AF4DBC">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个</w:t>
            </w:r>
          </w:p>
        </w:tc>
        <w:tc>
          <w:tcPr>
            <w:tcW w:w="694" w:type="pct"/>
            <w:vAlign w:val="center"/>
          </w:tcPr>
          <w:p w14:paraId="76C04C34">
            <w:pPr>
              <w:jc w:val="center"/>
              <w:rPr>
                <w:color w:val="auto"/>
                <w:highlight w:val="none"/>
              </w:rPr>
            </w:pPr>
            <w:r>
              <w:rPr>
                <w:rFonts w:hint="eastAsia" w:ascii="仿宋" w:hAnsi="仿宋" w:eastAsia="仿宋" w:cs="宋体"/>
                <w:color w:val="auto"/>
                <w:kern w:val="0"/>
                <w:sz w:val="24"/>
                <w:highlight w:val="none"/>
                <w:lang w:bidi="ar"/>
              </w:rPr>
              <w:t>否</w:t>
            </w:r>
          </w:p>
        </w:tc>
      </w:tr>
      <w:tr w14:paraId="6A80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27081E1C">
            <w:pPr>
              <w:spacing w:before="120"/>
              <w:contextualSpacing/>
              <w:jc w:val="center"/>
              <w:rPr>
                <w:rFonts w:ascii="仿宋" w:hAnsi="仿宋" w:eastAsia="仿宋"/>
                <w:color w:val="auto"/>
                <w:sz w:val="24"/>
                <w:highlight w:val="none"/>
              </w:rPr>
            </w:pPr>
          </w:p>
        </w:tc>
        <w:tc>
          <w:tcPr>
            <w:tcW w:w="722" w:type="pct"/>
            <w:vAlign w:val="center"/>
          </w:tcPr>
          <w:p w14:paraId="12DBD1D8">
            <w:pPr>
              <w:jc w:val="center"/>
              <w:rPr>
                <w:color w:val="auto"/>
                <w:highlight w:val="none"/>
              </w:rPr>
            </w:pPr>
            <w:r>
              <w:rPr>
                <w:rFonts w:hint="eastAsia" w:ascii="仿宋" w:hAnsi="仿宋" w:eastAsia="仿宋" w:cs="宋体"/>
                <w:color w:val="auto"/>
                <w:kern w:val="0"/>
                <w:sz w:val="24"/>
                <w:highlight w:val="none"/>
              </w:rPr>
              <w:t>4-17</w:t>
            </w:r>
          </w:p>
        </w:tc>
        <w:tc>
          <w:tcPr>
            <w:tcW w:w="1964" w:type="pct"/>
            <w:vAlign w:val="center"/>
          </w:tcPr>
          <w:p w14:paraId="42A1DB01">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安全绳</w:t>
            </w:r>
          </w:p>
        </w:tc>
        <w:tc>
          <w:tcPr>
            <w:tcW w:w="515" w:type="pct"/>
            <w:vAlign w:val="center"/>
          </w:tcPr>
          <w:p w14:paraId="780384F4">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6</w:t>
            </w:r>
          </w:p>
        </w:tc>
        <w:tc>
          <w:tcPr>
            <w:tcW w:w="506" w:type="pct"/>
            <w:vAlign w:val="center"/>
          </w:tcPr>
          <w:p w14:paraId="1DAC205F">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根</w:t>
            </w:r>
          </w:p>
        </w:tc>
        <w:tc>
          <w:tcPr>
            <w:tcW w:w="694" w:type="pct"/>
            <w:vAlign w:val="center"/>
          </w:tcPr>
          <w:p w14:paraId="10A34F86">
            <w:pPr>
              <w:jc w:val="center"/>
              <w:rPr>
                <w:color w:val="auto"/>
                <w:highlight w:val="none"/>
              </w:rPr>
            </w:pPr>
            <w:r>
              <w:rPr>
                <w:rFonts w:hint="eastAsia" w:ascii="仿宋" w:hAnsi="仿宋" w:eastAsia="仿宋" w:cs="宋体"/>
                <w:color w:val="auto"/>
                <w:kern w:val="0"/>
                <w:sz w:val="24"/>
                <w:highlight w:val="none"/>
                <w:lang w:bidi="ar"/>
              </w:rPr>
              <w:t>否</w:t>
            </w:r>
          </w:p>
        </w:tc>
      </w:tr>
      <w:tr w14:paraId="380B9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56191B2A">
            <w:pPr>
              <w:spacing w:before="120"/>
              <w:contextualSpacing/>
              <w:jc w:val="center"/>
              <w:rPr>
                <w:rFonts w:ascii="仿宋" w:hAnsi="仿宋" w:eastAsia="仿宋"/>
                <w:color w:val="auto"/>
                <w:sz w:val="24"/>
                <w:highlight w:val="none"/>
              </w:rPr>
            </w:pPr>
          </w:p>
        </w:tc>
        <w:tc>
          <w:tcPr>
            <w:tcW w:w="722" w:type="pct"/>
            <w:vAlign w:val="center"/>
          </w:tcPr>
          <w:p w14:paraId="0388A7D5">
            <w:pPr>
              <w:jc w:val="center"/>
              <w:rPr>
                <w:color w:val="auto"/>
                <w:highlight w:val="none"/>
              </w:rPr>
            </w:pPr>
            <w:r>
              <w:rPr>
                <w:rFonts w:hint="eastAsia" w:ascii="仿宋" w:hAnsi="仿宋" w:eastAsia="仿宋" w:cs="宋体"/>
                <w:color w:val="auto"/>
                <w:kern w:val="0"/>
                <w:sz w:val="24"/>
                <w:highlight w:val="none"/>
              </w:rPr>
              <w:t>4-18</w:t>
            </w:r>
          </w:p>
        </w:tc>
        <w:tc>
          <w:tcPr>
            <w:tcW w:w="1964" w:type="pct"/>
            <w:vAlign w:val="center"/>
          </w:tcPr>
          <w:p w14:paraId="25C70245">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腰斧</w:t>
            </w:r>
          </w:p>
        </w:tc>
        <w:tc>
          <w:tcPr>
            <w:tcW w:w="515" w:type="pct"/>
            <w:vAlign w:val="center"/>
          </w:tcPr>
          <w:p w14:paraId="4E32B885">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12</w:t>
            </w:r>
          </w:p>
        </w:tc>
        <w:tc>
          <w:tcPr>
            <w:tcW w:w="506" w:type="pct"/>
            <w:vAlign w:val="center"/>
          </w:tcPr>
          <w:p w14:paraId="7D583633">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把</w:t>
            </w:r>
          </w:p>
        </w:tc>
        <w:tc>
          <w:tcPr>
            <w:tcW w:w="694" w:type="pct"/>
            <w:vAlign w:val="center"/>
          </w:tcPr>
          <w:p w14:paraId="5D7F7E38">
            <w:pPr>
              <w:jc w:val="center"/>
              <w:rPr>
                <w:color w:val="auto"/>
                <w:highlight w:val="none"/>
              </w:rPr>
            </w:pPr>
            <w:r>
              <w:rPr>
                <w:rFonts w:hint="eastAsia" w:ascii="仿宋" w:hAnsi="仿宋" w:eastAsia="仿宋" w:cs="宋体"/>
                <w:color w:val="auto"/>
                <w:kern w:val="0"/>
                <w:sz w:val="24"/>
                <w:highlight w:val="none"/>
                <w:lang w:bidi="ar"/>
              </w:rPr>
              <w:t>否</w:t>
            </w:r>
          </w:p>
        </w:tc>
      </w:tr>
      <w:tr w14:paraId="1591D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7EB3C1E1">
            <w:pPr>
              <w:spacing w:before="120"/>
              <w:contextualSpacing/>
              <w:jc w:val="center"/>
              <w:rPr>
                <w:rFonts w:ascii="仿宋" w:hAnsi="仿宋" w:eastAsia="仿宋"/>
                <w:color w:val="auto"/>
                <w:sz w:val="24"/>
                <w:highlight w:val="none"/>
              </w:rPr>
            </w:pPr>
          </w:p>
        </w:tc>
        <w:tc>
          <w:tcPr>
            <w:tcW w:w="722" w:type="pct"/>
            <w:vAlign w:val="center"/>
          </w:tcPr>
          <w:p w14:paraId="28C75C38">
            <w:pPr>
              <w:jc w:val="center"/>
              <w:rPr>
                <w:color w:val="auto"/>
                <w:highlight w:val="none"/>
              </w:rPr>
            </w:pPr>
            <w:r>
              <w:rPr>
                <w:rFonts w:hint="eastAsia" w:ascii="仿宋" w:hAnsi="仿宋" w:eastAsia="仿宋" w:cs="宋体"/>
                <w:color w:val="auto"/>
                <w:kern w:val="0"/>
                <w:sz w:val="24"/>
                <w:highlight w:val="none"/>
              </w:rPr>
              <w:t>4-19</w:t>
            </w:r>
          </w:p>
        </w:tc>
        <w:tc>
          <w:tcPr>
            <w:tcW w:w="1964" w:type="pct"/>
            <w:vAlign w:val="center"/>
          </w:tcPr>
          <w:p w14:paraId="62C44FEC">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液压破拆套装</w:t>
            </w:r>
          </w:p>
        </w:tc>
        <w:tc>
          <w:tcPr>
            <w:tcW w:w="515" w:type="pct"/>
            <w:vAlign w:val="center"/>
          </w:tcPr>
          <w:p w14:paraId="5224259A">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2</w:t>
            </w:r>
          </w:p>
        </w:tc>
        <w:tc>
          <w:tcPr>
            <w:tcW w:w="506" w:type="pct"/>
            <w:vAlign w:val="center"/>
          </w:tcPr>
          <w:p w14:paraId="22F8DC46">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组</w:t>
            </w:r>
          </w:p>
        </w:tc>
        <w:tc>
          <w:tcPr>
            <w:tcW w:w="694" w:type="pct"/>
            <w:vAlign w:val="center"/>
          </w:tcPr>
          <w:p w14:paraId="19416869">
            <w:pPr>
              <w:jc w:val="center"/>
              <w:rPr>
                <w:color w:val="auto"/>
                <w:highlight w:val="none"/>
              </w:rPr>
            </w:pPr>
            <w:r>
              <w:rPr>
                <w:rFonts w:hint="eastAsia" w:ascii="仿宋" w:hAnsi="仿宋" w:eastAsia="仿宋" w:cs="宋体"/>
                <w:color w:val="auto"/>
                <w:kern w:val="0"/>
                <w:sz w:val="24"/>
                <w:highlight w:val="none"/>
                <w:lang w:bidi="ar"/>
              </w:rPr>
              <w:t>否</w:t>
            </w:r>
          </w:p>
        </w:tc>
      </w:tr>
      <w:tr w14:paraId="6108F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571FA2C3">
            <w:pPr>
              <w:spacing w:before="120"/>
              <w:contextualSpacing/>
              <w:jc w:val="center"/>
              <w:rPr>
                <w:rFonts w:ascii="仿宋" w:hAnsi="仿宋" w:eastAsia="仿宋"/>
                <w:color w:val="auto"/>
                <w:sz w:val="24"/>
                <w:highlight w:val="none"/>
              </w:rPr>
            </w:pPr>
          </w:p>
        </w:tc>
        <w:tc>
          <w:tcPr>
            <w:tcW w:w="722" w:type="pct"/>
            <w:vAlign w:val="center"/>
          </w:tcPr>
          <w:p w14:paraId="4AC5B19D">
            <w:pPr>
              <w:jc w:val="center"/>
              <w:rPr>
                <w:color w:val="auto"/>
                <w:highlight w:val="none"/>
              </w:rPr>
            </w:pPr>
            <w:r>
              <w:rPr>
                <w:rFonts w:hint="eastAsia" w:ascii="仿宋" w:hAnsi="仿宋" w:eastAsia="仿宋" w:cs="宋体"/>
                <w:color w:val="auto"/>
                <w:kern w:val="0"/>
                <w:sz w:val="24"/>
                <w:highlight w:val="none"/>
              </w:rPr>
              <w:t>4-20</w:t>
            </w:r>
          </w:p>
        </w:tc>
        <w:tc>
          <w:tcPr>
            <w:tcW w:w="1964" w:type="pct"/>
            <w:vAlign w:val="center"/>
          </w:tcPr>
          <w:p w14:paraId="0724A72C">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消防斧</w:t>
            </w:r>
          </w:p>
        </w:tc>
        <w:tc>
          <w:tcPr>
            <w:tcW w:w="515" w:type="pct"/>
            <w:vAlign w:val="center"/>
          </w:tcPr>
          <w:p w14:paraId="2009D8E6">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4</w:t>
            </w:r>
          </w:p>
        </w:tc>
        <w:tc>
          <w:tcPr>
            <w:tcW w:w="506" w:type="pct"/>
            <w:vAlign w:val="center"/>
          </w:tcPr>
          <w:p w14:paraId="03707D8F">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把</w:t>
            </w:r>
          </w:p>
        </w:tc>
        <w:tc>
          <w:tcPr>
            <w:tcW w:w="694" w:type="pct"/>
            <w:vAlign w:val="center"/>
          </w:tcPr>
          <w:p w14:paraId="65625458">
            <w:pPr>
              <w:jc w:val="center"/>
              <w:rPr>
                <w:color w:val="auto"/>
                <w:highlight w:val="none"/>
              </w:rPr>
            </w:pPr>
            <w:r>
              <w:rPr>
                <w:rFonts w:hint="eastAsia" w:ascii="仿宋" w:hAnsi="仿宋" w:eastAsia="仿宋" w:cs="宋体"/>
                <w:color w:val="auto"/>
                <w:kern w:val="0"/>
                <w:sz w:val="24"/>
                <w:highlight w:val="none"/>
                <w:lang w:bidi="ar"/>
              </w:rPr>
              <w:t>否</w:t>
            </w:r>
          </w:p>
        </w:tc>
      </w:tr>
      <w:tr w14:paraId="2B48B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0EFDDB08">
            <w:pPr>
              <w:spacing w:before="120"/>
              <w:contextualSpacing/>
              <w:jc w:val="center"/>
              <w:rPr>
                <w:rFonts w:ascii="仿宋" w:hAnsi="仿宋" w:eastAsia="仿宋"/>
                <w:color w:val="auto"/>
                <w:sz w:val="24"/>
                <w:highlight w:val="none"/>
              </w:rPr>
            </w:pPr>
          </w:p>
        </w:tc>
        <w:tc>
          <w:tcPr>
            <w:tcW w:w="722" w:type="pct"/>
            <w:vAlign w:val="center"/>
          </w:tcPr>
          <w:p w14:paraId="2B27B8D7">
            <w:pPr>
              <w:jc w:val="center"/>
              <w:rPr>
                <w:color w:val="auto"/>
                <w:highlight w:val="none"/>
              </w:rPr>
            </w:pPr>
            <w:r>
              <w:rPr>
                <w:rFonts w:hint="eastAsia" w:ascii="仿宋" w:hAnsi="仿宋" w:eastAsia="仿宋" w:cs="宋体"/>
                <w:color w:val="auto"/>
                <w:kern w:val="0"/>
                <w:sz w:val="24"/>
                <w:highlight w:val="none"/>
              </w:rPr>
              <w:t>4-21</w:t>
            </w:r>
          </w:p>
        </w:tc>
        <w:tc>
          <w:tcPr>
            <w:tcW w:w="1964" w:type="pct"/>
            <w:vAlign w:val="center"/>
          </w:tcPr>
          <w:p w14:paraId="74513F11">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消防锹</w:t>
            </w:r>
          </w:p>
        </w:tc>
        <w:tc>
          <w:tcPr>
            <w:tcW w:w="515" w:type="pct"/>
            <w:vAlign w:val="center"/>
          </w:tcPr>
          <w:p w14:paraId="6B679F19">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4</w:t>
            </w:r>
          </w:p>
        </w:tc>
        <w:tc>
          <w:tcPr>
            <w:tcW w:w="506" w:type="pct"/>
            <w:vAlign w:val="center"/>
          </w:tcPr>
          <w:p w14:paraId="5D98C91F">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把</w:t>
            </w:r>
          </w:p>
        </w:tc>
        <w:tc>
          <w:tcPr>
            <w:tcW w:w="694" w:type="pct"/>
            <w:vAlign w:val="center"/>
          </w:tcPr>
          <w:p w14:paraId="4BADD252">
            <w:pPr>
              <w:jc w:val="center"/>
              <w:rPr>
                <w:color w:val="auto"/>
                <w:highlight w:val="none"/>
              </w:rPr>
            </w:pPr>
            <w:r>
              <w:rPr>
                <w:rFonts w:hint="eastAsia" w:ascii="仿宋" w:hAnsi="仿宋" w:eastAsia="仿宋" w:cs="宋体"/>
                <w:color w:val="auto"/>
                <w:kern w:val="0"/>
                <w:sz w:val="24"/>
                <w:highlight w:val="none"/>
                <w:lang w:bidi="ar"/>
              </w:rPr>
              <w:t>否</w:t>
            </w:r>
          </w:p>
        </w:tc>
      </w:tr>
      <w:tr w14:paraId="20C84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07FD4014">
            <w:pPr>
              <w:spacing w:before="120"/>
              <w:contextualSpacing/>
              <w:jc w:val="center"/>
              <w:rPr>
                <w:rFonts w:ascii="仿宋" w:hAnsi="仿宋" w:eastAsia="仿宋"/>
                <w:color w:val="auto"/>
                <w:sz w:val="24"/>
                <w:highlight w:val="none"/>
              </w:rPr>
            </w:pPr>
          </w:p>
        </w:tc>
        <w:tc>
          <w:tcPr>
            <w:tcW w:w="722" w:type="pct"/>
            <w:vAlign w:val="center"/>
          </w:tcPr>
          <w:p w14:paraId="1964BBF4">
            <w:pPr>
              <w:jc w:val="center"/>
              <w:rPr>
                <w:color w:val="auto"/>
                <w:highlight w:val="none"/>
              </w:rPr>
            </w:pPr>
            <w:r>
              <w:rPr>
                <w:rFonts w:hint="eastAsia" w:ascii="仿宋" w:hAnsi="仿宋" w:eastAsia="仿宋" w:cs="宋体"/>
                <w:color w:val="auto"/>
                <w:kern w:val="0"/>
                <w:sz w:val="24"/>
                <w:highlight w:val="none"/>
              </w:rPr>
              <w:t>4-22</w:t>
            </w:r>
          </w:p>
        </w:tc>
        <w:tc>
          <w:tcPr>
            <w:tcW w:w="1964" w:type="pct"/>
            <w:vAlign w:val="center"/>
          </w:tcPr>
          <w:p w14:paraId="078A78C5">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消防镐</w:t>
            </w:r>
          </w:p>
        </w:tc>
        <w:tc>
          <w:tcPr>
            <w:tcW w:w="515" w:type="pct"/>
            <w:vAlign w:val="center"/>
          </w:tcPr>
          <w:p w14:paraId="5FF37309">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4</w:t>
            </w:r>
          </w:p>
        </w:tc>
        <w:tc>
          <w:tcPr>
            <w:tcW w:w="506" w:type="pct"/>
            <w:vAlign w:val="center"/>
          </w:tcPr>
          <w:p w14:paraId="154950EA">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把</w:t>
            </w:r>
          </w:p>
        </w:tc>
        <w:tc>
          <w:tcPr>
            <w:tcW w:w="694" w:type="pct"/>
            <w:vAlign w:val="center"/>
          </w:tcPr>
          <w:p w14:paraId="0980E6B7">
            <w:pPr>
              <w:jc w:val="center"/>
              <w:rPr>
                <w:color w:val="auto"/>
                <w:highlight w:val="none"/>
              </w:rPr>
            </w:pPr>
            <w:r>
              <w:rPr>
                <w:rFonts w:hint="eastAsia" w:ascii="仿宋" w:hAnsi="仿宋" w:eastAsia="仿宋" w:cs="宋体"/>
                <w:color w:val="auto"/>
                <w:kern w:val="0"/>
                <w:sz w:val="24"/>
                <w:highlight w:val="none"/>
                <w:lang w:bidi="ar"/>
              </w:rPr>
              <w:t>否</w:t>
            </w:r>
          </w:p>
        </w:tc>
      </w:tr>
      <w:tr w14:paraId="75A9F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7346F33D">
            <w:pPr>
              <w:spacing w:before="120"/>
              <w:contextualSpacing/>
              <w:jc w:val="center"/>
              <w:rPr>
                <w:rFonts w:ascii="仿宋" w:hAnsi="仿宋" w:eastAsia="仿宋"/>
                <w:color w:val="auto"/>
                <w:sz w:val="24"/>
                <w:highlight w:val="none"/>
              </w:rPr>
            </w:pPr>
          </w:p>
        </w:tc>
        <w:tc>
          <w:tcPr>
            <w:tcW w:w="722" w:type="pct"/>
            <w:vAlign w:val="center"/>
          </w:tcPr>
          <w:p w14:paraId="17A162D3">
            <w:pPr>
              <w:jc w:val="center"/>
              <w:rPr>
                <w:color w:val="auto"/>
                <w:highlight w:val="none"/>
              </w:rPr>
            </w:pPr>
            <w:r>
              <w:rPr>
                <w:rFonts w:hint="eastAsia" w:ascii="仿宋" w:hAnsi="仿宋" w:eastAsia="仿宋" w:cs="宋体"/>
                <w:color w:val="auto"/>
                <w:kern w:val="0"/>
                <w:sz w:val="24"/>
                <w:highlight w:val="none"/>
              </w:rPr>
              <w:t>4-23</w:t>
            </w:r>
          </w:p>
        </w:tc>
        <w:tc>
          <w:tcPr>
            <w:tcW w:w="1964" w:type="pct"/>
            <w:vAlign w:val="center"/>
          </w:tcPr>
          <w:p w14:paraId="2FE6DC60">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消防桶</w:t>
            </w:r>
          </w:p>
        </w:tc>
        <w:tc>
          <w:tcPr>
            <w:tcW w:w="515" w:type="pct"/>
            <w:vAlign w:val="center"/>
          </w:tcPr>
          <w:p w14:paraId="4768D873">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8</w:t>
            </w:r>
          </w:p>
        </w:tc>
        <w:tc>
          <w:tcPr>
            <w:tcW w:w="506" w:type="pct"/>
            <w:vAlign w:val="center"/>
          </w:tcPr>
          <w:p w14:paraId="6389015E">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个</w:t>
            </w:r>
          </w:p>
        </w:tc>
        <w:tc>
          <w:tcPr>
            <w:tcW w:w="694" w:type="pct"/>
            <w:vAlign w:val="center"/>
          </w:tcPr>
          <w:p w14:paraId="3392EBBD">
            <w:pPr>
              <w:jc w:val="center"/>
              <w:rPr>
                <w:color w:val="auto"/>
                <w:highlight w:val="none"/>
              </w:rPr>
            </w:pPr>
            <w:r>
              <w:rPr>
                <w:rFonts w:hint="eastAsia" w:ascii="仿宋" w:hAnsi="仿宋" w:eastAsia="仿宋" w:cs="宋体"/>
                <w:color w:val="auto"/>
                <w:kern w:val="0"/>
                <w:sz w:val="24"/>
                <w:highlight w:val="none"/>
                <w:lang w:bidi="ar"/>
              </w:rPr>
              <w:t>否</w:t>
            </w:r>
          </w:p>
        </w:tc>
      </w:tr>
      <w:tr w14:paraId="2D06D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60F2C40B">
            <w:pPr>
              <w:spacing w:before="120"/>
              <w:contextualSpacing/>
              <w:jc w:val="center"/>
              <w:rPr>
                <w:rFonts w:ascii="仿宋" w:hAnsi="仿宋" w:eastAsia="仿宋"/>
                <w:color w:val="auto"/>
                <w:sz w:val="24"/>
                <w:highlight w:val="none"/>
              </w:rPr>
            </w:pPr>
          </w:p>
        </w:tc>
        <w:tc>
          <w:tcPr>
            <w:tcW w:w="722" w:type="pct"/>
            <w:vAlign w:val="center"/>
          </w:tcPr>
          <w:p w14:paraId="466D2BC5">
            <w:pPr>
              <w:jc w:val="center"/>
              <w:rPr>
                <w:color w:val="auto"/>
                <w:highlight w:val="none"/>
              </w:rPr>
            </w:pPr>
            <w:r>
              <w:rPr>
                <w:rFonts w:hint="eastAsia" w:ascii="仿宋" w:hAnsi="仿宋" w:eastAsia="仿宋" w:cs="宋体"/>
                <w:color w:val="auto"/>
                <w:kern w:val="0"/>
                <w:sz w:val="24"/>
                <w:highlight w:val="none"/>
              </w:rPr>
              <w:t>4-24</w:t>
            </w:r>
          </w:p>
        </w:tc>
        <w:tc>
          <w:tcPr>
            <w:tcW w:w="1964" w:type="pct"/>
            <w:vAlign w:val="center"/>
          </w:tcPr>
          <w:p w14:paraId="737FD241">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消防沙袋</w:t>
            </w:r>
          </w:p>
        </w:tc>
        <w:tc>
          <w:tcPr>
            <w:tcW w:w="515" w:type="pct"/>
            <w:vAlign w:val="center"/>
          </w:tcPr>
          <w:p w14:paraId="3649E0D3">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24</w:t>
            </w:r>
          </w:p>
        </w:tc>
        <w:tc>
          <w:tcPr>
            <w:tcW w:w="506" w:type="pct"/>
            <w:vAlign w:val="center"/>
          </w:tcPr>
          <w:p w14:paraId="0A8C8304">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个</w:t>
            </w:r>
          </w:p>
        </w:tc>
        <w:tc>
          <w:tcPr>
            <w:tcW w:w="694" w:type="pct"/>
            <w:vAlign w:val="center"/>
          </w:tcPr>
          <w:p w14:paraId="797A7E78">
            <w:pPr>
              <w:jc w:val="center"/>
              <w:rPr>
                <w:color w:val="auto"/>
                <w:highlight w:val="none"/>
              </w:rPr>
            </w:pPr>
            <w:r>
              <w:rPr>
                <w:rFonts w:hint="eastAsia" w:ascii="仿宋" w:hAnsi="仿宋" w:eastAsia="仿宋" w:cs="宋体"/>
                <w:color w:val="auto"/>
                <w:kern w:val="0"/>
                <w:sz w:val="24"/>
                <w:highlight w:val="none"/>
                <w:lang w:bidi="ar"/>
              </w:rPr>
              <w:t>否</w:t>
            </w:r>
          </w:p>
        </w:tc>
      </w:tr>
      <w:tr w14:paraId="24168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1AC6564A">
            <w:pPr>
              <w:spacing w:before="120"/>
              <w:contextualSpacing/>
              <w:jc w:val="center"/>
              <w:rPr>
                <w:rFonts w:ascii="仿宋" w:hAnsi="仿宋" w:eastAsia="仿宋"/>
                <w:color w:val="auto"/>
                <w:sz w:val="24"/>
                <w:highlight w:val="none"/>
              </w:rPr>
            </w:pPr>
          </w:p>
        </w:tc>
        <w:tc>
          <w:tcPr>
            <w:tcW w:w="722" w:type="pct"/>
            <w:vAlign w:val="center"/>
          </w:tcPr>
          <w:p w14:paraId="306B9D7E">
            <w:pPr>
              <w:jc w:val="center"/>
              <w:rPr>
                <w:color w:val="auto"/>
                <w:highlight w:val="none"/>
              </w:rPr>
            </w:pPr>
            <w:r>
              <w:rPr>
                <w:rFonts w:hint="eastAsia" w:ascii="仿宋" w:hAnsi="仿宋" w:eastAsia="仿宋" w:cs="宋体"/>
                <w:color w:val="auto"/>
                <w:kern w:val="0"/>
                <w:sz w:val="24"/>
                <w:highlight w:val="none"/>
              </w:rPr>
              <w:t>4-25</w:t>
            </w:r>
          </w:p>
        </w:tc>
        <w:tc>
          <w:tcPr>
            <w:tcW w:w="1964" w:type="pct"/>
            <w:vAlign w:val="center"/>
          </w:tcPr>
          <w:p w14:paraId="2BF36FDE">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井盖钩</w:t>
            </w:r>
          </w:p>
        </w:tc>
        <w:tc>
          <w:tcPr>
            <w:tcW w:w="515" w:type="pct"/>
            <w:vAlign w:val="center"/>
          </w:tcPr>
          <w:p w14:paraId="7AF12EBE">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2</w:t>
            </w:r>
          </w:p>
        </w:tc>
        <w:tc>
          <w:tcPr>
            <w:tcW w:w="506" w:type="pct"/>
            <w:vAlign w:val="center"/>
          </w:tcPr>
          <w:p w14:paraId="5CCF2452">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个</w:t>
            </w:r>
          </w:p>
        </w:tc>
        <w:tc>
          <w:tcPr>
            <w:tcW w:w="694" w:type="pct"/>
            <w:vAlign w:val="center"/>
          </w:tcPr>
          <w:p w14:paraId="31B81702">
            <w:pPr>
              <w:jc w:val="center"/>
              <w:rPr>
                <w:color w:val="auto"/>
                <w:highlight w:val="none"/>
              </w:rPr>
            </w:pPr>
            <w:r>
              <w:rPr>
                <w:rFonts w:hint="eastAsia" w:ascii="仿宋" w:hAnsi="仿宋" w:eastAsia="仿宋" w:cs="宋体"/>
                <w:color w:val="auto"/>
                <w:kern w:val="0"/>
                <w:sz w:val="24"/>
                <w:highlight w:val="none"/>
                <w:lang w:bidi="ar"/>
              </w:rPr>
              <w:t>否</w:t>
            </w:r>
          </w:p>
        </w:tc>
      </w:tr>
      <w:tr w14:paraId="345F6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11AD192F">
            <w:pPr>
              <w:spacing w:before="120"/>
              <w:contextualSpacing/>
              <w:jc w:val="center"/>
              <w:rPr>
                <w:rFonts w:ascii="仿宋" w:hAnsi="仿宋" w:eastAsia="仿宋"/>
                <w:color w:val="auto"/>
                <w:sz w:val="24"/>
                <w:highlight w:val="none"/>
              </w:rPr>
            </w:pPr>
          </w:p>
        </w:tc>
        <w:tc>
          <w:tcPr>
            <w:tcW w:w="722" w:type="pct"/>
            <w:vAlign w:val="center"/>
          </w:tcPr>
          <w:p w14:paraId="5736B484">
            <w:pPr>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4-26</w:t>
            </w:r>
          </w:p>
        </w:tc>
        <w:tc>
          <w:tcPr>
            <w:tcW w:w="1964" w:type="pct"/>
            <w:vAlign w:val="center"/>
          </w:tcPr>
          <w:p w14:paraId="68135F3B">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消火栓钥匙</w:t>
            </w:r>
          </w:p>
        </w:tc>
        <w:tc>
          <w:tcPr>
            <w:tcW w:w="515" w:type="pct"/>
            <w:vAlign w:val="center"/>
          </w:tcPr>
          <w:p w14:paraId="2E0F6CA8">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2</w:t>
            </w:r>
          </w:p>
        </w:tc>
        <w:tc>
          <w:tcPr>
            <w:tcW w:w="506" w:type="pct"/>
            <w:vAlign w:val="center"/>
          </w:tcPr>
          <w:p w14:paraId="17F01EFF">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个</w:t>
            </w:r>
          </w:p>
        </w:tc>
        <w:tc>
          <w:tcPr>
            <w:tcW w:w="694" w:type="pct"/>
            <w:vAlign w:val="center"/>
          </w:tcPr>
          <w:p w14:paraId="7B2566E6">
            <w:pPr>
              <w:jc w:val="center"/>
              <w:rPr>
                <w:color w:val="auto"/>
                <w:highlight w:val="none"/>
              </w:rPr>
            </w:pPr>
            <w:r>
              <w:rPr>
                <w:rFonts w:hint="eastAsia" w:ascii="仿宋" w:hAnsi="仿宋" w:eastAsia="仿宋" w:cs="宋体"/>
                <w:color w:val="auto"/>
                <w:kern w:val="0"/>
                <w:sz w:val="24"/>
                <w:highlight w:val="none"/>
                <w:lang w:bidi="ar"/>
              </w:rPr>
              <w:t>否</w:t>
            </w:r>
          </w:p>
        </w:tc>
      </w:tr>
      <w:tr w14:paraId="5A879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34F729A2">
            <w:pPr>
              <w:spacing w:before="120"/>
              <w:contextualSpacing/>
              <w:jc w:val="center"/>
              <w:rPr>
                <w:rFonts w:ascii="仿宋" w:hAnsi="仿宋" w:eastAsia="仿宋"/>
                <w:color w:val="auto"/>
                <w:sz w:val="24"/>
                <w:highlight w:val="none"/>
              </w:rPr>
            </w:pPr>
          </w:p>
        </w:tc>
        <w:tc>
          <w:tcPr>
            <w:tcW w:w="722" w:type="pct"/>
            <w:vAlign w:val="center"/>
          </w:tcPr>
          <w:p w14:paraId="1431CCB7">
            <w:pPr>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4-27</w:t>
            </w:r>
          </w:p>
        </w:tc>
        <w:tc>
          <w:tcPr>
            <w:tcW w:w="1964" w:type="pct"/>
            <w:vAlign w:val="center"/>
          </w:tcPr>
          <w:p w14:paraId="338C5B46">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消防梯</w:t>
            </w:r>
          </w:p>
        </w:tc>
        <w:tc>
          <w:tcPr>
            <w:tcW w:w="515" w:type="pct"/>
            <w:vAlign w:val="center"/>
          </w:tcPr>
          <w:p w14:paraId="2D272FAB">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2</w:t>
            </w:r>
          </w:p>
        </w:tc>
        <w:tc>
          <w:tcPr>
            <w:tcW w:w="506" w:type="pct"/>
            <w:vAlign w:val="center"/>
          </w:tcPr>
          <w:p w14:paraId="3CCE7131">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个</w:t>
            </w:r>
          </w:p>
        </w:tc>
        <w:tc>
          <w:tcPr>
            <w:tcW w:w="694" w:type="pct"/>
            <w:vAlign w:val="center"/>
          </w:tcPr>
          <w:p w14:paraId="2E9723D0">
            <w:pPr>
              <w:jc w:val="center"/>
              <w:rPr>
                <w:color w:val="auto"/>
                <w:highlight w:val="none"/>
              </w:rPr>
            </w:pPr>
            <w:r>
              <w:rPr>
                <w:rFonts w:hint="eastAsia" w:ascii="仿宋" w:hAnsi="仿宋" w:eastAsia="仿宋" w:cs="宋体"/>
                <w:color w:val="auto"/>
                <w:kern w:val="0"/>
                <w:sz w:val="24"/>
                <w:highlight w:val="none"/>
                <w:lang w:bidi="ar"/>
              </w:rPr>
              <w:t>否</w:t>
            </w:r>
          </w:p>
        </w:tc>
      </w:tr>
      <w:tr w14:paraId="727F4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063784D4">
            <w:pPr>
              <w:spacing w:before="120"/>
              <w:contextualSpacing/>
              <w:jc w:val="center"/>
              <w:rPr>
                <w:rFonts w:ascii="仿宋" w:hAnsi="仿宋" w:eastAsia="仿宋"/>
                <w:color w:val="auto"/>
                <w:sz w:val="24"/>
                <w:highlight w:val="none"/>
              </w:rPr>
            </w:pPr>
          </w:p>
        </w:tc>
        <w:tc>
          <w:tcPr>
            <w:tcW w:w="722" w:type="pct"/>
            <w:vAlign w:val="center"/>
          </w:tcPr>
          <w:p w14:paraId="0F0EA714">
            <w:pPr>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4-28</w:t>
            </w:r>
          </w:p>
        </w:tc>
        <w:tc>
          <w:tcPr>
            <w:tcW w:w="1964" w:type="pct"/>
            <w:vAlign w:val="center"/>
          </w:tcPr>
          <w:p w14:paraId="4237D2F0">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强光照明灯</w:t>
            </w:r>
          </w:p>
        </w:tc>
        <w:tc>
          <w:tcPr>
            <w:tcW w:w="515" w:type="pct"/>
            <w:vAlign w:val="center"/>
          </w:tcPr>
          <w:p w14:paraId="5770929B">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6</w:t>
            </w:r>
          </w:p>
        </w:tc>
        <w:tc>
          <w:tcPr>
            <w:tcW w:w="506" w:type="pct"/>
            <w:vAlign w:val="center"/>
          </w:tcPr>
          <w:p w14:paraId="7E3FF7DB">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盏</w:t>
            </w:r>
          </w:p>
        </w:tc>
        <w:tc>
          <w:tcPr>
            <w:tcW w:w="694" w:type="pct"/>
            <w:vAlign w:val="center"/>
          </w:tcPr>
          <w:p w14:paraId="7E7CCCDA">
            <w:pPr>
              <w:jc w:val="center"/>
              <w:rPr>
                <w:color w:val="auto"/>
                <w:highlight w:val="none"/>
              </w:rPr>
            </w:pPr>
            <w:r>
              <w:rPr>
                <w:rFonts w:hint="eastAsia" w:ascii="仿宋" w:hAnsi="仿宋" w:eastAsia="仿宋" w:cs="宋体"/>
                <w:color w:val="auto"/>
                <w:kern w:val="0"/>
                <w:sz w:val="24"/>
                <w:highlight w:val="none"/>
                <w:lang w:bidi="ar"/>
              </w:rPr>
              <w:t>否</w:t>
            </w:r>
          </w:p>
        </w:tc>
      </w:tr>
      <w:tr w14:paraId="2C321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97" w:type="pct"/>
            <w:vMerge w:val="continue"/>
            <w:noWrap/>
            <w:vAlign w:val="center"/>
          </w:tcPr>
          <w:p w14:paraId="20AE5664">
            <w:pPr>
              <w:spacing w:before="120"/>
              <w:contextualSpacing/>
              <w:jc w:val="center"/>
              <w:rPr>
                <w:rFonts w:ascii="仿宋" w:hAnsi="仿宋" w:eastAsia="仿宋"/>
                <w:color w:val="auto"/>
                <w:sz w:val="24"/>
                <w:highlight w:val="none"/>
              </w:rPr>
            </w:pPr>
          </w:p>
        </w:tc>
        <w:tc>
          <w:tcPr>
            <w:tcW w:w="722" w:type="pct"/>
            <w:vAlign w:val="center"/>
          </w:tcPr>
          <w:p w14:paraId="1D5ABD7D">
            <w:pPr>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4-29</w:t>
            </w:r>
          </w:p>
        </w:tc>
        <w:tc>
          <w:tcPr>
            <w:tcW w:w="1964" w:type="pct"/>
            <w:vAlign w:val="center"/>
          </w:tcPr>
          <w:p w14:paraId="7A52713F">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灶台燃气报警装置</w:t>
            </w:r>
          </w:p>
        </w:tc>
        <w:tc>
          <w:tcPr>
            <w:tcW w:w="515" w:type="pct"/>
            <w:vAlign w:val="center"/>
          </w:tcPr>
          <w:p w14:paraId="63BC3C87">
            <w:pPr>
              <w:widowControl/>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12</w:t>
            </w:r>
          </w:p>
        </w:tc>
        <w:tc>
          <w:tcPr>
            <w:tcW w:w="506" w:type="pct"/>
            <w:vAlign w:val="center"/>
          </w:tcPr>
          <w:p w14:paraId="2C4EA001">
            <w:pPr>
              <w:widowControl/>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694" w:type="pct"/>
            <w:vAlign w:val="center"/>
          </w:tcPr>
          <w:p w14:paraId="7DC77477">
            <w:pPr>
              <w:jc w:val="center"/>
              <w:rPr>
                <w:color w:val="auto"/>
                <w:highlight w:val="none"/>
              </w:rPr>
            </w:pPr>
            <w:r>
              <w:rPr>
                <w:rFonts w:hint="eastAsia" w:ascii="仿宋" w:hAnsi="仿宋" w:eastAsia="仿宋" w:cs="宋体"/>
                <w:color w:val="auto"/>
                <w:kern w:val="0"/>
                <w:sz w:val="24"/>
                <w:highlight w:val="none"/>
                <w:lang w:bidi="ar"/>
              </w:rPr>
              <w:t>否</w:t>
            </w:r>
          </w:p>
        </w:tc>
      </w:tr>
    </w:tbl>
    <w:p w14:paraId="6ABBA871">
      <w:pPr>
        <w:pStyle w:val="2"/>
        <w:rPr>
          <w:color w:val="auto"/>
          <w:highlight w:val="none"/>
        </w:rPr>
      </w:pPr>
    </w:p>
    <w:p w14:paraId="2B632C23">
      <w:pPr>
        <w:tabs>
          <w:tab w:val="left" w:pos="4600"/>
        </w:tabs>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（二）项目背景/项目概述（如有）</w:t>
      </w:r>
    </w:p>
    <w:p w14:paraId="59A47B8D">
      <w:pPr>
        <w:spacing w:line="360" w:lineRule="auto"/>
        <w:ind w:firstLine="480" w:firstLineChars="200"/>
        <w:rPr>
          <w:rFonts w:ascii="仿宋" w:hAnsi="仿宋" w:eastAsia="仿宋"/>
          <w:color w:val="auto"/>
          <w:sz w:val="24"/>
          <w:highlight w:val="none"/>
        </w:rPr>
      </w:pPr>
      <w:r>
        <w:rPr>
          <w:rFonts w:hint="eastAsia" w:ascii="仿宋" w:hAnsi="仿宋" w:eastAsia="仿宋" w:cs="仿宋"/>
          <w:bCs/>
          <w:color w:val="auto"/>
          <w:sz w:val="24"/>
          <w:highlight w:val="none"/>
        </w:rPr>
        <w:t>首都医科大学附属首都儿童医学中心通州院区作为北京城市副中心建设高标准的儿童医疗服务体系机构，拟定于2027年6月1日正式开诊营业。为保障医院公共秩序与生命财产安全，依据《建筑灭火器配置设计规范》、《消防安全重点单位微型消防站建设标准》相关法律、规范、标准的要求，落实事前预防和当安全事件发生时的事件处置、防止事态恶化，满足安全事件的及时处理需求，需要配置成熟稳定的消防设备物资。通州院区为严重危险级，需要合理配置建筑灭火器，有效扑救建筑初起火灾，减少火灾损失，保护人身和财产的安全。</w:t>
      </w:r>
    </w:p>
    <w:p w14:paraId="439A685F">
      <w:pPr>
        <w:pStyle w:val="2"/>
        <w:rPr>
          <w:color w:val="auto"/>
          <w:highlight w:val="none"/>
        </w:rPr>
      </w:pPr>
    </w:p>
    <w:p w14:paraId="609D7179">
      <w:pPr>
        <w:tabs>
          <w:tab w:val="left" w:pos="5456"/>
        </w:tabs>
        <w:snapToGrid w:val="0"/>
        <w:spacing w:line="360" w:lineRule="auto"/>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rPr>
        <w:t>二、商务要求</w:t>
      </w:r>
      <w:r>
        <w:rPr>
          <w:rFonts w:ascii="仿宋" w:hAnsi="仿宋" w:eastAsia="仿宋" w:cs="仿宋"/>
          <w:b/>
          <w:bCs/>
          <w:color w:val="auto"/>
          <w:sz w:val="24"/>
          <w:highlight w:val="none"/>
        </w:rPr>
        <w:tab/>
      </w:r>
    </w:p>
    <w:p w14:paraId="73FF281C">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（一）交付（实施）的时间（期限）和地点（范围）</w:t>
      </w:r>
    </w:p>
    <w:p w14:paraId="373EF55F">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1、交付时间：</w:t>
      </w:r>
    </w:p>
    <w:p w14:paraId="1082E3D6">
      <w:pPr>
        <w:spacing w:line="360" w:lineRule="auto"/>
        <w:ind w:firstLine="480" w:firstLineChars="200"/>
        <w:contextualSpacing/>
        <w:rPr>
          <w:rFonts w:ascii="宋体" w:hAnsi="宋体" w:cs="宋体"/>
          <w:color w:val="auto"/>
          <w:kern w:val="0"/>
          <w:sz w:val="24"/>
          <w:highlight w:val="none"/>
        </w:rPr>
      </w:pPr>
      <w:r>
        <w:rPr>
          <w:rFonts w:hint="eastAsia" w:ascii="仿宋" w:hAnsi="仿宋" w:eastAsia="仿宋" w:cs="仿宋"/>
          <w:bCs/>
          <w:color w:val="auto"/>
          <w:sz w:val="24"/>
          <w:highlight w:val="none"/>
        </w:rPr>
        <w:t>第4包：自合同签订生效之日起60个日历日内完成供货安装调试。</w:t>
      </w:r>
      <w:r>
        <w:rPr>
          <w:rFonts w:ascii="宋体" w:hAnsi="宋体" w:cs="宋体"/>
          <w:color w:val="auto"/>
          <w:kern w:val="0"/>
          <w:sz w:val="24"/>
          <w:highlight w:val="none"/>
        </w:rPr>
        <w:t xml:space="preserve"> </w:t>
      </w:r>
    </w:p>
    <w:p w14:paraId="5ADD875C">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2、交付地点：首都医科大学附属首都儿童医学中心新址，采购人指定地点。</w:t>
      </w:r>
    </w:p>
    <w:p w14:paraId="63345B61">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（二）付款条件（进度和方式）</w:t>
      </w:r>
    </w:p>
    <w:p w14:paraId="25D5CEBD">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详见第六章拟签订的合同文本。</w:t>
      </w:r>
    </w:p>
    <w:p w14:paraId="582EF668">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（三）包装和运输</w:t>
      </w:r>
    </w:p>
    <w:p w14:paraId="3B172765">
      <w:pPr>
        <w:snapToGrid w:val="0"/>
        <w:spacing w:line="360" w:lineRule="auto"/>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rPr>
        <w:t>如适用，须满足《关于印发〈商品包装政府采购需求标准（试行）〉、〈快递包装政府采购需求标准（试行）〉的通知》（财办库﹝2020﹞123号）。</w:t>
      </w:r>
    </w:p>
    <w:p w14:paraId="1E5D8F92">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投标人负责包装和运输。投标人交付的产品应符合相关包装储运的国家标准，能承受水平受力、垂直受力、适合长途运输，防潮、防湿、防震、防锈、耐粗暴搬运。由于采用不充分或不妥善的防护措施而造成的任何锈损，投标人应负担由此而产生的一切费用和/或损失。投标人应在每件包装上，用不褪色油墨清楚地标刷件号、目的地、尺码、毛重、净重、“此端向上”，“小心轻放”，“切勿受潮”等字样。</w:t>
      </w:r>
    </w:p>
    <w:p w14:paraId="37484399">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（四）售后服务（质保期）</w:t>
      </w:r>
    </w:p>
    <w:p w14:paraId="40394387">
      <w:pPr>
        <w:pStyle w:val="2"/>
        <w:spacing w:line="360" w:lineRule="auto"/>
        <w:contextualSpacing/>
        <w:rPr>
          <w:rFonts w:ascii="仿宋" w:hAnsi="仿宋" w:eastAsia="仿宋" w:cs="仿宋"/>
          <w:b/>
          <w:bCs/>
          <w:color w:val="auto"/>
          <w:highlight w:val="none"/>
        </w:rPr>
      </w:pPr>
      <w:r>
        <w:rPr>
          <w:rFonts w:hint="eastAsia" w:ascii="仿宋" w:hAnsi="仿宋" w:eastAsia="仿宋" w:cs="仿宋"/>
          <w:b/>
          <w:bCs/>
          <w:color w:val="auto"/>
          <w:highlight w:val="none"/>
        </w:rPr>
        <w:t>第4包</w:t>
      </w:r>
    </w:p>
    <w:p w14:paraId="1FC2ED27">
      <w:pPr>
        <w:pStyle w:val="2"/>
        <w:spacing w:line="360" w:lineRule="auto"/>
        <w:contextualSpacing/>
        <w:rPr>
          <w:rFonts w:ascii="仿宋" w:hAnsi="仿宋" w:eastAsia="仿宋" w:cs="仿宋"/>
          <w:bCs/>
          <w:color w:val="auto"/>
          <w:highlight w:val="none"/>
        </w:rPr>
      </w:pPr>
      <w:r>
        <w:rPr>
          <w:rFonts w:ascii="仿宋" w:hAnsi="仿宋" w:eastAsia="仿宋" w:cs="仿宋"/>
          <w:bCs/>
          <w:color w:val="auto"/>
          <w:highlight w:val="none"/>
        </w:rPr>
        <w:t>1、</w:t>
      </w:r>
      <w:r>
        <w:rPr>
          <w:rFonts w:hint="eastAsia" w:ascii="仿宋" w:hAnsi="仿宋" w:eastAsia="仿宋" w:cs="仿宋"/>
          <w:bCs/>
          <w:color w:val="auto"/>
          <w:highlight w:val="none"/>
        </w:rPr>
        <w:t>投标人为采购人提供设备完成供货并通过验收后，要求品目1-1、品目1-2、品目1-3、品目1-4质保期不低于5年，其余设备质保期不低于2年（自验收合格之日起计算）。</w:t>
      </w:r>
    </w:p>
    <w:p w14:paraId="2811E008">
      <w:pPr>
        <w:pStyle w:val="2"/>
        <w:spacing w:line="360" w:lineRule="auto"/>
        <w:contextualSpacing/>
        <w:rPr>
          <w:rFonts w:ascii="仿宋" w:hAnsi="仿宋" w:eastAsia="仿宋" w:cs="仿宋"/>
          <w:bCs/>
          <w:color w:val="auto"/>
          <w:highlight w:val="none"/>
          <w:lang w:eastAsia="zh-Hans"/>
        </w:rPr>
      </w:pPr>
      <w:r>
        <w:rPr>
          <w:rFonts w:ascii="仿宋" w:hAnsi="仿宋" w:eastAsia="仿宋" w:cs="仿宋"/>
          <w:bCs/>
          <w:color w:val="auto"/>
          <w:highlight w:val="none"/>
        </w:rPr>
        <w:t>2、</w:t>
      </w:r>
      <w:r>
        <w:rPr>
          <w:rFonts w:hint="eastAsia" w:ascii="仿宋" w:hAnsi="仿宋" w:eastAsia="仿宋" w:cs="仿宋"/>
          <w:bCs/>
          <w:color w:val="auto"/>
          <w:highlight w:val="none"/>
        </w:rPr>
        <w:t>投标人</w:t>
      </w:r>
      <w:r>
        <w:rPr>
          <w:rFonts w:hint="eastAsia" w:ascii="仿宋" w:hAnsi="仿宋" w:eastAsia="仿宋" w:cs="仿宋"/>
          <w:bCs/>
          <w:color w:val="auto"/>
          <w:highlight w:val="none"/>
          <w:lang w:eastAsia="zh-Hans"/>
        </w:rPr>
        <w:t>应具备完善的售后服务体系，有固定的</w:t>
      </w:r>
      <w:r>
        <w:rPr>
          <w:rFonts w:hint="eastAsia" w:ascii="仿宋" w:hAnsi="仿宋" w:eastAsia="仿宋" w:cs="仿宋"/>
          <w:bCs/>
          <w:color w:val="auto"/>
          <w:highlight w:val="none"/>
        </w:rPr>
        <w:t>维护中心且</w:t>
      </w:r>
      <w:r>
        <w:rPr>
          <w:rFonts w:hint="eastAsia" w:ascii="仿宋" w:hAnsi="仿宋" w:eastAsia="仿宋" w:cs="仿宋"/>
          <w:bCs/>
          <w:color w:val="auto"/>
          <w:highlight w:val="none"/>
          <w:lang w:eastAsia="zh-Hans"/>
        </w:rPr>
        <w:t>维护人员并有能力及时处理所有可能发生的故障。</w:t>
      </w:r>
    </w:p>
    <w:p w14:paraId="37B91B30">
      <w:pPr>
        <w:pStyle w:val="2"/>
        <w:spacing w:line="360" w:lineRule="auto"/>
        <w:contextualSpacing/>
        <w:rPr>
          <w:rFonts w:ascii="仿宋" w:hAnsi="仿宋" w:eastAsia="仿宋" w:cs="仿宋"/>
          <w:bCs/>
          <w:color w:val="auto"/>
          <w:highlight w:val="none"/>
          <w:lang w:eastAsia="zh-Hans"/>
        </w:rPr>
      </w:pPr>
      <w:r>
        <w:rPr>
          <w:rFonts w:hint="eastAsia" w:ascii="仿宋" w:hAnsi="仿宋" w:eastAsia="仿宋" w:cs="仿宋"/>
          <w:bCs/>
          <w:color w:val="auto"/>
          <w:highlight w:val="none"/>
          <w:lang w:eastAsia="zh-Hans"/>
        </w:rPr>
        <w:t>（</w:t>
      </w:r>
      <w:r>
        <w:rPr>
          <w:rFonts w:ascii="仿宋" w:hAnsi="仿宋" w:eastAsia="仿宋" w:cs="仿宋"/>
          <w:bCs/>
          <w:color w:val="auto"/>
          <w:highlight w:val="none"/>
          <w:lang w:eastAsia="zh-Hans"/>
        </w:rPr>
        <w:t>1）</w:t>
      </w:r>
      <w:r>
        <w:rPr>
          <w:rFonts w:hint="eastAsia" w:ascii="仿宋" w:hAnsi="仿宋" w:eastAsia="仿宋" w:cs="仿宋"/>
          <w:bCs/>
          <w:color w:val="auto"/>
          <w:highlight w:val="none"/>
        </w:rPr>
        <w:t>投标人</w:t>
      </w:r>
      <w:r>
        <w:rPr>
          <w:rFonts w:hint="eastAsia" w:ascii="仿宋" w:hAnsi="仿宋" w:eastAsia="仿宋" w:cs="仿宋"/>
          <w:bCs/>
          <w:color w:val="auto"/>
          <w:highlight w:val="none"/>
          <w:lang w:eastAsia="zh-Hans"/>
        </w:rPr>
        <w:t>须提供</w:t>
      </w:r>
      <w:r>
        <w:rPr>
          <w:rFonts w:ascii="仿宋" w:hAnsi="仿宋" w:eastAsia="仿宋" w:cs="仿宋"/>
          <w:bCs/>
          <w:color w:val="auto"/>
          <w:highlight w:val="none"/>
          <w:lang w:eastAsia="zh-Hans"/>
        </w:rPr>
        <w:t>7×8小时电话技术支持服务，并指定</w:t>
      </w:r>
      <w:r>
        <w:rPr>
          <w:rFonts w:hint="eastAsia" w:ascii="仿宋" w:hAnsi="仿宋" w:eastAsia="仿宋" w:cs="仿宋"/>
          <w:bCs/>
          <w:color w:val="auto"/>
          <w:highlight w:val="none"/>
        </w:rPr>
        <w:t>专人</w:t>
      </w:r>
      <w:r>
        <w:rPr>
          <w:rFonts w:ascii="仿宋" w:hAnsi="仿宋" w:eastAsia="仿宋" w:cs="仿宋"/>
          <w:bCs/>
          <w:color w:val="auto"/>
          <w:highlight w:val="none"/>
          <w:lang w:eastAsia="zh-Hans"/>
        </w:rPr>
        <w:t>负责本项目的售后联络</w:t>
      </w:r>
      <w:r>
        <w:rPr>
          <w:rFonts w:hint="eastAsia" w:ascii="仿宋" w:hAnsi="仿宋" w:eastAsia="仿宋" w:cs="仿宋"/>
          <w:bCs/>
          <w:color w:val="auto"/>
          <w:highlight w:val="none"/>
          <w:lang w:eastAsia="zh-Hans"/>
        </w:rPr>
        <w:t>。</w:t>
      </w:r>
    </w:p>
    <w:p w14:paraId="739EDF67">
      <w:pPr>
        <w:pStyle w:val="2"/>
        <w:spacing w:line="360" w:lineRule="auto"/>
        <w:contextualSpacing/>
        <w:rPr>
          <w:rFonts w:ascii="仿宋" w:hAnsi="仿宋" w:eastAsia="仿宋" w:cs="仿宋"/>
          <w:bCs/>
          <w:color w:val="auto"/>
          <w:highlight w:val="none"/>
          <w:lang w:eastAsia="zh-Hans"/>
        </w:rPr>
      </w:pPr>
      <w:r>
        <w:rPr>
          <w:rFonts w:hint="eastAsia" w:ascii="仿宋" w:hAnsi="仿宋" w:eastAsia="仿宋" w:cs="仿宋"/>
          <w:bCs/>
          <w:color w:val="auto"/>
          <w:highlight w:val="none"/>
          <w:lang w:eastAsia="zh-Hans"/>
        </w:rPr>
        <w:t>（</w:t>
      </w:r>
      <w:r>
        <w:rPr>
          <w:rFonts w:ascii="仿宋" w:hAnsi="仿宋" w:eastAsia="仿宋" w:cs="仿宋"/>
          <w:bCs/>
          <w:color w:val="auto"/>
          <w:highlight w:val="none"/>
          <w:lang w:eastAsia="zh-Hans"/>
        </w:rPr>
        <w:t>2）故障响应时间：接到</w:t>
      </w:r>
      <w:r>
        <w:rPr>
          <w:rFonts w:hint="eastAsia" w:ascii="仿宋" w:hAnsi="仿宋" w:eastAsia="仿宋" w:cs="仿宋"/>
          <w:bCs/>
          <w:color w:val="auto"/>
          <w:highlight w:val="none"/>
        </w:rPr>
        <w:t>采购人</w:t>
      </w:r>
      <w:r>
        <w:rPr>
          <w:rFonts w:hint="eastAsia" w:ascii="仿宋" w:hAnsi="仿宋" w:eastAsia="仿宋" w:cs="仿宋"/>
          <w:bCs/>
          <w:color w:val="auto"/>
          <w:highlight w:val="none"/>
          <w:lang w:eastAsia="zh-Hans"/>
        </w:rPr>
        <w:t>报修通知后，</w:t>
      </w:r>
      <w:r>
        <w:rPr>
          <w:rFonts w:ascii="仿宋" w:hAnsi="仿宋" w:eastAsia="仿宋" w:cs="仿宋"/>
          <w:bCs/>
          <w:color w:val="auto"/>
          <w:highlight w:val="none"/>
          <w:lang w:eastAsia="zh-Hans"/>
        </w:rPr>
        <w:t>1</w:t>
      </w:r>
      <w:r>
        <w:rPr>
          <w:rFonts w:hint="eastAsia" w:ascii="仿宋" w:hAnsi="仿宋" w:eastAsia="仿宋" w:cs="仿宋"/>
          <w:bCs/>
          <w:color w:val="auto"/>
          <w:highlight w:val="none"/>
          <w:lang w:eastAsia="zh-Hans"/>
        </w:rPr>
        <w:t>小时内响应，</w:t>
      </w:r>
      <w:r>
        <w:rPr>
          <w:rFonts w:ascii="仿宋" w:hAnsi="仿宋" w:eastAsia="仿宋" w:cs="仿宋"/>
          <w:bCs/>
          <w:color w:val="auto"/>
          <w:highlight w:val="none"/>
        </w:rPr>
        <w:t>24</w:t>
      </w:r>
      <w:r>
        <w:rPr>
          <w:rFonts w:hint="eastAsia" w:ascii="仿宋" w:hAnsi="仿宋" w:eastAsia="仿宋" w:cs="仿宋"/>
          <w:bCs/>
          <w:color w:val="auto"/>
          <w:highlight w:val="none"/>
          <w:lang w:eastAsia="zh-Hans"/>
        </w:rPr>
        <w:t>时内派技术人员到达现场，并维修成功以恢复设备正常使用。</w:t>
      </w:r>
    </w:p>
    <w:p w14:paraId="3ECAD12A">
      <w:pPr>
        <w:pStyle w:val="2"/>
        <w:spacing w:line="360" w:lineRule="auto"/>
        <w:contextualSpacing/>
        <w:rPr>
          <w:rFonts w:ascii="仿宋" w:hAnsi="仿宋" w:eastAsia="仿宋" w:cs="仿宋"/>
          <w:bCs/>
          <w:color w:val="auto"/>
          <w:highlight w:val="none"/>
          <w:lang w:eastAsia="zh-Hans"/>
        </w:rPr>
      </w:pPr>
      <w:r>
        <w:rPr>
          <w:rFonts w:hint="eastAsia" w:ascii="仿宋" w:hAnsi="仿宋" w:eastAsia="仿宋" w:cs="仿宋"/>
          <w:bCs/>
          <w:color w:val="auto"/>
          <w:highlight w:val="none"/>
          <w:lang w:eastAsia="zh-Hans"/>
        </w:rPr>
        <w:t>若</w:t>
      </w:r>
      <w:r>
        <w:rPr>
          <w:rFonts w:hint="eastAsia" w:ascii="仿宋" w:hAnsi="仿宋" w:eastAsia="仿宋" w:cs="仿宋"/>
          <w:bCs/>
          <w:color w:val="auto"/>
          <w:highlight w:val="none"/>
        </w:rPr>
        <w:t>投标人</w:t>
      </w:r>
      <w:r>
        <w:rPr>
          <w:rFonts w:ascii="仿宋" w:hAnsi="仿宋" w:eastAsia="仿宋" w:cs="仿宋"/>
          <w:bCs/>
          <w:color w:val="auto"/>
          <w:highlight w:val="none"/>
        </w:rPr>
        <w:t>24</w:t>
      </w:r>
      <w:r>
        <w:rPr>
          <w:rFonts w:hint="eastAsia" w:ascii="仿宋" w:hAnsi="仿宋" w:eastAsia="仿宋" w:cs="仿宋"/>
          <w:bCs/>
          <w:color w:val="auto"/>
          <w:highlight w:val="none"/>
          <w:lang w:eastAsia="zh-Hans"/>
        </w:rPr>
        <w:t>小时仍未修复设备至正常使用，</w:t>
      </w:r>
      <w:r>
        <w:rPr>
          <w:rFonts w:hint="eastAsia" w:ascii="仿宋" w:hAnsi="仿宋" w:eastAsia="仿宋" w:cs="仿宋"/>
          <w:bCs/>
          <w:color w:val="auto"/>
          <w:highlight w:val="none"/>
        </w:rPr>
        <w:t>投标人</w:t>
      </w:r>
      <w:r>
        <w:rPr>
          <w:rFonts w:hint="eastAsia" w:ascii="仿宋" w:hAnsi="仿宋" w:eastAsia="仿宋" w:cs="仿宋"/>
          <w:bCs/>
          <w:color w:val="auto"/>
          <w:highlight w:val="none"/>
          <w:lang w:eastAsia="zh-Hans"/>
        </w:rPr>
        <w:t>应提供同等或更高规格的备用机供</w:t>
      </w:r>
      <w:r>
        <w:rPr>
          <w:rFonts w:hint="eastAsia" w:ascii="仿宋" w:hAnsi="仿宋" w:eastAsia="仿宋" w:cs="仿宋"/>
          <w:bCs/>
          <w:color w:val="auto"/>
          <w:highlight w:val="none"/>
        </w:rPr>
        <w:t>采购人</w:t>
      </w:r>
      <w:r>
        <w:rPr>
          <w:rFonts w:hint="eastAsia" w:ascii="仿宋" w:hAnsi="仿宋" w:eastAsia="仿宋" w:cs="仿宋"/>
          <w:bCs/>
          <w:color w:val="auto"/>
          <w:highlight w:val="none"/>
          <w:lang w:eastAsia="zh-Hans"/>
        </w:rPr>
        <w:t>使用至设备恢复正常使用为止。如设备在</w:t>
      </w:r>
      <w:r>
        <w:rPr>
          <w:rFonts w:ascii="仿宋" w:hAnsi="仿宋" w:eastAsia="仿宋" w:cs="仿宋"/>
          <w:bCs/>
          <w:color w:val="auto"/>
          <w:highlight w:val="none"/>
          <w:lang w:eastAsia="zh-Hans"/>
        </w:rPr>
        <w:t>1个月内无法修复，</w:t>
      </w:r>
      <w:r>
        <w:rPr>
          <w:rFonts w:hint="eastAsia" w:ascii="仿宋" w:hAnsi="仿宋" w:eastAsia="仿宋" w:cs="仿宋"/>
          <w:bCs/>
          <w:color w:val="auto"/>
          <w:highlight w:val="none"/>
        </w:rPr>
        <w:t>投标人</w:t>
      </w:r>
      <w:r>
        <w:rPr>
          <w:rFonts w:hint="eastAsia" w:ascii="仿宋" w:hAnsi="仿宋" w:eastAsia="仿宋" w:cs="仿宋"/>
          <w:bCs/>
          <w:color w:val="auto"/>
          <w:highlight w:val="none"/>
          <w:lang w:eastAsia="zh-Hans"/>
        </w:rPr>
        <w:t>负责更换全新同型号或性能更优型号的设备。</w:t>
      </w:r>
    </w:p>
    <w:p w14:paraId="74DED6AE">
      <w:pPr>
        <w:pStyle w:val="2"/>
        <w:spacing w:line="360" w:lineRule="auto"/>
        <w:contextualSpacing/>
        <w:rPr>
          <w:rFonts w:ascii="仿宋" w:hAnsi="仿宋" w:eastAsia="仿宋" w:cs="仿宋"/>
          <w:bCs/>
          <w:color w:val="auto"/>
          <w:highlight w:val="none"/>
          <w:lang w:eastAsia="zh-Hans"/>
        </w:rPr>
      </w:pPr>
      <w:r>
        <w:rPr>
          <w:rFonts w:hint="eastAsia" w:ascii="仿宋" w:hAnsi="仿宋" w:eastAsia="仿宋" w:cs="仿宋"/>
          <w:bCs/>
          <w:color w:val="auto"/>
          <w:highlight w:val="none"/>
          <w:lang w:eastAsia="zh-Hans"/>
        </w:rPr>
        <w:t>（</w:t>
      </w:r>
      <w:r>
        <w:rPr>
          <w:rFonts w:ascii="仿宋" w:hAnsi="仿宋" w:eastAsia="仿宋" w:cs="仿宋"/>
          <w:bCs/>
          <w:color w:val="auto"/>
          <w:highlight w:val="none"/>
          <w:lang w:eastAsia="zh-Hans"/>
        </w:rPr>
        <w:t>3）故障解决时限：</w:t>
      </w:r>
    </w:p>
    <w:p w14:paraId="5E99F36D">
      <w:pPr>
        <w:pStyle w:val="2"/>
        <w:spacing w:line="360" w:lineRule="auto"/>
        <w:contextualSpacing/>
        <w:rPr>
          <w:rFonts w:ascii="仿宋" w:hAnsi="仿宋" w:eastAsia="仿宋" w:cs="仿宋"/>
          <w:bCs/>
          <w:color w:val="auto"/>
          <w:highlight w:val="none"/>
        </w:rPr>
      </w:pPr>
      <w:r>
        <w:rPr>
          <w:rFonts w:ascii="仿宋" w:hAnsi="仿宋" w:eastAsia="仿宋" w:cs="仿宋"/>
          <w:bCs/>
          <w:color w:val="auto"/>
          <w:highlight w:val="none"/>
          <w:lang w:eastAsia="zh-Hans"/>
        </w:rPr>
        <w:t>1）一般故障应在</w:t>
      </w:r>
      <w:r>
        <w:rPr>
          <w:rFonts w:ascii="仿宋" w:hAnsi="仿宋" w:eastAsia="仿宋" w:cs="仿宋"/>
          <w:bCs/>
          <w:color w:val="auto"/>
          <w:highlight w:val="none"/>
        </w:rPr>
        <w:t>24</w:t>
      </w:r>
      <w:r>
        <w:rPr>
          <w:rFonts w:hint="eastAsia" w:ascii="仿宋" w:hAnsi="仿宋" w:eastAsia="仿宋" w:cs="仿宋"/>
          <w:bCs/>
          <w:color w:val="auto"/>
          <w:highlight w:val="none"/>
          <w:lang w:eastAsia="zh-Hans"/>
        </w:rPr>
        <w:t>小时内修复</w:t>
      </w:r>
      <w:r>
        <w:rPr>
          <w:rFonts w:hint="eastAsia" w:ascii="仿宋" w:hAnsi="仿宋" w:eastAsia="仿宋" w:cs="仿宋"/>
          <w:bCs/>
          <w:color w:val="auto"/>
          <w:highlight w:val="none"/>
        </w:rPr>
        <w:t>。</w:t>
      </w:r>
    </w:p>
    <w:p w14:paraId="1FF1E353">
      <w:pPr>
        <w:pStyle w:val="2"/>
        <w:spacing w:line="360" w:lineRule="auto"/>
        <w:contextualSpacing/>
        <w:rPr>
          <w:rFonts w:ascii="仿宋" w:hAnsi="仿宋" w:eastAsia="仿宋" w:cs="仿宋"/>
          <w:bCs/>
          <w:color w:val="auto"/>
          <w:highlight w:val="none"/>
        </w:rPr>
      </w:pPr>
      <w:r>
        <w:rPr>
          <w:rFonts w:ascii="仿宋" w:hAnsi="仿宋" w:eastAsia="仿宋" w:cs="仿宋"/>
          <w:bCs/>
          <w:color w:val="auto"/>
          <w:highlight w:val="none"/>
          <w:lang w:eastAsia="zh-Hans"/>
        </w:rPr>
        <w:t>2）重大故障（影响设备主要功能或涉及安全）应在</w:t>
      </w:r>
      <w:r>
        <w:rPr>
          <w:rFonts w:ascii="仿宋" w:hAnsi="仿宋" w:eastAsia="仿宋" w:cs="仿宋"/>
          <w:bCs/>
          <w:color w:val="auto"/>
          <w:highlight w:val="none"/>
        </w:rPr>
        <w:t>4</w:t>
      </w:r>
      <w:r>
        <w:rPr>
          <w:rFonts w:hint="eastAsia" w:ascii="仿宋" w:hAnsi="仿宋" w:eastAsia="仿宋" w:cs="仿宋"/>
          <w:bCs/>
          <w:color w:val="auto"/>
          <w:highlight w:val="none"/>
          <w:lang w:eastAsia="zh-Hans"/>
        </w:rPr>
        <w:t>小时内解决</w:t>
      </w:r>
      <w:r>
        <w:rPr>
          <w:rFonts w:hint="eastAsia" w:ascii="仿宋" w:hAnsi="仿宋" w:eastAsia="仿宋" w:cs="仿宋"/>
          <w:bCs/>
          <w:color w:val="auto"/>
          <w:highlight w:val="none"/>
        </w:rPr>
        <w:t>。</w:t>
      </w:r>
    </w:p>
    <w:p w14:paraId="2E7B649E">
      <w:pPr>
        <w:pStyle w:val="2"/>
        <w:spacing w:line="360" w:lineRule="auto"/>
        <w:contextualSpacing/>
        <w:rPr>
          <w:rFonts w:ascii="仿宋" w:hAnsi="仿宋" w:eastAsia="仿宋" w:cs="仿宋"/>
          <w:bCs/>
          <w:color w:val="auto"/>
          <w:highlight w:val="none"/>
          <w:lang w:eastAsia="zh-Hans"/>
        </w:rPr>
      </w:pPr>
      <w:r>
        <w:rPr>
          <w:rFonts w:ascii="仿宋" w:hAnsi="仿宋" w:eastAsia="仿宋" w:cs="仿宋"/>
          <w:bCs/>
          <w:color w:val="auto"/>
          <w:highlight w:val="none"/>
          <w:lang w:eastAsia="zh-Hans"/>
        </w:rPr>
        <w:t>3）若无法在规定时限内修复，</w:t>
      </w:r>
      <w:r>
        <w:rPr>
          <w:rFonts w:hint="eastAsia" w:ascii="仿宋" w:hAnsi="仿宋" w:eastAsia="仿宋" w:cs="仿宋"/>
          <w:bCs/>
          <w:color w:val="auto"/>
          <w:highlight w:val="none"/>
        </w:rPr>
        <w:t>投标人</w:t>
      </w:r>
      <w:r>
        <w:rPr>
          <w:rFonts w:hint="eastAsia" w:ascii="仿宋" w:hAnsi="仿宋" w:eastAsia="仿宋" w:cs="仿宋"/>
          <w:bCs/>
          <w:color w:val="auto"/>
          <w:highlight w:val="none"/>
          <w:lang w:eastAsia="zh-Hans"/>
        </w:rPr>
        <w:t>须提供备用设备或采取其他有效措施，确保</w:t>
      </w:r>
      <w:r>
        <w:rPr>
          <w:rFonts w:hint="eastAsia" w:ascii="仿宋" w:hAnsi="仿宋" w:eastAsia="仿宋" w:cs="仿宋"/>
          <w:bCs/>
          <w:color w:val="auto"/>
          <w:highlight w:val="none"/>
        </w:rPr>
        <w:t>采购人</w:t>
      </w:r>
      <w:r>
        <w:rPr>
          <w:rFonts w:hint="eastAsia" w:ascii="仿宋" w:hAnsi="仿宋" w:eastAsia="仿宋" w:cs="仿宋"/>
          <w:bCs/>
          <w:color w:val="auto"/>
          <w:highlight w:val="none"/>
          <w:lang w:eastAsia="zh-Hans"/>
        </w:rPr>
        <w:t>正常工作不受影响。</w:t>
      </w:r>
    </w:p>
    <w:p w14:paraId="4A818854">
      <w:pPr>
        <w:pStyle w:val="2"/>
        <w:spacing w:line="360" w:lineRule="auto"/>
        <w:contextualSpacing/>
        <w:rPr>
          <w:rFonts w:ascii="仿宋" w:hAnsi="仿宋" w:eastAsia="仿宋" w:cs="仿宋"/>
          <w:bCs/>
          <w:color w:val="auto"/>
          <w:highlight w:val="none"/>
          <w:lang w:eastAsia="zh-Hans"/>
        </w:rPr>
      </w:pPr>
      <w:r>
        <w:rPr>
          <w:rFonts w:hint="eastAsia" w:ascii="仿宋" w:hAnsi="仿宋" w:eastAsia="仿宋" w:cs="仿宋"/>
          <w:bCs/>
          <w:color w:val="auto"/>
          <w:highlight w:val="none"/>
        </w:rPr>
        <w:t>3</w:t>
      </w:r>
      <w:r>
        <w:rPr>
          <w:rFonts w:hint="eastAsia" w:ascii="仿宋" w:hAnsi="仿宋" w:eastAsia="仿宋" w:cs="仿宋"/>
          <w:bCs/>
          <w:color w:val="auto"/>
          <w:highlight w:val="none"/>
          <w:lang w:eastAsia="zh-Hans"/>
        </w:rPr>
        <w:t>、具体的服务方式和要求：</w:t>
      </w:r>
    </w:p>
    <w:p w14:paraId="644F7B96">
      <w:pPr>
        <w:pStyle w:val="2"/>
        <w:spacing w:line="360" w:lineRule="auto"/>
        <w:contextualSpacing/>
        <w:rPr>
          <w:rFonts w:ascii="仿宋" w:hAnsi="仿宋" w:eastAsia="仿宋" w:cs="仿宋"/>
          <w:bCs/>
          <w:color w:val="auto"/>
          <w:highlight w:val="none"/>
          <w:lang w:eastAsia="zh-Hans"/>
        </w:rPr>
      </w:pPr>
      <w:r>
        <w:rPr>
          <w:rFonts w:hint="eastAsia" w:ascii="仿宋" w:hAnsi="仿宋" w:eastAsia="仿宋" w:cs="仿宋"/>
          <w:bCs/>
          <w:color w:val="auto"/>
          <w:highlight w:val="none"/>
        </w:rPr>
        <w:t>（</w:t>
      </w:r>
      <w:r>
        <w:rPr>
          <w:rFonts w:ascii="仿宋" w:hAnsi="仿宋" w:eastAsia="仿宋" w:cs="仿宋"/>
          <w:bCs/>
          <w:color w:val="auto"/>
          <w:highlight w:val="none"/>
        </w:rPr>
        <w:t>1）</w:t>
      </w:r>
      <w:r>
        <w:rPr>
          <w:rFonts w:hint="eastAsia" w:ascii="仿宋" w:hAnsi="仿宋" w:eastAsia="仿宋" w:cs="仿宋"/>
          <w:bCs/>
          <w:color w:val="auto"/>
          <w:highlight w:val="none"/>
          <w:lang w:eastAsia="zh-Hans"/>
        </w:rPr>
        <w:t>电话支持：</w:t>
      </w:r>
      <w:r>
        <w:rPr>
          <w:rFonts w:hint="eastAsia" w:ascii="仿宋" w:hAnsi="仿宋" w:eastAsia="仿宋" w:cs="仿宋"/>
          <w:bCs/>
          <w:color w:val="auto"/>
          <w:highlight w:val="none"/>
        </w:rPr>
        <w:t>投标人</w:t>
      </w:r>
      <w:r>
        <w:rPr>
          <w:rFonts w:hint="eastAsia" w:ascii="仿宋" w:hAnsi="仿宋" w:eastAsia="仿宋" w:cs="仿宋"/>
          <w:bCs/>
          <w:color w:val="auto"/>
          <w:highlight w:val="none"/>
          <w:lang w:eastAsia="zh-Hans"/>
        </w:rPr>
        <w:t>提供的电话支持服务且不限次数。并提供服务联系人和联系方式。</w:t>
      </w:r>
    </w:p>
    <w:p w14:paraId="1AD54F10">
      <w:pPr>
        <w:pStyle w:val="2"/>
        <w:spacing w:line="360" w:lineRule="auto"/>
        <w:contextualSpacing/>
        <w:rPr>
          <w:rFonts w:ascii="仿宋" w:hAnsi="仿宋" w:eastAsia="仿宋" w:cs="仿宋"/>
          <w:bCs/>
          <w:color w:val="auto"/>
          <w:highlight w:val="none"/>
        </w:rPr>
      </w:pPr>
      <w:r>
        <w:rPr>
          <w:rFonts w:hint="eastAsia" w:ascii="仿宋" w:hAnsi="仿宋" w:eastAsia="仿宋" w:cs="仿宋"/>
          <w:bCs/>
          <w:color w:val="auto"/>
          <w:highlight w:val="none"/>
        </w:rPr>
        <w:t>（</w:t>
      </w:r>
      <w:r>
        <w:rPr>
          <w:rFonts w:ascii="仿宋" w:hAnsi="仿宋" w:eastAsia="仿宋" w:cs="仿宋"/>
          <w:bCs/>
          <w:color w:val="auto"/>
          <w:highlight w:val="none"/>
        </w:rPr>
        <w:t>2）</w:t>
      </w:r>
      <w:r>
        <w:rPr>
          <w:rFonts w:hint="eastAsia" w:ascii="仿宋" w:hAnsi="仿宋" w:eastAsia="仿宋" w:cs="仿宋"/>
          <w:bCs/>
          <w:color w:val="auto"/>
          <w:highlight w:val="none"/>
          <w:lang w:eastAsia="zh-Hans"/>
        </w:rPr>
        <w:t>远程支持：</w:t>
      </w:r>
      <w:r>
        <w:rPr>
          <w:rFonts w:hint="eastAsia" w:ascii="仿宋" w:hAnsi="仿宋" w:eastAsia="仿宋" w:cs="仿宋"/>
          <w:bCs/>
          <w:color w:val="auto"/>
          <w:highlight w:val="none"/>
        </w:rPr>
        <w:t>投标人</w:t>
      </w:r>
      <w:r>
        <w:rPr>
          <w:rFonts w:hint="eastAsia" w:ascii="仿宋" w:hAnsi="仿宋" w:eastAsia="仿宋" w:cs="仿宋"/>
          <w:bCs/>
          <w:color w:val="auto"/>
          <w:highlight w:val="none"/>
          <w:lang w:eastAsia="zh-Hans"/>
        </w:rPr>
        <w:t>提供邮件和远程拨入用户的系统，进行咨询、诊断和修复，且不限次数。</w:t>
      </w:r>
      <w:r>
        <w:rPr>
          <w:rFonts w:hint="eastAsia" w:ascii="仿宋" w:hAnsi="仿宋" w:eastAsia="仿宋" w:cs="仿宋"/>
          <w:bCs/>
          <w:color w:val="auto"/>
          <w:highlight w:val="none"/>
        </w:rPr>
        <w:t>并提供</w:t>
      </w:r>
      <w:r>
        <w:rPr>
          <w:rFonts w:hint="eastAsia" w:ascii="仿宋" w:hAnsi="仿宋" w:eastAsia="仿宋" w:cs="仿宋"/>
          <w:bCs/>
          <w:color w:val="auto"/>
          <w:highlight w:val="none"/>
          <w:lang w:eastAsia="zh-Hans"/>
        </w:rPr>
        <w:t>邮箱地址。</w:t>
      </w:r>
    </w:p>
    <w:p w14:paraId="3FF81A25">
      <w:pPr>
        <w:pStyle w:val="2"/>
        <w:spacing w:line="360" w:lineRule="auto"/>
        <w:contextualSpacing/>
        <w:rPr>
          <w:rFonts w:ascii="仿宋" w:hAnsi="仿宋" w:eastAsia="仿宋" w:cs="仿宋"/>
          <w:bCs/>
          <w:color w:val="auto"/>
          <w:highlight w:val="none"/>
          <w:lang w:eastAsia="zh-Hans"/>
        </w:rPr>
      </w:pPr>
      <w:r>
        <w:rPr>
          <w:rFonts w:hint="eastAsia" w:ascii="仿宋" w:hAnsi="仿宋" w:eastAsia="仿宋" w:cs="仿宋"/>
          <w:bCs/>
          <w:color w:val="auto"/>
          <w:highlight w:val="none"/>
        </w:rPr>
        <w:t>（</w:t>
      </w:r>
      <w:r>
        <w:rPr>
          <w:rFonts w:ascii="仿宋" w:hAnsi="仿宋" w:eastAsia="仿宋" w:cs="仿宋"/>
          <w:bCs/>
          <w:color w:val="auto"/>
          <w:highlight w:val="none"/>
        </w:rPr>
        <w:t>3）</w:t>
      </w:r>
      <w:r>
        <w:rPr>
          <w:rFonts w:hint="eastAsia" w:ascii="仿宋" w:hAnsi="仿宋" w:eastAsia="仿宋" w:cs="仿宋"/>
          <w:bCs/>
          <w:color w:val="auto"/>
          <w:highlight w:val="none"/>
          <w:lang w:eastAsia="zh-Hans"/>
        </w:rPr>
        <w:t>现场故障处理：如果</w:t>
      </w:r>
      <w:r>
        <w:rPr>
          <w:rFonts w:hint="eastAsia" w:ascii="仿宋" w:hAnsi="仿宋" w:eastAsia="仿宋" w:cs="仿宋"/>
          <w:bCs/>
          <w:color w:val="auto"/>
          <w:highlight w:val="none"/>
        </w:rPr>
        <w:t>投标人</w:t>
      </w:r>
      <w:r>
        <w:rPr>
          <w:rFonts w:hint="eastAsia" w:ascii="仿宋" w:hAnsi="仿宋" w:eastAsia="仿宋" w:cs="仿宋"/>
          <w:bCs/>
          <w:color w:val="auto"/>
          <w:highlight w:val="none"/>
          <w:lang w:eastAsia="zh-Hans"/>
        </w:rPr>
        <w:t>不能通过电话服务或远程支持方式解决</w:t>
      </w:r>
      <w:r>
        <w:rPr>
          <w:rFonts w:hint="eastAsia" w:ascii="仿宋" w:hAnsi="仿宋" w:eastAsia="仿宋" w:cs="仿宋"/>
          <w:bCs/>
          <w:color w:val="auto"/>
          <w:highlight w:val="none"/>
        </w:rPr>
        <w:t>采购人</w:t>
      </w:r>
      <w:r>
        <w:rPr>
          <w:rFonts w:hint="eastAsia" w:ascii="仿宋" w:hAnsi="仿宋" w:eastAsia="仿宋" w:cs="仿宋"/>
          <w:bCs/>
          <w:color w:val="auto"/>
          <w:highlight w:val="none"/>
          <w:lang w:eastAsia="zh-Hans"/>
        </w:rPr>
        <w:t>问题，</w:t>
      </w:r>
      <w:r>
        <w:rPr>
          <w:rFonts w:hint="eastAsia" w:ascii="仿宋" w:hAnsi="仿宋" w:eastAsia="仿宋" w:cs="仿宋"/>
          <w:bCs/>
          <w:color w:val="auto"/>
          <w:highlight w:val="none"/>
        </w:rPr>
        <w:t>投标人</w:t>
      </w:r>
      <w:r>
        <w:rPr>
          <w:rFonts w:hint="eastAsia" w:ascii="仿宋" w:hAnsi="仿宋" w:eastAsia="仿宋" w:cs="仿宋"/>
          <w:bCs/>
          <w:color w:val="auto"/>
          <w:highlight w:val="none"/>
          <w:lang w:eastAsia="zh-Hans"/>
        </w:rPr>
        <w:t>到达现场并解决故障。</w:t>
      </w:r>
    </w:p>
    <w:p w14:paraId="48912593">
      <w:pPr>
        <w:pStyle w:val="2"/>
        <w:spacing w:line="360" w:lineRule="auto"/>
        <w:contextualSpacing/>
        <w:rPr>
          <w:rFonts w:ascii="仿宋" w:hAnsi="仿宋" w:eastAsia="仿宋" w:cs="仿宋"/>
          <w:bCs/>
          <w:color w:val="auto"/>
          <w:highlight w:val="none"/>
          <w:lang w:eastAsia="zh-Hans"/>
        </w:rPr>
      </w:pPr>
      <w:r>
        <w:rPr>
          <w:rFonts w:hint="eastAsia" w:ascii="仿宋" w:hAnsi="仿宋" w:eastAsia="仿宋" w:cs="仿宋"/>
          <w:bCs/>
          <w:color w:val="auto"/>
          <w:highlight w:val="none"/>
        </w:rPr>
        <w:t>4</w:t>
      </w:r>
      <w:r>
        <w:rPr>
          <w:rFonts w:hint="eastAsia" w:ascii="仿宋" w:hAnsi="仿宋" w:eastAsia="仿宋" w:cs="仿宋"/>
          <w:bCs/>
          <w:color w:val="auto"/>
          <w:highlight w:val="none"/>
          <w:lang w:eastAsia="zh-Hans"/>
        </w:rPr>
        <w:t>、质保期内，因产品设计、制造缺陷或材料问题导致的任何故障，</w:t>
      </w:r>
      <w:r>
        <w:rPr>
          <w:rFonts w:hint="eastAsia" w:ascii="仿宋" w:hAnsi="仿宋" w:eastAsia="仿宋" w:cs="仿宋"/>
          <w:bCs/>
          <w:color w:val="auto"/>
          <w:highlight w:val="none"/>
        </w:rPr>
        <w:t>投标人</w:t>
      </w:r>
      <w:r>
        <w:rPr>
          <w:rFonts w:hint="eastAsia" w:ascii="仿宋" w:hAnsi="仿宋" w:eastAsia="仿宋" w:cs="仿宋"/>
          <w:bCs/>
          <w:color w:val="auto"/>
          <w:highlight w:val="none"/>
          <w:lang w:eastAsia="zh-Hans"/>
        </w:rPr>
        <w:t>应免费维修或更换，并承担由此产生的一切费用（包括但不限于运输费、人工费、上门费、更换零部件费用）。</w:t>
      </w:r>
    </w:p>
    <w:p w14:paraId="27EAFFD5">
      <w:pPr>
        <w:pStyle w:val="2"/>
        <w:spacing w:line="360" w:lineRule="auto"/>
        <w:contextualSpacing/>
        <w:rPr>
          <w:rFonts w:ascii="仿宋" w:hAnsi="仿宋" w:eastAsia="仿宋" w:cs="仿宋"/>
          <w:bCs/>
          <w:color w:val="auto"/>
          <w:highlight w:val="none"/>
        </w:rPr>
      </w:pPr>
      <w:r>
        <w:rPr>
          <w:rFonts w:hint="eastAsia" w:ascii="仿宋" w:hAnsi="仿宋" w:eastAsia="仿宋" w:cs="仿宋"/>
          <w:bCs/>
          <w:color w:val="auto"/>
          <w:highlight w:val="none"/>
        </w:rPr>
        <w:t>5、验收前，投标人应将完整的资料（包括但不限于技术文档、相关图纸、设备说明书、操作手册等）提交给采购人存档管理。</w:t>
      </w:r>
    </w:p>
    <w:p w14:paraId="5F9183B4">
      <w:pPr>
        <w:spacing w:line="360" w:lineRule="auto"/>
        <w:ind w:firstLine="482" w:firstLineChars="200"/>
        <w:contextualSpacing/>
        <w:rPr>
          <w:rFonts w:ascii="仿宋" w:hAnsi="仿宋" w:eastAsia="仿宋" w:cs="仿宋"/>
          <w:b/>
          <w:bCs/>
          <w:color w:val="auto"/>
          <w:sz w:val="24"/>
          <w:highlight w:val="none"/>
        </w:rPr>
      </w:pPr>
      <w:r>
        <w:rPr>
          <w:rFonts w:hint="eastAsia" w:ascii="仿宋" w:hAnsi="仿宋" w:eastAsia="仿宋" w:cs="仿宋"/>
          <w:b/>
          <w:bCs/>
          <w:color w:val="auto"/>
          <w:sz w:val="24"/>
          <w:highlight w:val="none"/>
        </w:rPr>
        <w:t>三、技术要求</w:t>
      </w:r>
    </w:p>
    <w:p w14:paraId="56140C47">
      <w:pPr>
        <w:spacing w:line="360" w:lineRule="auto"/>
        <w:ind w:firstLine="482" w:firstLineChars="200"/>
        <w:contextualSpacing/>
        <w:rPr>
          <w:rFonts w:ascii="仿宋" w:hAnsi="仿宋" w:eastAsia="仿宋" w:cs="仿宋"/>
          <w:b/>
          <w:bCs/>
          <w:color w:val="auto"/>
          <w:sz w:val="24"/>
          <w:highlight w:val="none"/>
        </w:rPr>
      </w:pPr>
      <w:r>
        <w:rPr>
          <w:rFonts w:hint="eastAsia" w:ascii="仿宋" w:hAnsi="仿宋" w:eastAsia="仿宋" w:cs="仿宋"/>
          <w:b/>
          <w:bCs/>
          <w:color w:val="auto"/>
          <w:sz w:val="24"/>
          <w:highlight w:val="none"/>
        </w:rPr>
        <w:t>（一）基本要求</w:t>
      </w:r>
    </w:p>
    <w:p w14:paraId="1F3DA765">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1、采购标的需实现的功能或者目标</w:t>
      </w:r>
    </w:p>
    <w:p w14:paraId="45E20440">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医院建筑规模大、电气设施布设密集，院内住院患者行动不便、疏散难度较高，消防安全风险突出。定期对灭火器、室内消火栓、消防应急照明等消防设施开展巡检与维保，是有效处置初期火灾的核心保障，可确保院区消防条件符合现行消防法规及工程验收标准。</w:t>
      </w:r>
    </w:p>
    <w:p w14:paraId="306844E6">
      <w:pPr>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2、需执行的国家相关标准、行业标准、地方标准或者其他标准、规范</w:t>
      </w:r>
    </w:p>
    <w:p w14:paraId="57DDFF86">
      <w:pPr>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2.1、所有设备的设计、制造、检验、包装、运输、安装及验收均须需满足国家、北京市及采购人各项最新标准及规范要求。注：以上均按最新标准执行。</w:t>
      </w:r>
    </w:p>
    <w:p w14:paraId="6E614A32">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2.2、如采购内容涉及节能产品政府采购品目清单中标注</w:t>
      </w:r>
      <w:bookmarkStart w:id="43" w:name="OLE_LINK51"/>
      <w:bookmarkStart w:id="44" w:name="OLE_LINK52"/>
      <w:r>
        <w:rPr>
          <w:rFonts w:hint="eastAsia" w:ascii="仿宋" w:hAnsi="仿宋" w:eastAsia="仿宋" w:cs="仿宋"/>
          <w:bCs/>
          <w:color w:val="auto"/>
          <w:sz w:val="24"/>
          <w:highlight w:val="none"/>
        </w:rPr>
        <w:t>★</w:t>
      </w:r>
      <w:bookmarkEnd w:id="43"/>
      <w:bookmarkEnd w:id="44"/>
      <w:r>
        <w:rPr>
          <w:rFonts w:hint="eastAsia" w:ascii="仿宋" w:hAnsi="仿宋" w:eastAsia="仿宋" w:cs="仿宋"/>
          <w:bCs/>
          <w:color w:val="auto"/>
          <w:sz w:val="24"/>
          <w:highlight w:val="none"/>
        </w:rPr>
        <w:t>的政府强制采购产品，需按市场监管总局关于发布参与实施政府采购节能产品、环境标志产品认证机构名录的公告（2019年第16号）等政策要求在投标文件中提供对应产品的证明材料。</w:t>
      </w:r>
    </w:p>
    <w:p w14:paraId="59F663BA">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2.3、消火栓箱体内灭火器、干粉灭火器、二氧化碳灭火器执行标准GB4351-2023《手提式灭火器》。</w:t>
      </w:r>
    </w:p>
    <w:p w14:paraId="3C7DE724">
      <w:pPr>
        <w:pStyle w:val="2"/>
        <w:spacing w:line="360" w:lineRule="auto"/>
        <w:rPr>
          <w:color w:val="auto"/>
          <w:highlight w:val="none"/>
        </w:rPr>
      </w:pPr>
      <w:r>
        <w:rPr>
          <w:rFonts w:hint="eastAsia"/>
          <w:color w:val="auto"/>
          <w:highlight w:val="none"/>
        </w:rPr>
        <w:t>2.4、</w:t>
      </w:r>
      <w:r>
        <w:rPr>
          <w:rFonts w:hint="eastAsia" w:ascii="仿宋" w:hAnsi="仿宋" w:eastAsia="仿宋" w:cs="宋体"/>
          <w:color w:val="auto"/>
          <w:kern w:val="0"/>
          <w:szCs w:val="21"/>
          <w:highlight w:val="none"/>
          <w:lang w:bidi="ar"/>
        </w:rPr>
        <w:t>消防呼救器执行标准3C国标、GB 27900《消防员呼救器》。</w:t>
      </w:r>
    </w:p>
    <w:p w14:paraId="384D2AF5">
      <w:pPr>
        <w:pStyle w:val="2"/>
        <w:spacing w:line="360" w:lineRule="auto"/>
        <w:rPr>
          <w:color w:val="auto"/>
          <w:highlight w:val="none"/>
        </w:rPr>
      </w:pPr>
      <w:r>
        <w:rPr>
          <w:rFonts w:hint="eastAsia"/>
          <w:color w:val="auto"/>
          <w:highlight w:val="none"/>
        </w:rPr>
        <w:t>2.5、</w:t>
      </w:r>
      <w:r>
        <w:rPr>
          <w:rFonts w:hint="eastAsia" w:ascii="仿宋" w:hAnsi="仿宋" w:eastAsia="仿宋" w:cs="宋体"/>
          <w:color w:val="auto"/>
          <w:kern w:val="0"/>
          <w:szCs w:val="21"/>
          <w:highlight w:val="none"/>
          <w:lang w:bidi="ar"/>
        </w:rPr>
        <w:t>防毒面具</w:t>
      </w:r>
      <w:r>
        <w:rPr>
          <w:rFonts w:hint="eastAsia" w:ascii="仿宋" w:hAnsi="仿宋" w:eastAsia="仿宋" w:cs="宋体"/>
          <w:color w:val="auto"/>
          <w:kern w:val="0"/>
          <w:szCs w:val="21"/>
          <w:highlight w:val="none"/>
          <w:lang w:bidi="ar"/>
        </w:rPr>
        <w:t>执行GB 2890—2022《呼吸防护自吸过滤式防毒面具》。</w:t>
      </w:r>
    </w:p>
    <w:p w14:paraId="61051E8A">
      <w:pPr>
        <w:pStyle w:val="2"/>
        <w:spacing w:line="360" w:lineRule="auto"/>
        <w:rPr>
          <w:color w:val="auto"/>
          <w:highlight w:val="none"/>
        </w:rPr>
      </w:pPr>
    </w:p>
    <w:p w14:paraId="6EBA2764">
      <w:pPr>
        <w:spacing w:line="360" w:lineRule="auto"/>
        <w:ind w:firstLine="482" w:firstLineChars="200"/>
        <w:contextualSpacing/>
        <w:rPr>
          <w:rFonts w:ascii="仿宋" w:hAnsi="仿宋" w:eastAsia="仿宋" w:cs="仿宋"/>
          <w:b/>
          <w:bCs/>
          <w:color w:val="auto"/>
          <w:sz w:val="24"/>
          <w:highlight w:val="none"/>
        </w:rPr>
      </w:pPr>
      <w:r>
        <w:rPr>
          <w:rFonts w:hint="eastAsia" w:ascii="仿宋" w:hAnsi="仿宋" w:eastAsia="仿宋" w:cs="仿宋"/>
          <w:b/>
          <w:bCs/>
          <w:color w:val="auto"/>
          <w:sz w:val="24"/>
          <w:highlight w:val="none"/>
        </w:rPr>
        <w:t>（二）服务内容及要求/货物技术要求</w:t>
      </w:r>
    </w:p>
    <w:p w14:paraId="1F32F542">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1、采购标的需满足的性能、材料、结构、外观、质量、安全、技术规格、物理特性等要求：</w:t>
      </w:r>
    </w:p>
    <w:p w14:paraId="2722C06C">
      <w:pPr>
        <w:pStyle w:val="2"/>
        <w:spacing w:line="360" w:lineRule="auto"/>
        <w:contextualSpacing/>
        <w:jc w:val="center"/>
        <w:rPr>
          <w:rFonts w:ascii="仿宋" w:hAnsi="仿宋" w:eastAsia="仿宋" w:cs="仿宋"/>
          <w:b/>
          <w:bCs/>
          <w:color w:val="auto"/>
          <w:highlight w:val="none"/>
        </w:rPr>
      </w:pPr>
      <w:r>
        <w:rPr>
          <w:rFonts w:hint="eastAsia" w:ascii="仿宋" w:hAnsi="仿宋" w:eastAsia="仿宋" w:cs="仿宋"/>
          <w:b/>
          <w:bCs/>
          <w:color w:val="auto"/>
          <w:highlight w:val="none"/>
        </w:rPr>
        <w:t>第4包 消防器材</w:t>
      </w:r>
    </w:p>
    <w:tbl>
      <w:tblPr>
        <w:tblStyle w:val="43"/>
        <w:tblW w:w="5000" w:type="pct"/>
        <w:jc w:val="center"/>
        <w:tblLayout w:type="autofit"/>
        <w:tblCellMar>
          <w:top w:w="0" w:type="dxa"/>
          <w:left w:w="108" w:type="dxa"/>
          <w:bottom w:w="0" w:type="dxa"/>
          <w:right w:w="108" w:type="dxa"/>
        </w:tblCellMar>
      </w:tblPr>
      <w:tblGrid>
        <w:gridCol w:w="761"/>
        <w:gridCol w:w="1475"/>
        <w:gridCol w:w="6292"/>
      </w:tblGrid>
      <w:tr w14:paraId="54442FF6">
        <w:tblPrEx>
          <w:tblCellMar>
            <w:top w:w="0" w:type="dxa"/>
            <w:left w:w="108" w:type="dxa"/>
            <w:bottom w:w="0" w:type="dxa"/>
            <w:right w:w="108" w:type="dxa"/>
          </w:tblCellMar>
        </w:tblPrEx>
        <w:trPr>
          <w:trHeight w:val="533" w:hRule="atLeast"/>
          <w:jc w:val="center"/>
        </w:trPr>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CC463">
            <w:pPr>
              <w:widowControl/>
              <w:spacing w:line="276" w:lineRule="auto"/>
              <w:contextualSpacing/>
              <w:jc w:val="center"/>
              <w:textAlignment w:val="center"/>
              <w:rPr>
                <w:rFonts w:ascii="仿宋" w:hAnsi="仿宋" w:eastAsia="仿宋" w:cs="宋体"/>
                <w:b/>
                <w:bCs/>
                <w:color w:val="auto"/>
                <w:szCs w:val="21"/>
                <w:highlight w:val="none"/>
              </w:rPr>
            </w:pPr>
            <w:r>
              <w:rPr>
                <w:rFonts w:hint="eastAsia" w:ascii="仿宋" w:hAnsi="仿宋" w:eastAsia="仿宋" w:cs="宋体"/>
                <w:b/>
                <w:bCs/>
                <w:color w:val="auto"/>
                <w:kern w:val="0"/>
                <w:szCs w:val="21"/>
                <w:highlight w:val="none"/>
                <w:lang w:bidi="ar"/>
              </w:rPr>
              <w:t>序号</w:t>
            </w:r>
          </w:p>
        </w:tc>
        <w:tc>
          <w:tcPr>
            <w:tcW w:w="8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DBF1C">
            <w:pPr>
              <w:widowControl/>
              <w:spacing w:line="276" w:lineRule="auto"/>
              <w:contextualSpacing/>
              <w:jc w:val="center"/>
              <w:textAlignment w:val="center"/>
              <w:rPr>
                <w:rFonts w:ascii="仿宋" w:hAnsi="仿宋" w:eastAsia="仿宋" w:cs="宋体"/>
                <w:b/>
                <w:bCs/>
                <w:color w:val="auto"/>
                <w:szCs w:val="21"/>
                <w:highlight w:val="none"/>
              </w:rPr>
            </w:pPr>
            <w:r>
              <w:rPr>
                <w:rFonts w:hint="eastAsia" w:ascii="仿宋" w:hAnsi="仿宋" w:eastAsia="仿宋" w:cs="宋体"/>
                <w:b/>
                <w:bCs/>
                <w:color w:val="auto"/>
                <w:kern w:val="0"/>
                <w:szCs w:val="21"/>
                <w:highlight w:val="none"/>
                <w:lang w:bidi="ar"/>
              </w:rPr>
              <w:t>设备名称</w:t>
            </w:r>
          </w:p>
        </w:tc>
        <w:tc>
          <w:tcPr>
            <w:tcW w:w="3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BA47E">
            <w:pPr>
              <w:widowControl/>
              <w:spacing w:line="276" w:lineRule="auto"/>
              <w:contextualSpacing/>
              <w:jc w:val="center"/>
              <w:textAlignment w:val="center"/>
              <w:rPr>
                <w:rFonts w:ascii="仿宋" w:hAnsi="仿宋" w:eastAsia="仿宋" w:cs="宋体"/>
                <w:b/>
                <w:bCs/>
                <w:color w:val="auto"/>
                <w:szCs w:val="21"/>
                <w:highlight w:val="none"/>
              </w:rPr>
            </w:pPr>
            <w:r>
              <w:rPr>
                <w:rFonts w:hint="eastAsia" w:ascii="仿宋" w:hAnsi="仿宋" w:eastAsia="仿宋" w:cs="宋体"/>
                <w:b/>
                <w:bCs/>
                <w:color w:val="auto"/>
                <w:kern w:val="0"/>
                <w:szCs w:val="21"/>
                <w:highlight w:val="none"/>
                <w:lang w:bidi="ar"/>
              </w:rPr>
              <w:t>技术参数或配置</w:t>
            </w:r>
          </w:p>
        </w:tc>
      </w:tr>
      <w:tr w14:paraId="401501A6">
        <w:tblPrEx>
          <w:tblCellMar>
            <w:top w:w="0" w:type="dxa"/>
            <w:left w:w="108" w:type="dxa"/>
            <w:bottom w:w="0" w:type="dxa"/>
            <w:right w:w="108" w:type="dxa"/>
          </w:tblCellMar>
        </w:tblPrEx>
        <w:trPr>
          <w:trHeight w:val="1920" w:hRule="atLeast"/>
          <w:jc w:val="center"/>
        </w:trPr>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D2A08">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1</w:t>
            </w:r>
          </w:p>
        </w:tc>
        <w:tc>
          <w:tcPr>
            <w:tcW w:w="8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FA619">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消火栓箱体内灭火器</w:t>
            </w:r>
          </w:p>
        </w:tc>
        <w:tc>
          <w:tcPr>
            <w:tcW w:w="3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81C0E">
            <w:pPr>
              <w:widowControl/>
              <w:spacing w:line="276" w:lineRule="auto"/>
              <w:contextualSpacing/>
              <w:jc w:val="left"/>
              <w:textAlignment w:val="center"/>
              <w:rPr>
                <w:rFonts w:ascii="仿宋" w:hAnsi="仿宋" w:eastAsia="仿宋" w:cs="宋体"/>
                <w:color w:val="auto"/>
                <w:kern w:val="0"/>
                <w:szCs w:val="21"/>
                <w:highlight w:val="none"/>
                <w:lang w:bidi="ar"/>
              </w:rPr>
            </w:pPr>
            <w:r>
              <w:rPr>
                <w:rFonts w:hint="eastAsia" w:ascii="仿宋" w:hAnsi="仿宋" w:eastAsia="仿宋" w:cs="宋体"/>
                <w:color w:val="auto"/>
                <w:kern w:val="0"/>
                <w:szCs w:val="21"/>
                <w:highlight w:val="none"/>
                <w:lang w:bidi="ar"/>
              </w:rPr>
              <w:t>技术要求：</w:t>
            </w:r>
          </w:p>
          <w:p w14:paraId="43C20B0B">
            <w:pPr>
              <w:widowControl/>
              <w:spacing w:line="276" w:lineRule="auto"/>
              <w:contextualSpacing/>
              <w:jc w:val="left"/>
              <w:textAlignment w:val="center"/>
              <w:rPr>
                <w:rFonts w:ascii="仿宋" w:hAnsi="仿宋" w:eastAsia="仿宋" w:cs="宋体"/>
                <w:color w:val="auto"/>
                <w:kern w:val="0"/>
                <w:szCs w:val="21"/>
                <w:highlight w:val="none"/>
                <w:lang w:bidi="ar"/>
              </w:rPr>
            </w:pPr>
            <w:r>
              <w:rPr>
                <w:rFonts w:hint="eastAsia" w:ascii="仿宋" w:hAnsi="仿宋" w:eastAsia="仿宋" w:cs="宋体"/>
                <w:color w:val="auto"/>
                <w:kern w:val="0"/>
                <w:szCs w:val="21"/>
                <w:highlight w:val="none"/>
                <w:lang w:bidi="ar"/>
              </w:rPr>
              <w:t>1、规格:MFZ/ABC5。</w:t>
            </w:r>
            <w:r>
              <w:rPr>
                <w:rFonts w:hint="eastAsia" w:ascii="仿宋" w:hAnsi="仿宋" w:eastAsia="仿宋" w:cs="宋体"/>
                <w:color w:val="auto"/>
                <w:kern w:val="0"/>
                <w:szCs w:val="21"/>
                <w:highlight w:val="none"/>
                <w:lang w:bidi="ar"/>
              </w:rPr>
              <w:br w:type="textWrapping"/>
            </w:r>
            <w:r>
              <w:rPr>
                <w:rFonts w:hint="eastAsia" w:ascii="仿宋" w:hAnsi="仿宋" w:eastAsia="仿宋" w:cs="宋体"/>
                <w:color w:val="auto"/>
                <w:kern w:val="0"/>
                <w:szCs w:val="21"/>
                <w:highlight w:val="none"/>
                <w:lang w:bidi="ar"/>
              </w:rPr>
              <w:t>2、尺寸:</w:t>
            </w:r>
            <w:r>
              <w:rPr>
                <w:rFonts w:hint="eastAsia" w:ascii="仿宋" w:hAnsi="仿宋" w:eastAsia="仿宋" w:cs="宋体"/>
                <w:color w:val="auto"/>
                <w:kern w:val="0"/>
                <w:szCs w:val="21"/>
                <w:highlight w:val="none"/>
                <w:lang w:bidi="ar"/>
              </w:rPr>
              <w:t>≥145mm（直径）×510mm（高度）。</w:t>
            </w:r>
            <w:r>
              <w:rPr>
                <w:rFonts w:hint="eastAsia" w:ascii="仿宋" w:hAnsi="仿宋" w:eastAsia="仿宋" w:cs="宋体"/>
                <w:color w:val="auto"/>
                <w:kern w:val="0"/>
                <w:szCs w:val="21"/>
                <w:highlight w:val="none"/>
                <w:lang w:bidi="ar"/>
              </w:rPr>
              <w:br w:type="textWrapping"/>
            </w:r>
            <w:r>
              <w:rPr>
                <w:rFonts w:hint="eastAsia" w:ascii="仿宋" w:hAnsi="仿宋" w:eastAsia="仿宋" w:cs="宋体"/>
                <w:color w:val="auto"/>
                <w:kern w:val="0"/>
                <w:szCs w:val="21"/>
                <w:highlight w:val="none"/>
                <w:lang w:bidi="ar"/>
              </w:rPr>
              <w:t>3、灭火级别:3A/89B/C。</w:t>
            </w:r>
          </w:p>
          <w:p w14:paraId="71D9446F">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仿宋"/>
                <w:bCs/>
                <w:color w:val="auto"/>
                <w:sz w:val="24"/>
                <w:highlight w:val="none"/>
              </w:rPr>
              <w:t>★</w:t>
            </w:r>
            <w:r>
              <w:rPr>
                <w:rFonts w:hint="eastAsia" w:ascii="仿宋" w:hAnsi="仿宋" w:eastAsia="仿宋" w:cs="宋体"/>
                <w:color w:val="auto"/>
                <w:kern w:val="0"/>
                <w:szCs w:val="21"/>
                <w:highlight w:val="none"/>
                <w:lang w:bidi="ar"/>
              </w:rPr>
              <w:t>4、</w:t>
            </w:r>
            <w:r>
              <w:rPr>
                <w:rFonts w:ascii="仿宋" w:hAnsi="仿宋" w:eastAsia="仿宋" w:cs="宋体"/>
                <w:color w:val="auto"/>
                <w:kern w:val="0"/>
                <w:szCs w:val="21"/>
                <w:highlight w:val="none"/>
                <w:lang w:bidi="ar"/>
              </w:rPr>
              <w:t>中国国家强制性产品认证证书（3C证书）。</w:t>
            </w:r>
          </w:p>
        </w:tc>
      </w:tr>
      <w:tr w14:paraId="4946AEDD">
        <w:tblPrEx>
          <w:tblCellMar>
            <w:top w:w="0" w:type="dxa"/>
            <w:left w:w="108" w:type="dxa"/>
            <w:bottom w:w="0" w:type="dxa"/>
            <w:right w:w="108" w:type="dxa"/>
          </w:tblCellMar>
        </w:tblPrEx>
        <w:trPr>
          <w:trHeight w:val="1680" w:hRule="atLeast"/>
          <w:jc w:val="center"/>
        </w:trPr>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83744">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2</w:t>
            </w:r>
          </w:p>
        </w:tc>
        <w:tc>
          <w:tcPr>
            <w:tcW w:w="8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40CC1">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干粉灭火器</w:t>
            </w:r>
          </w:p>
        </w:tc>
        <w:tc>
          <w:tcPr>
            <w:tcW w:w="3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45542">
            <w:pPr>
              <w:widowControl/>
              <w:spacing w:line="276" w:lineRule="auto"/>
              <w:contextualSpacing/>
              <w:jc w:val="left"/>
              <w:textAlignment w:val="center"/>
              <w:rPr>
                <w:rFonts w:ascii="仿宋" w:hAnsi="仿宋" w:eastAsia="仿宋" w:cs="宋体"/>
                <w:color w:val="auto"/>
                <w:kern w:val="0"/>
                <w:szCs w:val="21"/>
                <w:highlight w:val="none"/>
                <w:lang w:bidi="ar"/>
              </w:rPr>
            </w:pPr>
            <w:r>
              <w:rPr>
                <w:rFonts w:hint="eastAsia" w:ascii="仿宋" w:hAnsi="仿宋" w:eastAsia="仿宋" w:cs="宋体"/>
                <w:color w:val="auto"/>
                <w:kern w:val="0"/>
                <w:szCs w:val="21"/>
                <w:highlight w:val="none"/>
                <w:lang w:bidi="ar"/>
              </w:rPr>
              <w:t>技术要求：</w:t>
            </w:r>
            <w:r>
              <w:rPr>
                <w:rFonts w:hint="eastAsia" w:ascii="仿宋" w:hAnsi="仿宋" w:eastAsia="仿宋" w:cs="宋体"/>
                <w:color w:val="auto"/>
                <w:kern w:val="0"/>
                <w:szCs w:val="21"/>
                <w:highlight w:val="none"/>
                <w:lang w:bidi="ar"/>
              </w:rPr>
              <w:br w:type="textWrapping"/>
            </w:r>
            <w:r>
              <w:rPr>
                <w:rFonts w:hint="eastAsia" w:ascii="仿宋" w:hAnsi="仿宋" w:eastAsia="仿宋" w:cs="宋体"/>
                <w:color w:val="auto"/>
                <w:kern w:val="0"/>
                <w:szCs w:val="21"/>
                <w:highlight w:val="none"/>
                <w:lang w:bidi="ar"/>
              </w:rPr>
              <w:t>1、规格:MFZ/ABC5。</w:t>
            </w:r>
            <w:r>
              <w:rPr>
                <w:rFonts w:hint="eastAsia" w:ascii="仿宋" w:hAnsi="仿宋" w:eastAsia="仿宋" w:cs="宋体"/>
                <w:color w:val="auto"/>
                <w:kern w:val="0"/>
                <w:szCs w:val="21"/>
                <w:highlight w:val="none"/>
                <w:lang w:bidi="ar"/>
              </w:rPr>
              <w:br w:type="textWrapping"/>
            </w:r>
            <w:r>
              <w:rPr>
                <w:rFonts w:hint="eastAsia" w:ascii="仿宋" w:hAnsi="仿宋" w:eastAsia="仿宋" w:cs="宋体"/>
                <w:color w:val="auto"/>
                <w:kern w:val="0"/>
                <w:szCs w:val="21"/>
                <w:highlight w:val="none"/>
                <w:lang w:bidi="ar"/>
              </w:rPr>
              <w:t>2、尺寸:≥</w:t>
            </w:r>
            <w:r>
              <w:rPr>
                <w:rFonts w:ascii="仿宋" w:hAnsi="仿宋" w:eastAsia="仿宋" w:cs="宋体"/>
                <w:color w:val="auto"/>
                <w:kern w:val="0"/>
                <w:szCs w:val="21"/>
                <w:highlight w:val="none"/>
                <w:lang w:bidi="ar"/>
              </w:rPr>
              <w:t>145mm（直径）</w:t>
            </w:r>
            <w:r>
              <w:rPr>
                <w:rFonts w:hint="eastAsia" w:ascii="仿宋" w:hAnsi="仿宋" w:eastAsia="仿宋" w:cs="宋体"/>
                <w:color w:val="auto"/>
                <w:kern w:val="0"/>
                <w:szCs w:val="21"/>
                <w:highlight w:val="none"/>
                <w:lang w:bidi="ar"/>
              </w:rPr>
              <w:t>×</w:t>
            </w:r>
            <w:r>
              <w:rPr>
                <w:rFonts w:ascii="仿宋" w:hAnsi="仿宋" w:eastAsia="仿宋" w:cs="宋体"/>
                <w:color w:val="auto"/>
                <w:kern w:val="0"/>
                <w:szCs w:val="21"/>
                <w:highlight w:val="none"/>
                <w:lang w:bidi="ar"/>
              </w:rPr>
              <w:t>510mm（高度）。</w:t>
            </w:r>
            <w:r>
              <w:rPr>
                <w:rFonts w:hint="eastAsia" w:ascii="仿宋" w:hAnsi="仿宋" w:eastAsia="仿宋" w:cs="宋体"/>
                <w:color w:val="auto"/>
                <w:kern w:val="0"/>
                <w:szCs w:val="21"/>
                <w:highlight w:val="none"/>
                <w:lang w:bidi="ar"/>
              </w:rPr>
              <w:br w:type="textWrapping"/>
            </w:r>
            <w:r>
              <w:rPr>
                <w:rFonts w:hint="eastAsia" w:ascii="仿宋" w:hAnsi="仿宋" w:eastAsia="仿宋" w:cs="宋体"/>
                <w:color w:val="auto"/>
                <w:kern w:val="0"/>
                <w:szCs w:val="21"/>
                <w:highlight w:val="none"/>
                <w:lang w:bidi="ar"/>
              </w:rPr>
              <w:t>3、灭火级别:3A/89B/C。</w:t>
            </w:r>
            <w:bookmarkStart w:id="45" w:name="OLE_LINK53"/>
          </w:p>
          <w:p w14:paraId="7928F0CC">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仿宋"/>
                <w:bCs/>
                <w:color w:val="auto"/>
                <w:sz w:val="24"/>
                <w:highlight w:val="none"/>
              </w:rPr>
              <w:t>★</w:t>
            </w:r>
            <w:bookmarkEnd w:id="45"/>
            <w:r>
              <w:rPr>
                <w:rFonts w:hint="eastAsia" w:ascii="仿宋" w:hAnsi="仿宋" w:eastAsia="仿宋" w:cs="宋体"/>
                <w:color w:val="auto"/>
                <w:kern w:val="0"/>
                <w:szCs w:val="21"/>
                <w:highlight w:val="none"/>
                <w:lang w:bidi="ar"/>
              </w:rPr>
              <w:t>4、中国国家强制性产品认证证书（3C证书）。</w:t>
            </w:r>
          </w:p>
        </w:tc>
      </w:tr>
      <w:tr w14:paraId="3AC98E1B">
        <w:tblPrEx>
          <w:tblCellMar>
            <w:top w:w="0" w:type="dxa"/>
            <w:left w:w="108" w:type="dxa"/>
            <w:bottom w:w="0" w:type="dxa"/>
            <w:right w:w="108" w:type="dxa"/>
          </w:tblCellMar>
        </w:tblPrEx>
        <w:trPr>
          <w:trHeight w:val="1680" w:hRule="atLeast"/>
          <w:jc w:val="center"/>
        </w:trPr>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43812">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3</w:t>
            </w:r>
          </w:p>
        </w:tc>
        <w:tc>
          <w:tcPr>
            <w:tcW w:w="8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6C500">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二氧化碳灭火器</w:t>
            </w:r>
          </w:p>
        </w:tc>
        <w:tc>
          <w:tcPr>
            <w:tcW w:w="3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25384">
            <w:pPr>
              <w:widowControl/>
              <w:spacing w:line="276" w:lineRule="auto"/>
              <w:contextualSpacing/>
              <w:jc w:val="left"/>
              <w:textAlignment w:val="center"/>
              <w:rPr>
                <w:rFonts w:ascii="仿宋" w:hAnsi="仿宋" w:eastAsia="仿宋" w:cs="宋体"/>
                <w:color w:val="auto"/>
                <w:kern w:val="0"/>
                <w:szCs w:val="21"/>
                <w:highlight w:val="none"/>
                <w:lang w:bidi="ar"/>
              </w:rPr>
            </w:pPr>
            <w:r>
              <w:rPr>
                <w:rFonts w:hint="eastAsia" w:ascii="仿宋" w:hAnsi="仿宋" w:eastAsia="仿宋" w:cs="宋体"/>
                <w:color w:val="auto"/>
                <w:kern w:val="0"/>
                <w:szCs w:val="21"/>
                <w:highlight w:val="none"/>
                <w:lang w:bidi="ar"/>
              </w:rPr>
              <w:t>技术要求：</w:t>
            </w:r>
            <w:r>
              <w:rPr>
                <w:rFonts w:hint="eastAsia" w:ascii="仿宋" w:hAnsi="仿宋" w:eastAsia="仿宋" w:cs="宋体"/>
                <w:color w:val="auto"/>
                <w:kern w:val="0"/>
                <w:szCs w:val="21"/>
                <w:highlight w:val="none"/>
                <w:lang w:bidi="ar"/>
              </w:rPr>
              <w:br w:type="textWrapping"/>
            </w:r>
            <w:r>
              <w:rPr>
                <w:rFonts w:hint="eastAsia" w:ascii="仿宋" w:hAnsi="仿宋" w:eastAsia="仿宋" w:cs="宋体"/>
                <w:color w:val="auto"/>
                <w:kern w:val="0"/>
                <w:szCs w:val="21"/>
                <w:highlight w:val="none"/>
                <w:lang w:bidi="ar"/>
              </w:rPr>
              <w:t>1、规格:MT/3。</w:t>
            </w:r>
            <w:r>
              <w:rPr>
                <w:rFonts w:hint="eastAsia" w:ascii="仿宋" w:hAnsi="仿宋" w:eastAsia="仿宋" w:cs="宋体"/>
                <w:color w:val="auto"/>
                <w:kern w:val="0"/>
                <w:szCs w:val="21"/>
                <w:highlight w:val="none"/>
                <w:lang w:bidi="ar"/>
              </w:rPr>
              <w:br w:type="textWrapping"/>
            </w:r>
            <w:r>
              <w:rPr>
                <w:rFonts w:hint="eastAsia" w:ascii="仿宋" w:hAnsi="仿宋" w:eastAsia="仿宋" w:cs="宋体"/>
                <w:color w:val="auto"/>
                <w:kern w:val="0"/>
                <w:szCs w:val="21"/>
                <w:highlight w:val="none"/>
                <w:lang w:bidi="ar"/>
              </w:rPr>
              <w:t>2、尺寸</w:t>
            </w:r>
            <w:r>
              <w:rPr>
                <w:rFonts w:hint="eastAsia" w:ascii="仿宋" w:hAnsi="仿宋" w:eastAsia="仿宋" w:cs="宋体"/>
                <w:color w:val="auto"/>
                <w:kern w:val="0"/>
                <w:szCs w:val="21"/>
                <w:highlight w:val="none"/>
                <w:lang w:bidi="ar"/>
              </w:rPr>
              <w:t>:≥</w:t>
            </w:r>
            <w:r>
              <w:rPr>
                <w:rFonts w:ascii="仿宋" w:hAnsi="仿宋" w:eastAsia="仿宋" w:cs="宋体"/>
                <w:color w:val="auto"/>
                <w:kern w:val="0"/>
                <w:szCs w:val="21"/>
                <w:highlight w:val="none"/>
                <w:lang w:bidi="ar"/>
              </w:rPr>
              <w:t>118mm</w:t>
            </w:r>
            <w:r>
              <w:rPr>
                <w:rFonts w:hint="eastAsia" w:ascii="仿宋" w:hAnsi="仿宋" w:eastAsia="仿宋" w:cs="宋体"/>
                <w:color w:val="auto"/>
                <w:kern w:val="0"/>
                <w:szCs w:val="21"/>
                <w:highlight w:val="none"/>
                <w:lang w:bidi="ar"/>
              </w:rPr>
              <w:t>（直径）×</w:t>
            </w:r>
            <w:r>
              <w:rPr>
                <w:rFonts w:ascii="仿宋" w:hAnsi="仿宋" w:eastAsia="仿宋" w:cs="宋体"/>
                <w:color w:val="auto"/>
                <w:kern w:val="0"/>
                <w:szCs w:val="21"/>
                <w:highlight w:val="none"/>
                <w:lang w:bidi="ar"/>
              </w:rPr>
              <w:t>470</w:t>
            </w:r>
            <w:r>
              <w:rPr>
                <w:rFonts w:hint="eastAsia" w:ascii="仿宋" w:hAnsi="仿宋" w:eastAsia="仿宋" w:cs="宋体"/>
                <w:color w:val="auto"/>
                <w:kern w:val="0"/>
                <w:szCs w:val="21"/>
                <w:highlight w:val="none"/>
                <w:lang w:bidi="ar"/>
              </w:rPr>
              <w:t>（高度）。</w:t>
            </w:r>
          </w:p>
          <w:p w14:paraId="0D1A9B0C">
            <w:pPr>
              <w:widowControl/>
              <w:spacing w:line="276" w:lineRule="auto"/>
              <w:contextualSpacing/>
              <w:jc w:val="left"/>
              <w:textAlignment w:val="center"/>
              <w:rPr>
                <w:rFonts w:ascii="仿宋" w:hAnsi="仿宋" w:eastAsia="仿宋" w:cs="仿宋"/>
                <w:b/>
                <w:bCs/>
                <w:color w:val="auto"/>
                <w:sz w:val="24"/>
                <w:highlight w:val="none"/>
              </w:rPr>
            </w:pPr>
            <w:r>
              <w:rPr>
                <w:rFonts w:hint="eastAsia" w:ascii="仿宋" w:hAnsi="仿宋" w:eastAsia="仿宋" w:cs="宋体"/>
                <w:color w:val="auto"/>
                <w:kern w:val="0"/>
                <w:szCs w:val="21"/>
                <w:highlight w:val="none"/>
                <w:lang w:bidi="ar"/>
              </w:rPr>
              <w:t>3、灭火级别:21B/C。</w:t>
            </w:r>
            <w:bookmarkStart w:id="46" w:name="OLE_LINK54"/>
          </w:p>
          <w:p w14:paraId="3100EC73">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仿宋"/>
                <w:b/>
                <w:bCs/>
                <w:color w:val="auto"/>
                <w:sz w:val="24"/>
                <w:highlight w:val="none"/>
              </w:rPr>
              <w:t>★</w:t>
            </w:r>
            <w:bookmarkEnd w:id="46"/>
            <w:r>
              <w:rPr>
                <w:rFonts w:hint="eastAsia" w:ascii="仿宋" w:hAnsi="仿宋" w:eastAsia="仿宋"/>
                <w:b/>
                <w:color w:val="auto"/>
                <w:kern w:val="0"/>
                <w:highlight w:val="none"/>
              </w:rPr>
              <w:t>4</w:t>
            </w:r>
            <w:r>
              <w:rPr>
                <w:rFonts w:hint="eastAsia" w:ascii="仿宋" w:hAnsi="仿宋" w:eastAsia="仿宋" w:cs="宋体"/>
                <w:color w:val="auto"/>
                <w:kern w:val="0"/>
                <w:szCs w:val="21"/>
                <w:highlight w:val="none"/>
                <w:lang w:bidi="ar"/>
              </w:rPr>
              <w:t>、中国国家强制性产品认证证书（3C证书）。</w:t>
            </w:r>
          </w:p>
        </w:tc>
      </w:tr>
      <w:tr w14:paraId="75E2B53F">
        <w:tblPrEx>
          <w:tblCellMar>
            <w:top w:w="0" w:type="dxa"/>
            <w:left w:w="108" w:type="dxa"/>
            <w:bottom w:w="0" w:type="dxa"/>
            <w:right w:w="108" w:type="dxa"/>
          </w:tblCellMar>
        </w:tblPrEx>
        <w:trPr>
          <w:trHeight w:val="38" w:hRule="atLeast"/>
          <w:jc w:val="center"/>
        </w:trPr>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5379E">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4</w:t>
            </w:r>
          </w:p>
        </w:tc>
        <w:tc>
          <w:tcPr>
            <w:tcW w:w="8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5817C">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水基灭火器</w:t>
            </w:r>
          </w:p>
        </w:tc>
        <w:tc>
          <w:tcPr>
            <w:tcW w:w="3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32D1F">
            <w:pPr>
              <w:widowControl/>
              <w:spacing w:line="276" w:lineRule="auto"/>
              <w:contextualSpacing/>
              <w:jc w:val="left"/>
              <w:textAlignment w:val="center"/>
              <w:rPr>
                <w:rFonts w:ascii="仿宋" w:hAnsi="仿宋" w:eastAsia="仿宋" w:cs="宋体"/>
                <w:color w:val="auto"/>
                <w:kern w:val="0"/>
                <w:szCs w:val="21"/>
                <w:highlight w:val="none"/>
                <w:lang w:bidi="ar"/>
              </w:rPr>
            </w:pPr>
            <w:r>
              <w:rPr>
                <w:rFonts w:hint="eastAsia" w:ascii="仿宋" w:hAnsi="仿宋" w:eastAsia="仿宋" w:cs="宋体"/>
                <w:color w:val="auto"/>
                <w:kern w:val="0"/>
                <w:szCs w:val="21"/>
                <w:highlight w:val="none"/>
                <w:lang w:bidi="ar"/>
              </w:rPr>
              <w:t>技术要求：</w:t>
            </w:r>
            <w:r>
              <w:rPr>
                <w:rFonts w:hint="eastAsia" w:ascii="仿宋" w:hAnsi="仿宋" w:eastAsia="仿宋" w:cs="宋体"/>
                <w:color w:val="auto"/>
                <w:kern w:val="0"/>
                <w:szCs w:val="21"/>
                <w:highlight w:val="none"/>
                <w:lang w:bidi="ar"/>
              </w:rPr>
              <w:br w:type="textWrapping"/>
            </w:r>
            <w:r>
              <w:rPr>
                <w:rFonts w:hint="eastAsia" w:ascii="仿宋" w:hAnsi="仿宋" w:eastAsia="仿宋" w:cs="宋体"/>
                <w:color w:val="auto"/>
                <w:kern w:val="0"/>
                <w:szCs w:val="21"/>
                <w:highlight w:val="none"/>
                <w:lang w:bidi="ar"/>
              </w:rPr>
              <w:t>1、容量：3升（水基灭火剂）。</w:t>
            </w:r>
            <w:r>
              <w:rPr>
                <w:rFonts w:hint="eastAsia" w:ascii="仿宋" w:hAnsi="仿宋" w:eastAsia="仿宋" w:cs="宋体"/>
                <w:color w:val="auto"/>
                <w:kern w:val="0"/>
                <w:szCs w:val="21"/>
                <w:highlight w:val="none"/>
                <w:lang w:bidi="ar"/>
              </w:rPr>
              <w:br w:type="textWrapping"/>
            </w:r>
            <w:r>
              <w:rPr>
                <w:rFonts w:hint="eastAsia" w:ascii="仿宋" w:hAnsi="仿宋" w:eastAsia="仿宋" w:cs="宋体"/>
                <w:color w:val="auto"/>
                <w:kern w:val="0"/>
                <w:szCs w:val="21"/>
                <w:highlight w:val="none"/>
                <w:lang w:bidi="ar"/>
              </w:rPr>
              <w:t>2、灭火剂成分：水+表面活性剂、阻燃剂、防冻剂等添加剂。</w:t>
            </w:r>
            <w:r>
              <w:rPr>
                <w:rFonts w:hint="eastAsia" w:ascii="仿宋" w:hAnsi="仿宋" w:eastAsia="仿宋" w:cs="宋体"/>
                <w:color w:val="auto"/>
                <w:kern w:val="0"/>
                <w:szCs w:val="21"/>
                <w:highlight w:val="none"/>
                <w:lang w:bidi="ar"/>
              </w:rPr>
              <w:br w:type="textWrapping"/>
            </w:r>
            <w:r>
              <w:rPr>
                <w:rFonts w:hint="eastAsia" w:ascii="仿宋" w:hAnsi="仿宋" w:eastAsia="仿宋" w:cs="宋体"/>
                <w:color w:val="auto"/>
                <w:kern w:val="0"/>
                <w:szCs w:val="21"/>
                <w:highlight w:val="none"/>
                <w:lang w:bidi="ar"/>
              </w:rPr>
              <w:t>3、适用范围：</w:t>
            </w:r>
            <w:r>
              <w:rPr>
                <w:rFonts w:hint="eastAsia" w:ascii="仿宋" w:hAnsi="仿宋" w:eastAsia="仿宋" w:cs="宋体"/>
                <w:color w:val="auto"/>
                <w:kern w:val="0"/>
                <w:szCs w:val="21"/>
                <w:highlight w:val="none"/>
                <w:lang w:bidi="ar"/>
              </w:rPr>
              <w:br w:type="textWrapping"/>
            </w:r>
            <w:r>
              <w:rPr>
                <w:rFonts w:hint="eastAsia" w:ascii="仿宋" w:hAnsi="仿宋" w:eastAsia="仿宋" w:cs="宋体"/>
                <w:color w:val="auto"/>
                <w:kern w:val="0"/>
                <w:szCs w:val="21"/>
                <w:highlight w:val="none"/>
                <w:lang w:bidi="ar"/>
              </w:rPr>
              <w:t>A类火灾（固体物质火灾，如木材、纸张、布料等）。</w:t>
            </w:r>
            <w:r>
              <w:rPr>
                <w:rFonts w:hint="eastAsia" w:ascii="仿宋" w:hAnsi="仿宋" w:eastAsia="仿宋" w:cs="宋体"/>
                <w:color w:val="auto"/>
                <w:kern w:val="0"/>
                <w:szCs w:val="21"/>
                <w:highlight w:val="none"/>
                <w:lang w:bidi="ar"/>
              </w:rPr>
              <w:br w:type="textWrapping"/>
            </w:r>
            <w:r>
              <w:rPr>
                <w:rFonts w:hint="eastAsia" w:ascii="仿宋" w:hAnsi="仿宋" w:eastAsia="仿宋" w:cs="宋体"/>
                <w:color w:val="auto"/>
                <w:kern w:val="0"/>
                <w:szCs w:val="21"/>
                <w:highlight w:val="none"/>
                <w:lang w:bidi="ar"/>
              </w:rPr>
              <w:t>F类火灾（烹饪油脂或食用油火灾）。</w:t>
            </w:r>
            <w:r>
              <w:rPr>
                <w:rFonts w:hint="eastAsia" w:ascii="仿宋" w:hAnsi="仿宋" w:eastAsia="仿宋" w:cs="宋体"/>
                <w:color w:val="auto"/>
                <w:kern w:val="0"/>
                <w:szCs w:val="21"/>
                <w:highlight w:val="none"/>
                <w:lang w:bidi="ar"/>
              </w:rPr>
              <w:br w:type="textWrapping"/>
            </w:r>
            <w:r>
              <w:rPr>
                <w:rFonts w:hint="eastAsia" w:ascii="仿宋" w:hAnsi="仿宋" w:eastAsia="仿宋" w:cs="宋体"/>
                <w:color w:val="auto"/>
                <w:kern w:val="0"/>
                <w:szCs w:val="21"/>
                <w:highlight w:val="none"/>
                <w:lang w:bidi="ar"/>
              </w:rPr>
              <w:t>部分型号可灭E类电气火灾（需明确标注“绝缘性”或“雾化喷射”技术）。</w:t>
            </w:r>
            <w:r>
              <w:rPr>
                <w:rFonts w:hint="eastAsia" w:ascii="仿宋" w:hAnsi="仿宋" w:eastAsia="仿宋" w:cs="宋体"/>
                <w:color w:val="auto"/>
                <w:kern w:val="0"/>
                <w:szCs w:val="21"/>
                <w:highlight w:val="none"/>
                <w:lang w:bidi="ar"/>
              </w:rPr>
              <w:br w:type="textWrapping"/>
            </w:r>
            <w:r>
              <w:rPr>
                <w:rFonts w:hint="eastAsia" w:ascii="仿宋" w:hAnsi="仿宋" w:eastAsia="仿宋" w:cs="宋体"/>
                <w:color w:val="auto"/>
                <w:kern w:val="0"/>
                <w:szCs w:val="21"/>
                <w:highlight w:val="none"/>
                <w:lang w:bidi="ar"/>
              </w:rPr>
              <w:t>4、有效喷射时间：约15~30秒（受环境温度和压力影响）。</w:t>
            </w:r>
            <w:r>
              <w:rPr>
                <w:rFonts w:hint="eastAsia" w:ascii="仿宋" w:hAnsi="仿宋" w:eastAsia="仿宋" w:cs="宋体"/>
                <w:color w:val="auto"/>
                <w:kern w:val="0"/>
                <w:szCs w:val="21"/>
                <w:highlight w:val="none"/>
                <w:lang w:bidi="ar"/>
              </w:rPr>
              <w:br w:type="textWrapping"/>
            </w:r>
            <w:r>
              <w:rPr>
                <w:rFonts w:hint="eastAsia" w:ascii="仿宋" w:hAnsi="仿宋" w:eastAsia="仿宋" w:cs="宋体"/>
                <w:color w:val="auto"/>
                <w:kern w:val="0"/>
                <w:szCs w:val="21"/>
                <w:highlight w:val="none"/>
                <w:lang w:bidi="ar"/>
              </w:rPr>
              <w:t>5、有效喷射距离：3~4米。</w:t>
            </w:r>
            <w:r>
              <w:rPr>
                <w:rFonts w:hint="eastAsia" w:ascii="仿宋" w:hAnsi="仿宋" w:eastAsia="仿宋" w:cs="宋体"/>
                <w:color w:val="auto"/>
                <w:kern w:val="0"/>
                <w:szCs w:val="21"/>
                <w:highlight w:val="none"/>
                <w:lang w:bidi="ar"/>
              </w:rPr>
              <w:br w:type="textWrapping"/>
            </w:r>
            <w:r>
              <w:rPr>
                <w:rFonts w:hint="eastAsia" w:ascii="仿宋" w:hAnsi="仿宋" w:eastAsia="仿宋" w:cs="宋体"/>
                <w:color w:val="auto"/>
                <w:kern w:val="0"/>
                <w:szCs w:val="21"/>
                <w:highlight w:val="none"/>
                <w:lang w:bidi="ar"/>
              </w:rPr>
              <w:t>6、工作压力：1.0~1.5 MPa。</w:t>
            </w:r>
            <w:r>
              <w:rPr>
                <w:rFonts w:hint="eastAsia" w:ascii="仿宋" w:hAnsi="仿宋" w:eastAsia="仿宋" w:cs="宋体"/>
                <w:color w:val="auto"/>
                <w:kern w:val="0"/>
                <w:szCs w:val="21"/>
                <w:highlight w:val="none"/>
                <w:lang w:bidi="ar"/>
              </w:rPr>
              <w:br w:type="textWrapping"/>
            </w:r>
            <w:r>
              <w:rPr>
                <w:rFonts w:hint="eastAsia" w:ascii="仿宋" w:hAnsi="仿宋" w:eastAsia="仿宋" w:cs="宋体"/>
                <w:color w:val="auto"/>
                <w:kern w:val="0"/>
                <w:szCs w:val="21"/>
                <w:highlight w:val="none"/>
                <w:lang w:bidi="ar"/>
              </w:rPr>
              <w:t>7、使用温度范围：-10℃~+55℃（防冻型可适应更低温度）。</w:t>
            </w:r>
          </w:p>
          <w:p w14:paraId="3488940A">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仿宋"/>
                <w:bCs/>
                <w:color w:val="auto"/>
                <w:sz w:val="24"/>
                <w:highlight w:val="none"/>
              </w:rPr>
              <w:t>★</w:t>
            </w:r>
            <w:r>
              <w:rPr>
                <w:rFonts w:hint="eastAsia" w:ascii="仿宋" w:hAnsi="仿宋" w:eastAsia="仿宋" w:cs="宋体"/>
                <w:color w:val="auto"/>
                <w:kern w:val="0"/>
                <w:szCs w:val="21"/>
                <w:highlight w:val="none"/>
                <w:lang w:bidi="ar"/>
              </w:rPr>
              <w:t>8、中国国家强制性产品认证证书（3C证书）。</w:t>
            </w:r>
          </w:p>
        </w:tc>
      </w:tr>
      <w:tr w14:paraId="4AF69AC0">
        <w:tblPrEx>
          <w:tblCellMar>
            <w:top w:w="0" w:type="dxa"/>
            <w:left w:w="108" w:type="dxa"/>
            <w:bottom w:w="0" w:type="dxa"/>
            <w:right w:w="108" w:type="dxa"/>
          </w:tblCellMar>
        </w:tblPrEx>
        <w:trPr>
          <w:trHeight w:val="960" w:hRule="atLeast"/>
          <w:jc w:val="center"/>
        </w:trPr>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B8B63">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5</w:t>
            </w:r>
          </w:p>
        </w:tc>
        <w:tc>
          <w:tcPr>
            <w:tcW w:w="8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A7497">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5*2灭火器箱</w:t>
            </w:r>
          </w:p>
        </w:tc>
        <w:tc>
          <w:tcPr>
            <w:tcW w:w="3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377CB">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技术要求：</w:t>
            </w:r>
            <w:r>
              <w:rPr>
                <w:rFonts w:hint="eastAsia" w:ascii="仿宋" w:hAnsi="仿宋" w:eastAsia="仿宋" w:cs="宋体"/>
                <w:color w:val="auto"/>
                <w:kern w:val="0"/>
                <w:szCs w:val="21"/>
                <w:highlight w:val="none"/>
                <w:lang w:bidi="ar"/>
              </w:rPr>
              <w:br w:type="textWrapping"/>
            </w:r>
            <w:r>
              <w:rPr>
                <w:rFonts w:hint="eastAsia" w:ascii="仿宋" w:hAnsi="仿宋" w:eastAsia="仿宋" w:cs="宋体"/>
                <w:color w:val="auto"/>
                <w:kern w:val="0"/>
                <w:szCs w:val="21"/>
                <w:highlight w:val="none"/>
                <w:lang w:bidi="ar"/>
              </w:rPr>
              <w:t>1、尺寸≥200*200*550mm。</w:t>
            </w:r>
            <w:r>
              <w:rPr>
                <w:rFonts w:hint="eastAsia" w:ascii="仿宋" w:hAnsi="仿宋" w:eastAsia="仿宋" w:cs="宋体"/>
                <w:color w:val="auto"/>
                <w:kern w:val="0"/>
                <w:szCs w:val="21"/>
                <w:highlight w:val="none"/>
                <w:lang w:bidi="ar"/>
              </w:rPr>
              <w:br w:type="textWrapping"/>
            </w:r>
            <w:r>
              <w:rPr>
                <w:rFonts w:hint="eastAsia" w:ascii="仿宋" w:hAnsi="仿宋" w:eastAsia="仿宋" w:cs="宋体"/>
                <w:color w:val="auto"/>
                <w:kern w:val="0"/>
                <w:szCs w:val="21"/>
                <w:highlight w:val="none"/>
                <w:lang w:bidi="ar"/>
              </w:rPr>
              <w:t>2、材质:碳钢/铝塑板。</w:t>
            </w:r>
            <w:r>
              <w:rPr>
                <w:rFonts w:hint="eastAsia" w:ascii="仿宋" w:hAnsi="仿宋" w:eastAsia="仿宋" w:cs="宋体"/>
                <w:color w:val="auto"/>
                <w:kern w:val="0"/>
                <w:szCs w:val="21"/>
                <w:highlight w:val="none"/>
                <w:lang w:bidi="ar"/>
              </w:rPr>
              <w:br w:type="textWrapping"/>
            </w:r>
            <w:r>
              <w:rPr>
                <w:rFonts w:hint="eastAsia" w:ascii="仿宋" w:hAnsi="仿宋" w:eastAsia="仿宋" w:cs="宋体"/>
                <w:color w:val="auto"/>
                <w:kern w:val="0"/>
                <w:szCs w:val="21"/>
                <w:highlight w:val="none"/>
                <w:lang w:bidi="ar"/>
              </w:rPr>
              <w:t>3、用途:放置灭火器。</w:t>
            </w:r>
          </w:p>
        </w:tc>
      </w:tr>
      <w:tr w14:paraId="6C566A9F">
        <w:tblPrEx>
          <w:tblCellMar>
            <w:top w:w="0" w:type="dxa"/>
            <w:left w:w="108" w:type="dxa"/>
            <w:bottom w:w="0" w:type="dxa"/>
            <w:right w:w="108" w:type="dxa"/>
          </w:tblCellMar>
        </w:tblPrEx>
        <w:trPr>
          <w:trHeight w:val="960" w:hRule="atLeast"/>
          <w:jc w:val="center"/>
        </w:trPr>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B74E7">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6</w:t>
            </w:r>
          </w:p>
        </w:tc>
        <w:tc>
          <w:tcPr>
            <w:tcW w:w="8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E2455">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5*4灭火器箱</w:t>
            </w:r>
          </w:p>
        </w:tc>
        <w:tc>
          <w:tcPr>
            <w:tcW w:w="3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166F7">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技术要求：</w:t>
            </w:r>
            <w:r>
              <w:rPr>
                <w:rFonts w:hint="eastAsia" w:ascii="仿宋" w:hAnsi="仿宋" w:eastAsia="仿宋" w:cs="宋体"/>
                <w:color w:val="auto"/>
                <w:kern w:val="0"/>
                <w:szCs w:val="21"/>
                <w:highlight w:val="none"/>
                <w:lang w:bidi="ar"/>
              </w:rPr>
              <w:br w:type="textWrapping"/>
            </w:r>
            <w:r>
              <w:rPr>
                <w:rFonts w:hint="eastAsia" w:ascii="仿宋" w:hAnsi="仿宋" w:eastAsia="仿宋" w:cs="宋体"/>
                <w:color w:val="auto"/>
                <w:kern w:val="0"/>
                <w:szCs w:val="21"/>
                <w:highlight w:val="none"/>
                <w:lang w:bidi="ar"/>
              </w:rPr>
              <w:t>1、尺寸≥400*200*550mm。</w:t>
            </w:r>
            <w:r>
              <w:rPr>
                <w:rFonts w:hint="eastAsia" w:ascii="仿宋" w:hAnsi="仿宋" w:eastAsia="仿宋" w:cs="宋体"/>
                <w:color w:val="auto"/>
                <w:kern w:val="0"/>
                <w:szCs w:val="21"/>
                <w:highlight w:val="none"/>
                <w:lang w:bidi="ar"/>
              </w:rPr>
              <w:br w:type="textWrapping"/>
            </w:r>
            <w:r>
              <w:rPr>
                <w:rFonts w:hint="eastAsia" w:ascii="仿宋" w:hAnsi="仿宋" w:eastAsia="仿宋" w:cs="宋体"/>
                <w:color w:val="auto"/>
                <w:kern w:val="0"/>
                <w:szCs w:val="21"/>
                <w:highlight w:val="none"/>
                <w:lang w:bidi="ar"/>
              </w:rPr>
              <w:t>2、材质:碳钢/铝塑板。</w:t>
            </w:r>
            <w:r>
              <w:rPr>
                <w:rFonts w:hint="eastAsia" w:ascii="仿宋" w:hAnsi="仿宋" w:eastAsia="仿宋" w:cs="宋体"/>
                <w:color w:val="auto"/>
                <w:kern w:val="0"/>
                <w:szCs w:val="21"/>
                <w:highlight w:val="none"/>
                <w:lang w:bidi="ar"/>
              </w:rPr>
              <w:br w:type="textWrapping"/>
            </w:r>
            <w:r>
              <w:rPr>
                <w:rFonts w:hint="eastAsia" w:ascii="仿宋" w:hAnsi="仿宋" w:eastAsia="仿宋" w:cs="宋体"/>
                <w:color w:val="auto"/>
                <w:kern w:val="0"/>
                <w:szCs w:val="21"/>
                <w:highlight w:val="none"/>
                <w:lang w:bidi="ar"/>
              </w:rPr>
              <w:t>3、用途:放置灭火器。</w:t>
            </w:r>
          </w:p>
        </w:tc>
      </w:tr>
      <w:tr w14:paraId="70ADA96F">
        <w:tblPrEx>
          <w:tblCellMar>
            <w:top w:w="0" w:type="dxa"/>
            <w:left w:w="108" w:type="dxa"/>
            <w:bottom w:w="0" w:type="dxa"/>
            <w:right w:w="108" w:type="dxa"/>
          </w:tblCellMar>
        </w:tblPrEx>
        <w:trPr>
          <w:trHeight w:val="38" w:hRule="atLeast"/>
          <w:jc w:val="center"/>
        </w:trPr>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A72F9">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7</w:t>
            </w:r>
          </w:p>
        </w:tc>
        <w:tc>
          <w:tcPr>
            <w:tcW w:w="8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B1A6A">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应急包</w:t>
            </w:r>
          </w:p>
        </w:tc>
        <w:tc>
          <w:tcPr>
            <w:tcW w:w="3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254C2">
            <w:pPr>
              <w:widowControl/>
              <w:spacing w:line="276" w:lineRule="auto"/>
              <w:contextualSpacing/>
              <w:jc w:val="left"/>
              <w:textAlignment w:val="center"/>
              <w:rPr>
                <w:rFonts w:ascii="仿宋" w:hAnsi="仿宋" w:eastAsia="仿宋" w:cs="宋体"/>
                <w:color w:val="auto"/>
                <w:kern w:val="0"/>
                <w:szCs w:val="21"/>
                <w:highlight w:val="none"/>
                <w:lang w:bidi="ar"/>
              </w:rPr>
            </w:pPr>
            <w:r>
              <w:rPr>
                <w:rFonts w:hint="eastAsia" w:ascii="仿宋" w:hAnsi="仿宋" w:eastAsia="仿宋" w:cs="宋体"/>
                <w:color w:val="auto"/>
                <w:kern w:val="0"/>
                <w:szCs w:val="21"/>
                <w:highlight w:val="none"/>
                <w:lang w:bidi="ar"/>
              </w:rPr>
              <w:t>1、尺寸：≥440×140×250mm。</w:t>
            </w:r>
          </w:p>
          <w:p w14:paraId="36E7AA80">
            <w:pPr>
              <w:pStyle w:val="2"/>
              <w:ind w:firstLine="0"/>
              <w:rPr>
                <w:rFonts w:eastAsia="仿宋"/>
                <w:color w:val="auto"/>
                <w:sz w:val="21"/>
                <w:szCs w:val="21"/>
                <w:highlight w:val="none"/>
              </w:rPr>
            </w:pPr>
            <w:r>
              <w:rPr>
                <w:rFonts w:hint="eastAsia" w:ascii="仿宋" w:hAnsi="仿宋" w:eastAsia="仿宋" w:cs="宋体"/>
                <w:color w:val="auto"/>
                <w:kern w:val="0"/>
                <w:sz w:val="21"/>
                <w:szCs w:val="18"/>
                <w:highlight w:val="none"/>
                <w:lang w:bidi="ar"/>
              </w:rPr>
              <w:t>2、材质：ABS。</w:t>
            </w:r>
          </w:p>
          <w:p w14:paraId="2BCA9C09">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3、内含消防分机，手报钥匙，强光灯，灭火弹，呼吸面罩，扩音喇叭，指挥棒，警戒带。</w:t>
            </w:r>
          </w:p>
        </w:tc>
      </w:tr>
      <w:tr w14:paraId="4FBCE6A5">
        <w:tblPrEx>
          <w:tblCellMar>
            <w:top w:w="0" w:type="dxa"/>
            <w:left w:w="108" w:type="dxa"/>
            <w:bottom w:w="0" w:type="dxa"/>
            <w:right w:w="108" w:type="dxa"/>
          </w:tblCellMar>
        </w:tblPrEx>
        <w:trPr>
          <w:trHeight w:val="43" w:hRule="atLeast"/>
          <w:jc w:val="center"/>
        </w:trPr>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FB2B9">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8</w:t>
            </w:r>
          </w:p>
        </w:tc>
        <w:tc>
          <w:tcPr>
            <w:tcW w:w="8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939D5">
            <w:pPr>
              <w:widowControl/>
              <w:spacing w:line="276" w:lineRule="auto"/>
              <w:contextualSpacing/>
              <w:jc w:val="center"/>
              <w:textAlignment w:val="center"/>
              <w:rPr>
                <w:rFonts w:ascii="仿宋" w:hAnsi="仿宋" w:eastAsia="仿宋" w:cs="宋体"/>
                <w:color w:val="auto"/>
                <w:szCs w:val="21"/>
                <w:highlight w:val="none"/>
              </w:rPr>
            </w:pPr>
            <w:bookmarkStart w:id="47" w:name="OLE_LINK18"/>
            <w:r>
              <w:rPr>
                <w:rFonts w:hint="eastAsia" w:ascii="仿宋" w:hAnsi="仿宋" w:eastAsia="仿宋" w:cs="宋体"/>
                <w:color w:val="auto"/>
                <w:kern w:val="0"/>
                <w:szCs w:val="21"/>
                <w:highlight w:val="none"/>
                <w:lang w:bidi="ar"/>
              </w:rPr>
              <w:t>消防呼救器</w:t>
            </w:r>
            <w:bookmarkEnd w:id="47"/>
          </w:p>
        </w:tc>
        <w:tc>
          <w:tcPr>
            <w:tcW w:w="3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97B3E">
            <w:pPr>
              <w:widowControl/>
              <w:spacing w:line="276" w:lineRule="auto"/>
              <w:contextualSpacing/>
              <w:jc w:val="left"/>
              <w:textAlignment w:val="center"/>
              <w:rPr>
                <w:rFonts w:ascii="仿宋" w:hAnsi="仿宋" w:eastAsia="仿宋" w:cs="宋体"/>
                <w:color w:val="auto"/>
                <w:kern w:val="0"/>
                <w:szCs w:val="21"/>
                <w:highlight w:val="none"/>
                <w:lang w:bidi="ar"/>
              </w:rPr>
            </w:pPr>
            <w:r>
              <w:rPr>
                <w:rFonts w:hint="eastAsia" w:ascii="仿宋" w:hAnsi="仿宋" w:eastAsia="仿宋" w:cs="宋体"/>
                <w:color w:val="auto"/>
                <w:kern w:val="0"/>
                <w:szCs w:val="21"/>
                <w:highlight w:val="none"/>
                <w:lang w:bidi="ar"/>
              </w:rPr>
              <w:t>30秒静止触发（≥80dB），15秒未解除强报警（≥100dB）。</w:t>
            </w:r>
          </w:p>
        </w:tc>
      </w:tr>
      <w:tr w14:paraId="2531A326">
        <w:tblPrEx>
          <w:tblCellMar>
            <w:top w:w="0" w:type="dxa"/>
            <w:left w:w="108" w:type="dxa"/>
            <w:bottom w:w="0" w:type="dxa"/>
            <w:right w:w="108" w:type="dxa"/>
          </w:tblCellMar>
        </w:tblPrEx>
        <w:trPr>
          <w:trHeight w:val="38" w:hRule="atLeast"/>
          <w:jc w:val="center"/>
        </w:trPr>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52B55">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9</w:t>
            </w:r>
          </w:p>
        </w:tc>
        <w:tc>
          <w:tcPr>
            <w:tcW w:w="8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FD0F7">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消防水带</w:t>
            </w:r>
          </w:p>
        </w:tc>
        <w:tc>
          <w:tcPr>
            <w:tcW w:w="3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06E14">
            <w:pPr>
              <w:widowControl/>
              <w:spacing w:line="276" w:lineRule="auto"/>
              <w:contextualSpacing/>
              <w:jc w:val="left"/>
              <w:textAlignment w:val="center"/>
              <w:rPr>
                <w:rFonts w:ascii="仿宋" w:hAnsi="仿宋" w:eastAsia="仿宋" w:cs="宋体"/>
                <w:color w:val="auto"/>
                <w:kern w:val="0"/>
                <w:szCs w:val="21"/>
                <w:highlight w:val="none"/>
                <w:lang w:bidi="ar"/>
              </w:rPr>
            </w:pPr>
            <w:r>
              <w:rPr>
                <w:rFonts w:hint="eastAsia" w:ascii="仿宋" w:hAnsi="仿宋" w:eastAsia="仿宋" w:cs="宋体"/>
                <w:color w:val="auto"/>
                <w:kern w:val="0"/>
                <w:szCs w:val="21"/>
                <w:highlight w:val="none"/>
                <w:lang w:bidi="ar"/>
              </w:rPr>
              <w:t>1、压力：0.8MPa（8公斤/平方厘米）。</w:t>
            </w:r>
          </w:p>
          <w:p w14:paraId="1AA2EC4F">
            <w:pPr>
              <w:widowControl/>
              <w:spacing w:line="276" w:lineRule="auto"/>
              <w:contextualSpacing/>
              <w:jc w:val="left"/>
              <w:textAlignment w:val="center"/>
              <w:rPr>
                <w:rFonts w:ascii="仿宋" w:hAnsi="仿宋" w:eastAsia="仿宋" w:cs="宋体"/>
                <w:color w:val="auto"/>
                <w:kern w:val="0"/>
                <w:szCs w:val="21"/>
                <w:highlight w:val="none"/>
                <w:lang w:bidi="ar"/>
              </w:rPr>
            </w:pPr>
            <w:r>
              <w:rPr>
                <w:rFonts w:hint="eastAsia" w:ascii="仿宋" w:hAnsi="仿宋" w:eastAsia="仿宋" w:cs="宋体"/>
                <w:color w:val="auto"/>
                <w:kern w:val="0"/>
                <w:szCs w:val="21"/>
                <w:highlight w:val="none"/>
                <w:lang w:bidi="ar"/>
              </w:rPr>
              <w:t>2、水带内径：65毫米（约2.5寸）。</w:t>
            </w:r>
          </w:p>
          <w:p w14:paraId="6841054C">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3、水带长度：25米。</w:t>
            </w:r>
          </w:p>
        </w:tc>
      </w:tr>
      <w:tr w14:paraId="2A9C68F2">
        <w:tblPrEx>
          <w:tblCellMar>
            <w:top w:w="0" w:type="dxa"/>
            <w:left w:w="108" w:type="dxa"/>
            <w:bottom w:w="0" w:type="dxa"/>
            <w:right w:w="108" w:type="dxa"/>
          </w:tblCellMar>
        </w:tblPrEx>
        <w:trPr>
          <w:trHeight w:val="38" w:hRule="atLeast"/>
          <w:jc w:val="center"/>
        </w:trPr>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1A4C2">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10</w:t>
            </w:r>
          </w:p>
        </w:tc>
        <w:tc>
          <w:tcPr>
            <w:tcW w:w="8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B13DE">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消防枪头</w:t>
            </w:r>
          </w:p>
        </w:tc>
        <w:tc>
          <w:tcPr>
            <w:tcW w:w="3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E9A8B">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65型</w:t>
            </w:r>
          </w:p>
        </w:tc>
      </w:tr>
      <w:tr w14:paraId="76D6C46C">
        <w:tblPrEx>
          <w:tblCellMar>
            <w:top w:w="0" w:type="dxa"/>
            <w:left w:w="108" w:type="dxa"/>
            <w:bottom w:w="0" w:type="dxa"/>
            <w:right w:w="108" w:type="dxa"/>
          </w:tblCellMar>
        </w:tblPrEx>
        <w:trPr>
          <w:trHeight w:val="38" w:hRule="atLeast"/>
          <w:jc w:val="center"/>
        </w:trPr>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299D3">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11</w:t>
            </w:r>
          </w:p>
        </w:tc>
        <w:tc>
          <w:tcPr>
            <w:tcW w:w="8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E4CE5">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消防多功能喷枪头</w:t>
            </w:r>
          </w:p>
        </w:tc>
        <w:tc>
          <w:tcPr>
            <w:tcW w:w="3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8DDB5">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65型</w:t>
            </w:r>
          </w:p>
        </w:tc>
      </w:tr>
      <w:tr w14:paraId="4A6B5AB7">
        <w:tblPrEx>
          <w:tblCellMar>
            <w:top w:w="0" w:type="dxa"/>
            <w:left w:w="108" w:type="dxa"/>
            <w:bottom w:w="0" w:type="dxa"/>
            <w:right w:w="108" w:type="dxa"/>
          </w:tblCellMar>
        </w:tblPrEx>
        <w:trPr>
          <w:trHeight w:val="38" w:hRule="atLeast"/>
          <w:jc w:val="center"/>
        </w:trPr>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D4979">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12</w:t>
            </w:r>
          </w:p>
        </w:tc>
        <w:tc>
          <w:tcPr>
            <w:tcW w:w="8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68949">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消防设施柜</w:t>
            </w:r>
          </w:p>
        </w:tc>
        <w:tc>
          <w:tcPr>
            <w:tcW w:w="3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CDA67">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白钢特质，旋转消防服展示柜</w:t>
            </w:r>
          </w:p>
        </w:tc>
      </w:tr>
      <w:tr w14:paraId="555CEA4F">
        <w:tblPrEx>
          <w:tblCellMar>
            <w:top w:w="0" w:type="dxa"/>
            <w:left w:w="108" w:type="dxa"/>
            <w:bottom w:w="0" w:type="dxa"/>
            <w:right w:w="108" w:type="dxa"/>
          </w:tblCellMar>
        </w:tblPrEx>
        <w:trPr>
          <w:trHeight w:val="38" w:hRule="atLeast"/>
          <w:jc w:val="center"/>
        </w:trPr>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334F5">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13</w:t>
            </w:r>
          </w:p>
        </w:tc>
        <w:tc>
          <w:tcPr>
            <w:tcW w:w="8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9CF55">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灭火毯</w:t>
            </w:r>
          </w:p>
        </w:tc>
        <w:tc>
          <w:tcPr>
            <w:tcW w:w="3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CF59E">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1.5M*1.5M,玻璃纤维/硅胶材质</w:t>
            </w:r>
          </w:p>
        </w:tc>
      </w:tr>
      <w:tr w14:paraId="2A49C254">
        <w:tblPrEx>
          <w:tblCellMar>
            <w:top w:w="0" w:type="dxa"/>
            <w:left w:w="108" w:type="dxa"/>
            <w:bottom w:w="0" w:type="dxa"/>
            <w:right w:w="108" w:type="dxa"/>
          </w:tblCellMar>
        </w:tblPrEx>
        <w:trPr>
          <w:trHeight w:val="38" w:hRule="atLeast"/>
          <w:jc w:val="center"/>
        </w:trPr>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F0B6E">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14</w:t>
            </w:r>
          </w:p>
        </w:tc>
        <w:tc>
          <w:tcPr>
            <w:tcW w:w="8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3C6B8">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灭火毯</w:t>
            </w:r>
          </w:p>
        </w:tc>
        <w:tc>
          <w:tcPr>
            <w:tcW w:w="3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F4B47">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车用4M*4M，玻璃纤维材质</w:t>
            </w:r>
          </w:p>
        </w:tc>
      </w:tr>
      <w:tr w14:paraId="7B383D50">
        <w:tblPrEx>
          <w:tblCellMar>
            <w:top w:w="0" w:type="dxa"/>
            <w:left w:w="108" w:type="dxa"/>
            <w:bottom w:w="0" w:type="dxa"/>
            <w:right w:w="108" w:type="dxa"/>
          </w:tblCellMar>
        </w:tblPrEx>
        <w:trPr>
          <w:trHeight w:val="600" w:hRule="atLeast"/>
          <w:jc w:val="center"/>
        </w:trPr>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0AD82">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15</w:t>
            </w:r>
          </w:p>
        </w:tc>
        <w:tc>
          <w:tcPr>
            <w:tcW w:w="8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8E875">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佩戴式防爆手电</w:t>
            </w:r>
          </w:p>
        </w:tc>
        <w:tc>
          <w:tcPr>
            <w:tcW w:w="3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F639A">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防爆，配套卡入消防盔内，充电款，连续照明时间≥4h</w:t>
            </w:r>
          </w:p>
        </w:tc>
      </w:tr>
      <w:tr w14:paraId="572E88AC">
        <w:tblPrEx>
          <w:tblCellMar>
            <w:top w:w="0" w:type="dxa"/>
            <w:left w:w="108" w:type="dxa"/>
            <w:bottom w:w="0" w:type="dxa"/>
            <w:right w:w="108" w:type="dxa"/>
          </w:tblCellMar>
        </w:tblPrEx>
        <w:trPr>
          <w:trHeight w:val="34" w:hRule="atLeast"/>
          <w:jc w:val="center"/>
        </w:trPr>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2039C">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16</w:t>
            </w:r>
          </w:p>
        </w:tc>
        <w:tc>
          <w:tcPr>
            <w:tcW w:w="8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4FE47">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防毒面具</w:t>
            </w:r>
          </w:p>
        </w:tc>
        <w:tc>
          <w:tcPr>
            <w:tcW w:w="3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12472">
            <w:pPr>
              <w:widowControl/>
              <w:spacing w:line="276" w:lineRule="auto"/>
              <w:contextualSpacing/>
              <w:jc w:val="left"/>
              <w:textAlignment w:val="center"/>
              <w:rPr>
                <w:rFonts w:ascii="仿宋" w:hAnsi="仿宋" w:eastAsia="仿宋" w:cs="宋体"/>
                <w:color w:val="auto"/>
                <w:kern w:val="0"/>
                <w:szCs w:val="21"/>
                <w:highlight w:val="none"/>
                <w:lang w:bidi="ar"/>
              </w:rPr>
            </w:pPr>
            <w:r>
              <w:rPr>
                <w:rFonts w:hint="eastAsia" w:ascii="仿宋" w:hAnsi="仿宋" w:eastAsia="仿宋" w:cs="宋体"/>
                <w:color w:val="auto"/>
                <w:kern w:val="0"/>
                <w:szCs w:val="21"/>
                <w:highlight w:val="none"/>
                <w:lang w:bidi="ar"/>
              </w:rPr>
              <w:t>防毒时间＞30min。</w:t>
            </w:r>
          </w:p>
        </w:tc>
      </w:tr>
      <w:tr w14:paraId="256A6DE7">
        <w:tblPrEx>
          <w:tblCellMar>
            <w:top w:w="0" w:type="dxa"/>
            <w:left w:w="108" w:type="dxa"/>
            <w:bottom w:w="0" w:type="dxa"/>
            <w:right w:w="108" w:type="dxa"/>
          </w:tblCellMar>
        </w:tblPrEx>
        <w:trPr>
          <w:trHeight w:val="38" w:hRule="atLeast"/>
          <w:jc w:val="center"/>
        </w:trPr>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E34C1">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17</w:t>
            </w:r>
          </w:p>
        </w:tc>
        <w:tc>
          <w:tcPr>
            <w:tcW w:w="8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6AE53">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安全绳</w:t>
            </w:r>
          </w:p>
        </w:tc>
        <w:tc>
          <w:tcPr>
            <w:tcW w:w="3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EF8AD">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25米双扣，含钢丝</w:t>
            </w:r>
          </w:p>
        </w:tc>
      </w:tr>
      <w:tr w14:paraId="564BDE31">
        <w:tblPrEx>
          <w:tblCellMar>
            <w:top w:w="0" w:type="dxa"/>
            <w:left w:w="108" w:type="dxa"/>
            <w:bottom w:w="0" w:type="dxa"/>
            <w:right w:w="108" w:type="dxa"/>
          </w:tblCellMar>
        </w:tblPrEx>
        <w:trPr>
          <w:trHeight w:val="38" w:hRule="atLeast"/>
          <w:jc w:val="center"/>
        </w:trPr>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68A9D">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18</w:t>
            </w:r>
          </w:p>
        </w:tc>
        <w:tc>
          <w:tcPr>
            <w:tcW w:w="8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E94AD">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腰斧</w:t>
            </w:r>
          </w:p>
        </w:tc>
        <w:tc>
          <w:tcPr>
            <w:tcW w:w="3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4E7F7">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不锈钢材质，含皮质腰斧套</w:t>
            </w:r>
          </w:p>
        </w:tc>
      </w:tr>
      <w:tr w14:paraId="472D4749">
        <w:tblPrEx>
          <w:tblCellMar>
            <w:top w:w="0" w:type="dxa"/>
            <w:left w:w="108" w:type="dxa"/>
            <w:bottom w:w="0" w:type="dxa"/>
            <w:right w:w="108" w:type="dxa"/>
          </w:tblCellMar>
        </w:tblPrEx>
        <w:trPr>
          <w:trHeight w:val="38" w:hRule="atLeast"/>
          <w:jc w:val="center"/>
        </w:trPr>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EF68A">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19</w:t>
            </w:r>
          </w:p>
        </w:tc>
        <w:tc>
          <w:tcPr>
            <w:tcW w:w="8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6CC05">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液压破拆套装</w:t>
            </w:r>
          </w:p>
        </w:tc>
        <w:tc>
          <w:tcPr>
            <w:tcW w:w="3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8F50F">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包含</w:t>
            </w:r>
            <w:r>
              <w:rPr>
                <w:rFonts w:hint="eastAsia" w:ascii="仿宋" w:hAnsi="仿宋" w:eastAsia="仿宋" w:cs="宋体"/>
                <w:color w:val="auto"/>
                <w:kern w:val="0"/>
                <w:szCs w:val="21"/>
                <w:highlight w:val="none"/>
                <w:lang w:bidi="ar"/>
              </w:rPr>
              <w:t>链锯，无齿锯，剪扩钳，切割锯，液压开门器，钢筋速断器，液压剪，液压撑杆,液压泵等</w:t>
            </w:r>
          </w:p>
        </w:tc>
      </w:tr>
      <w:tr w14:paraId="08BC932C">
        <w:tblPrEx>
          <w:tblCellMar>
            <w:top w:w="0" w:type="dxa"/>
            <w:left w:w="108" w:type="dxa"/>
            <w:bottom w:w="0" w:type="dxa"/>
            <w:right w:w="108" w:type="dxa"/>
          </w:tblCellMar>
        </w:tblPrEx>
        <w:trPr>
          <w:trHeight w:val="38" w:hRule="atLeast"/>
          <w:jc w:val="center"/>
        </w:trPr>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C3A2C">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20</w:t>
            </w:r>
          </w:p>
        </w:tc>
        <w:tc>
          <w:tcPr>
            <w:tcW w:w="8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E85CF">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消防斧</w:t>
            </w:r>
          </w:p>
        </w:tc>
        <w:tc>
          <w:tcPr>
            <w:tcW w:w="3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628A9">
            <w:pPr>
              <w:widowControl/>
              <w:spacing w:line="276" w:lineRule="auto"/>
              <w:contextualSpacing/>
              <w:jc w:val="left"/>
              <w:textAlignment w:val="center"/>
              <w:rPr>
                <w:rFonts w:ascii="仿宋" w:hAnsi="仿宋" w:eastAsia="仿宋" w:cs="宋体"/>
                <w:color w:val="auto"/>
                <w:szCs w:val="21"/>
                <w:highlight w:val="none"/>
              </w:rPr>
            </w:pPr>
            <w:bookmarkStart w:id="48" w:name="OLE_LINK29"/>
            <w:bookmarkStart w:id="49" w:name="OLE_LINK28"/>
            <w:r>
              <w:rPr>
                <w:rFonts w:hint="eastAsia" w:ascii="仿宋" w:hAnsi="仿宋" w:eastAsia="仿宋" w:cs="宋体"/>
                <w:color w:val="auto"/>
                <w:kern w:val="0"/>
                <w:szCs w:val="21"/>
                <w:highlight w:val="none"/>
                <w:lang w:bidi="ar"/>
              </w:rPr>
              <w:t>GFP810，GFJ810</w:t>
            </w:r>
            <w:bookmarkEnd w:id="48"/>
            <w:bookmarkEnd w:id="49"/>
            <w:r>
              <w:rPr>
                <w:rFonts w:hint="eastAsia" w:ascii="仿宋" w:hAnsi="仿宋" w:eastAsia="仿宋" w:cs="宋体"/>
                <w:color w:val="auto"/>
                <w:kern w:val="0"/>
                <w:szCs w:val="21"/>
                <w:highlight w:val="none"/>
                <w:lang w:bidi="ar"/>
              </w:rPr>
              <w:t>，碳钢木柄</w:t>
            </w:r>
          </w:p>
        </w:tc>
      </w:tr>
      <w:tr w14:paraId="02A750A3">
        <w:tblPrEx>
          <w:tblCellMar>
            <w:top w:w="0" w:type="dxa"/>
            <w:left w:w="108" w:type="dxa"/>
            <w:bottom w:w="0" w:type="dxa"/>
            <w:right w:w="108" w:type="dxa"/>
          </w:tblCellMar>
        </w:tblPrEx>
        <w:trPr>
          <w:trHeight w:val="38" w:hRule="atLeast"/>
          <w:jc w:val="center"/>
        </w:trPr>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0CB42">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21</w:t>
            </w:r>
          </w:p>
        </w:tc>
        <w:tc>
          <w:tcPr>
            <w:tcW w:w="8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655A2">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消防锹</w:t>
            </w:r>
          </w:p>
        </w:tc>
        <w:tc>
          <w:tcPr>
            <w:tcW w:w="3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31A1D">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红色木柄，平底铁锹头，长度大于1M</w:t>
            </w:r>
          </w:p>
        </w:tc>
      </w:tr>
      <w:tr w14:paraId="0797C482">
        <w:tblPrEx>
          <w:tblCellMar>
            <w:top w:w="0" w:type="dxa"/>
            <w:left w:w="108" w:type="dxa"/>
            <w:bottom w:w="0" w:type="dxa"/>
            <w:right w:w="108" w:type="dxa"/>
          </w:tblCellMar>
        </w:tblPrEx>
        <w:trPr>
          <w:trHeight w:val="38" w:hRule="atLeast"/>
          <w:jc w:val="center"/>
        </w:trPr>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90414">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22</w:t>
            </w:r>
          </w:p>
        </w:tc>
        <w:tc>
          <w:tcPr>
            <w:tcW w:w="8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0C0A4">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消防镐</w:t>
            </w:r>
          </w:p>
        </w:tc>
        <w:tc>
          <w:tcPr>
            <w:tcW w:w="3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44410">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碳钢木柄，长度大于90cm</w:t>
            </w:r>
          </w:p>
        </w:tc>
      </w:tr>
      <w:tr w14:paraId="6BFDAEC6">
        <w:tblPrEx>
          <w:tblCellMar>
            <w:top w:w="0" w:type="dxa"/>
            <w:left w:w="108" w:type="dxa"/>
            <w:bottom w:w="0" w:type="dxa"/>
            <w:right w:w="108" w:type="dxa"/>
          </w:tblCellMar>
        </w:tblPrEx>
        <w:trPr>
          <w:trHeight w:val="38" w:hRule="atLeast"/>
          <w:jc w:val="center"/>
        </w:trPr>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2E39E">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23</w:t>
            </w:r>
          </w:p>
        </w:tc>
        <w:tc>
          <w:tcPr>
            <w:tcW w:w="8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017D0">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消防桶</w:t>
            </w:r>
          </w:p>
        </w:tc>
        <w:tc>
          <w:tcPr>
            <w:tcW w:w="3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B59BE">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铁质，容量8L</w:t>
            </w:r>
          </w:p>
        </w:tc>
      </w:tr>
      <w:tr w14:paraId="583B2DA2">
        <w:tblPrEx>
          <w:tblCellMar>
            <w:top w:w="0" w:type="dxa"/>
            <w:left w:w="108" w:type="dxa"/>
            <w:bottom w:w="0" w:type="dxa"/>
            <w:right w:w="108" w:type="dxa"/>
          </w:tblCellMar>
        </w:tblPrEx>
        <w:trPr>
          <w:trHeight w:val="38" w:hRule="atLeast"/>
          <w:jc w:val="center"/>
        </w:trPr>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1B0FF">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24</w:t>
            </w:r>
          </w:p>
        </w:tc>
        <w:tc>
          <w:tcPr>
            <w:tcW w:w="8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39C0B">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消防沙袋</w:t>
            </w:r>
          </w:p>
        </w:tc>
        <w:tc>
          <w:tcPr>
            <w:tcW w:w="3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81041">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帆布材质，容量4kg</w:t>
            </w:r>
          </w:p>
        </w:tc>
      </w:tr>
      <w:tr w14:paraId="71494B66">
        <w:tblPrEx>
          <w:tblCellMar>
            <w:top w:w="0" w:type="dxa"/>
            <w:left w:w="108" w:type="dxa"/>
            <w:bottom w:w="0" w:type="dxa"/>
            <w:right w:w="108" w:type="dxa"/>
          </w:tblCellMar>
        </w:tblPrEx>
        <w:trPr>
          <w:trHeight w:val="38" w:hRule="atLeast"/>
          <w:jc w:val="center"/>
        </w:trPr>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96CF9">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25</w:t>
            </w:r>
          </w:p>
        </w:tc>
        <w:tc>
          <w:tcPr>
            <w:tcW w:w="8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DF1A1">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井盖钩</w:t>
            </w:r>
          </w:p>
        </w:tc>
        <w:tc>
          <w:tcPr>
            <w:tcW w:w="3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F5AFF">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铁质，长度1.2M</w:t>
            </w:r>
          </w:p>
        </w:tc>
      </w:tr>
      <w:tr w14:paraId="1F6D5D2F">
        <w:tblPrEx>
          <w:tblCellMar>
            <w:top w:w="0" w:type="dxa"/>
            <w:left w:w="108" w:type="dxa"/>
            <w:bottom w:w="0" w:type="dxa"/>
            <w:right w:w="108" w:type="dxa"/>
          </w:tblCellMar>
        </w:tblPrEx>
        <w:trPr>
          <w:trHeight w:val="38" w:hRule="atLeast"/>
          <w:jc w:val="center"/>
        </w:trPr>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208D1">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26</w:t>
            </w:r>
          </w:p>
        </w:tc>
        <w:tc>
          <w:tcPr>
            <w:tcW w:w="8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257C6">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消火栓钥匙</w:t>
            </w:r>
          </w:p>
        </w:tc>
        <w:tc>
          <w:tcPr>
            <w:tcW w:w="3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73066">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1.2M四角铁质</w:t>
            </w:r>
          </w:p>
        </w:tc>
      </w:tr>
      <w:tr w14:paraId="74905D89">
        <w:tblPrEx>
          <w:tblCellMar>
            <w:top w:w="0" w:type="dxa"/>
            <w:left w:w="108" w:type="dxa"/>
            <w:bottom w:w="0" w:type="dxa"/>
            <w:right w:w="108" w:type="dxa"/>
          </w:tblCellMar>
        </w:tblPrEx>
        <w:trPr>
          <w:trHeight w:val="38" w:hRule="atLeast"/>
          <w:jc w:val="center"/>
        </w:trPr>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0A451">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27</w:t>
            </w:r>
          </w:p>
        </w:tc>
        <w:tc>
          <w:tcPr>
            <w:tcW w:w="8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DB6FC">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消防梯</w:t>
            </w:r>
          </w:p>
        </w:tc>
        <w:tc>
          <w:tcPr>
            <w:tcW w:w="3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B5054">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铝合金≥3M，伸缩</w:t>
            </w:r>
          </w:p>
        </w:tc>
      </w:tr>
      <w:tr w14:paraId="3A0E89DA">
        <w:tblPrEx>
          <w:tblCellMar>
            <w:top w:w="0" w:type="dxa"/>
            <w:left w:w="108" w:type="dxa"/>
            <w:bottom w:w="0" w:type="dxa"/>
            <w:right w:w="108" w:type="dxa"/>
          </w:tblCellMar>
        </w:tblPrEx>
        <w:trPr>
          <w:trHeight w:val="38" w:hRule="atLeast"/>
          <w:jc w:val="center"/>
        </w:trPr>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5B01F">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28</w:t>
            </w:r>
          </w:p>
        </w:tc>
        <w:tc>
          <w:tcPr>
            <w:tcW w:w="8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67D06">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强光照明灯</w:t>
            </w:r>
          </w:p>
        </w:tc>
        <w:tc>
          <w:tcPr>
            <w:tcW w:w="3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77684">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合金外壳，最大流明＞5000lm，续航＞10H，充电款</w:t>
            </w:r>
          </w:p>
        </w:tc>
      </w:tr>
      <w:tr w14:paraId="5952A166">
        <w:tblPrEx>
          <w:tblCellMar>
            <w:top w:w="0" w:type="dxa"/>
            <w:left w:w="108" w:type="dxa"/>
            <w:bottom w:w="0" w:type="dxa"/>
            <w:right w:w="108" w:type="dxa"/>
          </w:tblCellMar>
        </w:tblPrEx>
        <w:trPr>
          <w:trHeight w:val="1693" w:hRule="atLeast"/>
          <w:jc w:val="center"/>
        </w:trPr>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37851">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29</w:t>
            </w:r>
          </w:p>
        </w:tc>
        <w:tc>
          <w:tcPr>
            <w:tcW w:w="8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A9939">
            <w:pPr>
              <w:widowControl/>
              <w:spacing w:line="276" w:lineRule="auto"/>
              <w:contextualSpacing/>
              <w:jc w:val="center"/>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灶台燃气报警装置</w:t>
            </w:r>
          </w:p>
        </w:tc>
        <w:tc>
          <w:tcPr>
            <w:tcW w:w="3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C4B76">
            <w:pPr>
              <w:widowControl/>
              <w:spacing w:line="276" w:lineRule="auto"/>
              <w:contextualSpacing/>
              <w:jc w:val="left"/>
              <w:textAlignment w:val="center"/>
              <w:rPr>
                <w:rFonts w:ascii="仿宋" w:hAnsi="仿宋" w:eastAsia="仿宋" w:cs="宋体"/>
                <w:color w:val="auto"/>
                <w:szCs w:val="21"/>
                <w:highlight w:val="none"/>
              </w:rPr>
            </w:pPr>
            <w:r>
              <w:rPr>
                <w:rFonts w:hint="eastAsia" w:ascii="仿宋" w:hAnsi="仿宋" w:eastAsia="仿宋" w:cs="宋体"/>
                <w:color w:val="auto"/>
                <w:kern w:val="0"/>
                <w:szCs w:val="21"/>
                <w:highlight w:val="none"/>
                <w:lang w:bidi="ar"/>
              </w:rPr>
              <w:t>技术要求：</w:t>
            </w:r>
            <w:r>
              <w:rPr>
                <w:rFonts w:hint="eastAsia" w:ascii="仿宋" w:hAnsi="仿宋" w:eastAsia="仿宋" w:cs="宋体"/>
                <w:color w:val="auto"/>
                <w:kern w:val="0"/>
                <w:szCs w:val="21"/>
                <w:highlight w:val="none"/>
                <w:lang w:bidi="ar"/>
              </w:rPr>
              <w:br w:type="textWrapping"/>
            </w:r>
            <w:r>
              <w:rPr>
                <w:rFonts w:hint="eastAsia" w:ascii="仿宋" w:hAnsi="仿宋" w:eastAsia="仿宋" w:cs="宋体"/>
                <w:color w:val="auto"/>
                <w:kern w:val="0"/>
                <w:szCs w:val="21"/>
                <w:highlight w:val="none"/>
                <w:lang w:bidi="ar"/>
              </w:rPr>
              <w:t>1、天然气：≤5% LEL（约0.25% 体积浓度）</w:t>
            </w:r>
            <w:r>
              <w:rPr>
                <w:rFonts w:hint="eastAsia" w:ascii="仿宋" w:hAnsi="仿宋" w:eastAsia="仿宋" w:cs="宋体"/>
                <w:color w:val="auto"/>
                <w:kern w:val="0"/>
                <w:szCs w:val="21"/>
                <w:highlight w:val="none"/>
                <w:lang w:bidi="ar"/>
              </w:rPr>
              <w:br w:type="textWrapping"/>
            </w:r>
            <w:r>
              <w:rPr>
                <w:rFonts w:hint="eastAsia" w:ascii="仿宋" w:hAnsi="仿宋" w:eastAsia="仿宋" w:cs="宋体"/>
                <w:color w:val="auto"/>
                <w:kern w:val="0"/>
                <w:szCs w:val="21"/>
                <w:highlight w:val="none"/>
                <w:lang w:bidi="ar"/>
              </w:rPr>
              <w:t>2、液化石油气：≤5% LEL（约0.1% 体积浓度）</w:t>
            </w:r>
            <w:r>
              <w:rPr>
                <w:rFonts w:hint="eastAsia" w:ascii="仿宋" w:hAnsi="仿宋" w:eastAsia="仿宋" w:cs="宋体"/>
                <w:color w:val="auto"/>
                <w:kern w:val="0"/>
                <w:szCs w:val="21"/>
                <w:highlight w:val="none"/>
                <w:lang w:bidi="ar"/>
              </w:rPr>
              <w:br w:type="textWrapping"/>
            </w:r>
            <w:r>
              <w:rPr>
                <w:rFonts w:hint="eastAsia" w:ascii="仿宋" w:hAnsi="仿宋" w:eastAsia="仿宋" w:cs="宋体"/>
                <w:color w:val="auto"/>
                <w:kern w:val="0"/>
                <w:szCs w:val="21"/>
                <w:highlight w:val="none"/>
                <w:lang w:bidi="ar"/>
              </w:rPr>
              <w:t>3、一氧化碳（若有）：≤50 ppm（住宅安全标准）</w:t>
            </w:r>
            <w:r>
              <w:rPr>
                <w:rFonts w:hint="eastAsia" w:ascii="仿宋" w:hAnsi="仿宋" w:eastAsia="仿宋" w:cs="宋体"/>
                <w:color w:val="auto"/>
                <w:kern w:val="0"/>
                <w:szCs w:val="21"/>
                <w:highlight w:val="none"/>
                <w:lang w:bidi="ar"/>
              </w:rPr>
              <w:br w:type="textWrapping"/>
            </w:r>
            <w:r>
              <w:rPr>
                <w:rFonts w:hint="eastAsia" w:ascii="仿宋" w:hAnsi="仿宋" w:eastAsia="仿宋" w:cs="宋体"/>
                <w:color w:val="auto"/>
                <w:kern w:val="0"/>
                <w:szCs w:val="21"/>
                <w:highlight w:val="none"/>
                <w:lang w:bidi="ar"/>
              </w:rPr>
              <w:t>4、报警响应时间：≤30秒（燃气浓度达到报警阈值时）</w:t>
            </w:r>
            <w:r>
              <w:rPr>
                <w:rFonts w:hint="eastAsia" w:ascii="仿宋" w:hAnsi="仿宋" w:eastAsia="仿宋" w:cs="宋体"/>
                <w:color w:val="auto"/>
                <w:kern w:val="0"/>
                <w:szCs w:val="21"/>
                <w:highlight w:val="none"/>
                <w:lang w:bidi="ar"/>
              </w:rPr>
              <w:br w:type="textWrapping"/>
            </w:r>
            <w:r>
              <w:rPr>
                <w:rFonts w:hint="eastAsia" w:ascii="仿宋" w:hAnsi="仿宋" w:eastAsia="仿宋" w:cs="宋体"/>
                <w:color w:val="auto"/>
                <w:kern w:val="0"/>
                <w:szCs w:val="21"/>
                <w:highlight w:val="none"/>
                <w:lang w:bidi="ar"/>
              </w:rPr>
              <w:t>5、恢复时间：≤60秒（燃气浓度降至安全值时停止报警）</w:t>
            </w:r>
            <w:r>
              <w:rPr>
                <w:rFonts w:hint="eastAsia" w:ascii="仿宋" w:hAnsi="仿宋" w:eastAsia="仿宋" w:cs="宋体"/>
                <w:color w:val="auto"/>
                <w:kern w:val="0"/>
                <w:szCs w:val="21"/>
                <w:highlight w:val="none"/>
                <w:lang w:bidi="ar"/>
              </w:rPr>
              <w:br w:type="textWrapping"/>
            </w:r>
            <w:r>
              <w:rPr>
                <w:rFonts w:hint="eastAsia" w:ascii="仿宋" w:hAnsi="仿宋" w:eastAsia="仿宋" w:cs="宋体"/>
                <w:color w:val="auto"/>
                <w:kern w:val="0"/>
                <w:szCs w:val="21"/>
                <w:highlight w:val="none"/>
                <w:lang w:bidi="ar"/>
              </w:rPr>
              <w:t>6、温度范围：-10℃~50℃（适应厨房环境）</w:t>
            </w:r>
            <w:r>
              <w:rPr>
                <w:rFonts w:hint="eastAsia" w:ascii="仿宋" w:hAnsi="仿宋" w:eastAsia="仿宋" w:cs="宋体"/>
                <w:color w:val="auto"/>
                <w:kern w:val="0"/>
                <w:szCs w:val="21"/>
                <w:highlight w:val="none"/>
                <w:lang w:bidi="ar"/>
              </w:rPr>
              <w:br w:type="textWrapping"/>
            </w:r>
            <w:r>
              <w:rPr>
                <w:rFonts w:hint="eastAsia" w:ascii="仿宋" w:hAnsi="仿宋" w:eastAsia="仿宋" w:cs="宋体"/>
                <w:color w:val="auto"/>
                <w:kern w:val="0"/>
                <w:szCs w:val="21"/>
                <w:highlight w:val="none"/>
                <w:lang w:bidi="ar"/>
              </w:rPr>
              <w:t>7、湿度范围：≤95% RH（非冷凝）</w:t>
            </w:r>
            <w:r>
              <w:rPr>
                <w:rFonts w:hint="eastAsia" w:ascii="仿宋" w:hAnsi="仿宋" w:eastAsia="仿宋" w:cs="宋体"/>
                <w:color w:val="auto"/>
                <w:kern w:val="0"/>
                <w:szCs w:val="21"/>
                <w:highlight w:val="none"/>
                <w:lang w:bidi="ar"/>
              </w:rPr>
              <w:br w:type="textWrapping"/>
            </w:r>
            <w:r>
              <w:rPr>
                <w:rFonts w:hint="eastAsia" w:ascii="仿宋" w:hAnsi="仿宋" w:eastAsia="仿宋" w:cs="宋体"/>
                <w:color w:val="auto"/>
                <w:kern w:val="0"/>
                <w:szCs w:val="21"/>
                <w:highlight w:val="none"/>
                <w:lang w:bidi="ar"/>
              </w:rPr>
              <w:t>8、防护等级：至少IP30（防尘、防溅水）</w:t>
            </w:r>
          </w:p>
        </w:tc>
      </w:tr>
    </w:tbl>
    <w:p w14:paraId="32EF6F77">
      <w:pPr>
        <w:pStyle w:val="2"/>
        <w:spacing w:line="360" w:lineRule="auto"/>
        <w:contextualSpacing/>
        <w:rPr>
          <w:color w:val="auto"/>
          <w:highlight w:val="none"/>
        </w:rPr>
      </w:pPr>
    </w:p>
    <w:p w14:paraId="199CE6CA">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2、采购标的需满足的服务标准、期限、效率等要求；</w:t>
      </w:r>
    </w:p>
    <w:p w14:paraId="0AB8CFB7">
      <w:pPr>
        <w:spacing w:line="360" w:lineRule="auto"/>
        <w:ind w:firstLine="482" w:firstLineChars="200"/>
        <w:contextualSpacing/>
        <w:rPr>
          <w:rFonts w:ascii="仿宋" w:hAnsi="仿宋" w:eastAsia="仿宋" w:cs="仿宋"/>
          <w:b/>
          <w:bCs/>
          <w:color w:val="auto"/>
          <w:sz w:val="24"/>
          <w:highlight w:val="none"/>
        </w:rPr>
      </w:pPr>
      <w:r>
        <w:rPr>
          <w:rFonts w:hint="eastAsia" w:ascii="仿宋" w:hAnsi="仿宋" w:eastAsia="仿宋" w:cs="仿宋"/>
          <w:b/>
          <w:bCs/>
          <w:color w:val="auto"/>
          <w:sz w:val="24"/>
          <w:highlight w:val="none"/>
        </w:rPr>
        <w:t>详见上文。</w:t>
      </w:r>
    </w:p>
    <w:p w14:paraId="2A10EC10">
      <w:pPr>
        <w:pStyle w:val="2"/>
        <w:rPr>
          <w:color w:val="auto"/>
          <w:highlight w:val="none"/>
        </w:rPr>
      </w:pPr>
    </w:p>
    <w:p w14:paraId="42B3174F">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3、为落实政府采购政策需满足的要求；</w:t>
      </w:r>
    </w:p>
    <w:p w14:paraId="368F39D6">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3.1、促进中小企业发展政策：根据《政府采购促进中小企业发展管理办法》规定，本项目</w:t>
      </w:r>
      <w:r>
        <w:rPr>
          <w:rFonts w:hint="eastAsia" w:ascii="仿宋" w:hAnsi="仿宋" w:eastAsia="仿宋" w:cs="仿宋"/>
          <w:bCs/>
          <w:color w:val="auto"/>
          <w:sz w:val="24"/>
          <w:highlight w:val="none"/>
        </w:rPr>
        <w:t>采购货物为小型或微型企业制造</w:t>
      </w:r>
      <w:r>
        <w:rPr>
          <w:rFonts w:hint="eastAsia" w:ascii="仿宋" w:hAnsi="仿宋" w:eastAsia="仿宋" w:cs="仿宋"/>
          <w:bCs/>
          <w:color w:val="auto"/>
          <w:sz w:val="24"/>
          <w:highlight w:val="none"/>
        </w:rPr>
        <w:t>的，投标人应出具招标文件要求的《中小企业声明函》给予证明，否则评标时不予认可。投标人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14:paraId="05D8437F">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3.2、监狱企业扶持政策：投标人如为监狱企业将视同为小型或微型企业，且所投产品为小型或微型企业生产的，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14:paraId="62590DAD">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投标人为残疾人福利性单位的，采购代理机构将随中标结果同时公告其《残疾人福利性单位声明函》，接受社会监督。残疾人福利性单位视同小型、微型企业。不重复享受政策。</w:t>
      </w:r>
    </w:p>
    <w:p w14:paraId="2550A6A8">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14:paraId="114176E4">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14:paraId="248FBCA0">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w:t>
      </w:r>
      <w:r>
        <w:rPr>
          <w:rFonts w:hint="eastAsia" w:ascii="仿宋" w:hAnsi="仿宋" w:eastAsia="仿宋" w:cs="仿宋"/>
          <w:b/>
          <w:bCs/>
          <w:color w:val="auto"/>
          <w:sz w:val="24"/>
          <w:highlight w:val="none"/>
        </w:rPr>
        <w:t>投标人应出具招标文件要求的证明材料给予证明，否则评标时不予认可。投标人应对提交的证明材料真实性负责，</w:t>
      </w:r>
      <w:r>
        <w:rPr>
          <w:rFonts w:hint="eastAsia" w:ascii="仿宋" w:hAnsi="仿宋" w:eastAsia="仿宋" w:cs="仿宋"/>
          <w:bCs/>
          <w:color w:val="auto"/>
          <w:sz w:val="24"/>
          <w:highlight w:val="none"/>
        </w:rPr>
        <w:t>提交证明材料不真实的，应承担相应的法律责任。</w:t>
      </w:r>
    </w:p>
    <w:p w14:paraId="04F2C17D">
      <w:pPr>
        <w:pStyle w:val="2"/>
        <w:rPr>
          <w:color w:val="auto"/>
          <w:highlight w:val="none"/>
        </w:rPr>
      </w:pPr>
    </w:p>
    <w:p w14:paraId="57CA7B33">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4、采购标的的其他技术、服务等要求；</w:t>
      </w:r>
    </w:p>
    <w:p w14:paraId="1B354978">
      <w:pPr>
        <w:spacing w:line="360" w:lineRule="auto"/>
        <w:ind w:firstLine="482" w:firstLineChars="200"/>
        <w:contextualSpacing/>
        <w:rPr>
          <w:rFonts w:ascii="仿宋" w:hAnsi="仿宋" w:eastAsia="仿宋" w:cs="仿宋"/>
          <w:b/>
          <w:bCs/>
          <w:color w:val="auto"/>
          <w:sz w:val="24"/>
          <w:highlight w:val="none"/>
        </w:rPr>
      </w:pPr>
      <w:r>
        <w:rPr>
          <w:rFonts w:hint="eastAsia" w:ascii="仿宋" w:hAnsi="仿宋" w:eastAsia="仿宋" w:cs="仿宋"/>
          <w:b/>
          <w:bCs/>
          <w:color w:val="auto"/>
          <w:sz w:val="24"/>
          <w:highlight w:val="none"/>
        </w:rPr>
        <w:t>4.1、项目实施需求：</w:t>
      </w:r>
    </w:p>
    <w:p w14:paraId="3F05A8FB">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1）投标人提供针对本项目的实施方案，同时严格按照采购人及合同要求的工期完成安装调试工作。</w:t>
      </w:r>
    </w:p>
    <w:p w14:paraId="7B74F818">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2）投标人应当做好安全管理工作，负责货物安装及施工现场的安全。</w:t>
      </w:r>
    </w:p>
    <w:p w14:paraId="2DFDFECD">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3）投标人保证提供的货物是全新的未经使用的产品，投标人提供满足技术要求的设备。投标人免费提供全套、完整的中文书面技术资料，包括操作手册等。</w:t>
      </w:r>
    </w:p>
    <w:p w14:paraId="3266CB17">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4）投标人负责货物的运输及全部保险，包括但不限于购买或者要求承运人购买货运保险及其他第三者责任险，并对其在项目现场提供服务、培训的人员进行保险。运输费和保险费包含在合同总价款中。</w:t>
      </w:r>
    </w:p>
    <w:p w14:paraId="4E8878F8">
      <w:pPr>
        <w:spacing w:line="360" w:lineRule="auto"/>
        <w:ind w:firstLine="482" w:firstLineChars="200"/>
        <w:contextualSpacing/>
        <w:rPr>
          <w:rFonts w:ascii="仿宋" w:hAnsi="仿宋" w:eastAsia="仿宋" w:cs="仿宋"/>
          <w:b/>
          <w:bCs/>
          <w:color w:val="auto"/>
          <w:sz w:val="24"/>
          <w:highlight w:val="none"/>
        </w:rPr>
      </w:pPr>
      <w:r>
        <w:rPr>
          <w:rFonts w:hint="eastAsia" w:ascii="仿宋" w:hAnsi="仿宋" w:eastAsia="仿宋" w:cs="仿宋"/>
          <w:b/>
          <w:bCs/>
          <w:color w:val="auto"/>
          <w:sz w:val="24"/>
          <w:highlight w:val="none"/>
        </w:rPr>
        <w:t>4.2、供货及安装要求</w:t>
      </w:r>
      <w:r>
        <w:rPr>
          <w:rFonts w:hint="eastAsia" w:ascii="仿宋" w:hAnsi="仿宋" w:eastAsia="仿宋" w:cs="仿宋"/>
          <w:b/>
          <w:bCs/>
          <w:color w:val="auto"/>
          <w:sz w:val="24"/>
          <w:highlight w:val="none"/>
        </w:rPr>
        <w:tab/>
      </w:r>
    </w:p>
    <w:p w14:paraId="5153B03A">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4.2.1、投标人发运货物时，每台设备要提供一整套中文的技术资料，包括安装、操作手册、使用说明、维修保养手册等，这些资料费应包括在投标报价内。如果采购人确认投标人提供的技术资料不完整或在运输过程中丢失，投标人需保证在收到采购人通知后3天内将这些资料免费寄给采购人。</w:t>
      </w:r>
    </w:p>
    <w:p w14:paraId="71647867">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4.2.2、投标人应在保证在接到采购人通知的一周内，自付费用在采购人指定所在地对设备进行安装、调试和试运行，直到该产品的技术指标完全符合合同要求为止。投标人技术人员的费用，如：差旅费、住宿费等应计入投标报价。投标人安装人员应自备必要的专用工具、量具及调试用的材料等。</w:t>
      </w:r>
    </w:p>
    <w:p w14:paraId="39457187">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4.2.3、投标人所提供的部件之间及设备之间的连线或接插件均视为设备内部部件，应包含在相应的配置中。</w:t>
      </w:r>
    </w:p>
    <w:p w14:paraId="6260674E">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4.2.4、工作条件：除了在技术规格中另有规定外，投标人提供的一切仪器、设备和系统，应符合下列条件：</w:t>
      </w:r>
    </w:p>
    <w:p w14:paraId="2D48A421">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1）仪器设备的插头要符合中国电工标准。如不符合，则应提供适合仪器插头的插座，必须要有接地。</w:t>
      </w:r>
    </w:p>
    <w:p w14:paraId="59B7D681">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2）如果仪器设备需特殊的工作条件（如：水、电源、磁场强度、特殊温度、湿度、震动强度等），投标人应在有关投标文件中加以说明。</w:t>
      </w:r>
    </w:p>
    <w:p w14:paraId="30F464E9">
      <w:pPr>
        <w:pStyle w:val="2"/>
        <w:spacing w:line="360" w:lineRule="auto"/>
        <w:contextualSpacing/>
        <w:rPr>
          <w:rFonts w:ascii="仿宋" w:hAnsi="仿宋" w:eastAsia="仿宋" w:cs="仿宋"/>
          <w:bCs/>
          <w:color w:val="auto"/>
          <w:highlight w:val="none"/>
        </w:rPr>
      </w:pPr>
      <w:r>
        <w:rPr>
          <w:rFonts w:hint="eastAsia" w:ascii="仿宋" w:hAnsi="仿宋" w:eastAsia="仿宋" w:cs="仿宋"/>
          <w:bCs/>
          <w:color w:val="auto"/>
          <w:highlight w:val="none"/>
        </w:rPr>
        <w:t>4.2.5、中标人负责本包的设备采购、运输、安装、调试工作。投标人投标报价包括产品费、运输费、应缴纳的税费、验收费、培训费、安装调试费等交付采购人使用的一切费用。</w:t>
      </w:r>
    </w:p>
    <w:p w14:paraId="28E9F4B4">
      <w:pPr>
        <w:pStyle w:val="2"/>
        <w:spacing w:line="360" w:lineRule="auto"/>
        <w:contextualSpacing/>
        <w:rPr>
          <w:color w:val="auto"/>
          <w:highlight w:val="none"/>
        </w:rPr>
      </w:pPr>
    </w:p>
    <w:p w14:paraId="71EC10BC">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5、需由投标人提供设计方案、解决方案或者组织方案的采购项目，应当说明采购标的的功能、应用场景、目标等基本要求</w:t>
      </w:r>
    </w:p>
    <w:p w14:paraId="700A718C">
      <w:pPr>
        <w:pStyle w:val="2"/>
        <w:rPr>
          <w:rFonts w:ascii="仿宋" w:hAnsi="仿宋" w:eastAsia="仿宋"/>
          <w:color w:val="auto"/>
          <w:highlight w:val="none"/>
        </w:rPr>
      </w:pPr>
    </w:p>
    <w:p w14:paraId="17F8F5B6">
      <w:pPr>
        <w:snapToGrid w:val="0"/>
        <w:spacing w:line="360" w:lineRule="auto"/>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rPr>
        <w:t>（三）验收标准</w:t>
      </w:r>
    </w:p>
    <w:p w14:paraId="61C89C04">
      <w:pPr>
        <w:snapToGrid w:val="0"/>
        <w:spacing w:line="360" w:lineRule="auto"/>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rPr>
        <w:t>第4包：</w:t>
      </w:r>
    </w:p>
    <w:p w14:paraId="3DBDFCC8">
      <w:pPr>
        <w:numPr>
          <w:ilvl w:val="255"/>
          <w:numId w:val="0"/>
        </w:num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1、验收内容：设备品牌型号，数量、质量能否满足参数要求，调试是否正常。</w:t>
      </w:r>
    </w:p>
    <w:p w14:paraId="63823E39">
      <w:pPr>
        <w:numPr>
          <w:ilvl w:val="255"/>
          <w:numId w:val="0"/>
        </w:num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2、验收标准：合同约定或国家标准、行业标准、厂标或招标文件的规定，设备产品应经制造商质量检验合格后方可以出厂，产品均需提供合格证明。因设备质量问题引起调试不合格，由中标人无偿调换。</w:t>
      </w:r>
    </w:p>
    <w:p w14:paraId="2BF9A99B">
      <w:pPr>
        <w:pStyle w:val="2"/>
        <w:spacing w:line="360" w:lineRule="auto"/>
        <w:rPr>
          <w:rFonts w:ascii="仿宋" w:hAnsi="仿宋" w:eastAsia="仿宋" w:cs="仿宋"/>
          <w:bCs/>
          <w:color w:val="auto"/>
          <w:highlight w:val="none"/>
        </w:rPr>
      </w:pPr>
      <w:r>
        <w:rPr>
          <w:rFonts w:hint="eastAsia" w:ascii="仿宋" w:hAnsi="仿宋" w:eastAsia="仿宋" w:cs="仿宋"/>
          <w:bCs/>
          <w:color w:val="auto"/>
          <w:highlight w:val="none"/>
        </w:rPr>
        <w:t>3、中标人所提供和交付的货物应是全新的、未使用过的、完全符合以上质量技术标准的原装正品，且表面无划伤、无碰撞；货物的安装维修，须由专业安装调试人员按照国家现行安装规范来实施。</w:t>
      </w:r>
    </w:p>
    <w:p w14:paraId="340D9113">
      <w:pPr>
        <w:pStyle w:val="2"/>
        <w:spacing w:line="360" w:lineRule="auto"/>
        <w:rPr>
          <w:rFonts w:ascii="仿宋" w:hAnsi="仿宋" w:eastAsia="仿宋" w:cs="仿宋"/>
          <w:bCs/>
          <w:color w:val="auto"/>
          <w:highlight w:val="none"/>
        </w:rPr>
      </w:pPr>
    </w:p>
    <w:p w14:paraId="23862578">
      <w:pPr>
        <w:numPr>
          <w:ilvl w:val="255"/>
          <w:numId w:val="0"/>
        </w:numPr>
        <w:snapToGrid w:val="0"/>
        <w:spacing w:line="360" w:lineRule="auto"/>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rPr>
        <w:t>（四）其他要求</w:t>
      </w:r>
    </w:p>
    <w:p w14:paraId="1053E74E">
      <w:pPr>
        <w:numPr>
          <w:ilvl w:val="255"/>
          <w:numId w:val="0"/>
        </w:num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无。</w:t>
      </w:r>
    </w:p>
    <w:p w14:paraId="1E0D733B">
      <w:pPr>
        <w:pStyle w:val="2"/>
        <w:jc w:val="center"/>
        <w:rPr>
          <w:rFonts w:hint="default" w:ascii="仿宋" w:hAnsi="仿宋" w:eastAsia="仿宋" w:cs="仿宋"/>
          <w:color w:val="auto"/>
          <w:kern w:val="2"/>
          <w:sz w:val="24"/>
          <w:szCs w:val="20"/>
          <w:highlight w:val="none"/>
          <w:lang w:val="en-US" w:eastAsia="zh-CN" w:bidi="ar-SA"/>
        </w:rPr>
      </w:pPr>
    </w:p>
    <w:sectPr>
      <w:headerReference r:id="rId3" w:type="default"/>
      <w:footerReference r:id="rId4" w:type="default"/>
      <w:footerReference r:id="rId5" w:type="even"/>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等线">
    <w:panose1 w:val="02010600030101010101"/>
    <w:charset w:val="86"/>
    <w:family w:val="auto"/>
    <w:pitch w:val="default"/>
    <w:sig w:usb0="A00002BF" w:usb1="38CF7CFA" w:usb2="00000016" w:usb3="00000000" w:csb0="0004000F"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方正黑体_GBK">
    <w:altName w:val="宋体"/>
    <w:panose1 w:val="00000000000000000000"/>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B1A0B">
    <w:pPr>
      <w:pStyle w:val="17"/>
      <w:spacing w:line="14" w:lineRule="auto"/>
      <w:rPr>
        <w:sz w:val="20"/>
      </w:rPr>
    </w:pPr>
    <w:r>
      <mc:AlternateContent>
        <mc:Choice Requires="wps">
          <w:drawing>
            <wp:anchor distT="0" distB="0" distL="114300" distR="114300" simplePos="0" relativeHeight="251662336" behindDoc="1" locked="0" layoutInCell="1" allowOverlap="1">
              <wp:simplePos x="0" y="0"/>
              <wp:positionH relativeFrom="page">
                <wp:posOffset>6191250</wp:posOffset>
              </wp:positionH>
              <wp:positionV relativeFrom="page">
                <wp:posOffset>10129520</wp:posOffset>
              </wp:positionV>
              <wp:extent cx="484505" cy="1524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484505" cy="152400"/>
                      </a:xfrm>
                      <a:prstGeom prst="rect">
                        <a:avLst/>
                      </a:prstGeom>
                      <a:noFill/>
                      <a:ln>
                        <a:noFill/>
                      </a:ln>
                    </wps:spPr>
                    <wps:txbx>
                      <w:txbxContent>
                        <w:p w14:paraId="7616463E">
                          <w:pPr>
                            <w:spacing w:before="12"/>
                            <w:ind w:left="20"/>
                            <w:jc w:val="left"/>
                            <w:rPr>
                              <w:sz w:val="18"/>
                            </w:rPr>
                          </w:pPr>
                          <w:r>
                            <w:rPr>
                              <w:sz w:val="18"/>
                            </w:rPr>
                            <w:t xml:space="preserve">— </w:t>
                          </w:r>
                          <w:r>
                            <w:fldChar w:fldCharType="begin"/>
                          </w:r>
                          <w:r>
                            <w:rPr>
                              <w:sz w:val="18"/>
                            </w:rPr>
                            <w:instrText xml:space="preserve"> PAGE </w:instrText>
                          </w:r>
                          <w:r>
                            <w:fldChar w:fldCharType="separate"/>
                          </w:r>
                          <w:r>
                            <w:rPr>
                              <w:sz w:val="18"/>
                            </w:rPr>
                            <w:t>1</w:t>
                          </w:r>
                          <w:r>
                            <w:fldChar w:fldCharType="end"/>
                          </w:r>
                          <w:r>
                            <w:rPr>
                              <w:sz w:val="18"/>
                            </w:rPr>
                            <w:t xml:space="preserve"> —</w:t>
                          </w:r>
                        </w:p>
                      </w:txbxContent>
                    </wps:txbx>
                    <wps:bodyPr lIns="0" tIns="0" rIns="0" bIns="0" upright="1"/>
                  </wps:wsp>
                </a:graphicData>
              </a:graphic>
            </wp:anchor>
          </w:drawing>
        </mc:Choice>
        <mc:Fallback>
          <w:pict>
            <v:shape id="_x0000_s1026" o:spid="_x0000_s1026" o:spt="202" type="#_x0000_t202" style="position:absolute;left:0pt;margin-left:487.5pt;margin-top:797.6pt;height:12pt;width:38.15pt;mso-position-horizontal-relative:page;mso-position-vertical-relative:page;z-index:-251654144;mso-width-relative:page;mso-height-relative:page;" filled="f" stroked="f" coordsize="21600,21600" o:gfxdata="UEsDBAoAAAAAAIdO4kAAAAAAAAAAAAAAAAAEAAAAZHJzL1BLAwQUAAAACACHTuJAZ+6UM9sAAAAO&#10;AQAADwAAAGRycy9kb3ducmV2LnhtbE2PzU7DMBCE70i8g7VI3KidoAQS4lQIwQkJkYYDRyfeJlbj&#10;dYjdH94e90RvO5rR7DfV+mQndsDFG0cSkpUAhtQ7bWiQ8NW+3T0C80GRVpMjlPCLHtb19VWlSu2O&#10;1OBhEwYWS8iXSsIYwlxy7vsRrfIrNyNFb+sWq0KUy8D1oo6x3E48FSLnVhmKH0Y148uI/W6ztxKe&#10;v6l5NT8f3WezbUzbFoLe852UtzeJeAIW8BT+w3DGj+hQR6bO7Ul7NkkoHrK4JUQjK7IU2DkisuQe&#10;WBevPClS4HXFL2fUf1BLAwQUAAAACACHTuJATF9N+7oBAABxAwAADgAAAGRycy9lMm9Eb2MueG1s&#10;rVPBjtMwEL0j8Q+W79RplaJV1HSlVbUrJARICx/gOnZjyfZYttukPwB/wIkLd76r38HYbbqwXPbA&#10;xZnMTN6898ZZ3Y7WkIMMUYNr6XxWUSKdgE67XUu/fL5/c0NJTNx13ICTLT3KSG/Xr1+tBt/IBfRg&#10;OhkIgrjYDL6lfUq+YSyKXloeZ+Clw6KCYHnC17BjXeADolvDFlX1lg0QOh9AyBgxuzkX6QUxvAQQ&#10;lNJCbkDsrXTpjBqk4QklxV77SNeFrVJSpI9KRZmIaSkqTeXEIRhv88nWK97sAve9FhcK/CUUnmmy&#10;XDsceoXa8MTJPuh/oKwWASKoNBNg2VlIcQRVzKtn3jz23MuiBa2O/mp6/H+w4sPhUyC6a2lNieMW&#10;F376/u3049fp51dSZ3sGHxvsevTYl8Y7GPHSTPmIyax6VMHmJ+ohWEdzj1dz5ZiIwGR9Uy+rJSUC&#10;S/Ploq6K+ezpYx9iepBgSQ5aGnB3xVJ+eB8TEsHWqSXPcnCvjSn7M+6vBDbmDMvMzwxzlMbteJGz&#10;he6Iasw7h07mWzEFYQq2U7D3Qe96pFM0F0jcRCFzuTV51X++l8FPf8r6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GfulDPbAAAADgEAAA8AAAAAAAAAAQAgAAAAIgAAAGRycy9kb3ducmV2LnhtbFBL&#10;AQIUABQAAAAIAIdO4kBMX037ugEAAHEDAAAOAAAAAAAAAAEAIAAAACoBAABkcnMvZTJvRG9jLnht&#10;bFBLBQYAAAAABgAGAFkBAABWBQAAAAA=&#10;">
              <v:fill on="f" focussize="0,0"/>
              <v:stroke on="f"/>
              <v:imagedata o:title=""/>
              <o:lock v:ext="edit" aspectratio="f"/>
              <v:textbox inset="0mm,0mm,0mm,0mm">
                <w:txbxContent>
                  <w:p w14:paraId="7616463E">
                    <w:pPr>
                      <w:spacing w:before="12"/>
                      <w:ind w:left="20"/>
                      <w:jc w:val="left"/>
                      <w:rPr>
                        <w:sz w:val="18"/>
                      </w:rPr>
                    </w:pPr>
                    <w:r>
                      <w:rPr>
                        <w:sz w:val="18"/>
                      </w:rPr>
                      <w:t xml:space="preserve">— </w:t>
                    </w:r>
                    <w:r>
                      <w:fldChar w:fldCharType="begin"/>
                    </w:r>
                    <w:r>
                      <w:rPr>
                        <w:sz w:val="18"/>
                      </w:rPr>
                      <w:instrText xml:space="preserve"> PAGE </w:instrText>
                    </w:r>
                    <w:r>
                      <w:fldChar w:fldCharType="separate"/>
                    </w:r>
                    <w:r>
                      <w:rPr>
                        <w:sz w:val="18"/>
                      </w:rPr>
                      <w:t>1</w:t>
                    </w:r>
                    <w:r>
                      <w:fldChar w:fldCharType="end"/>
                    </w:r>
                    <w:r>
                      <w:rPr>
                        <w:sz w:val="18"/>
                      </w:rPr>
                      <w:t xml:space="preserve"> —</w:t>
                    </w:r>
                  </w:p>
                </w:txbxContent>
              </v:textbox>
            </v:shape>
          </w:pict>
        </mc:Fallback>
      </mc:AlternateContent>
    </w:r>
    <w:r>
      <mc:AlternateContent>
        <mc:Choice Requires="wps">
          <w:drawing>
            <wp:anchor distT="0" distB="0" distL="114300" distR="114300" simplePos="0" relativeHeight="251663360" behindDoc="1" locked="0" layoutInCell="1" allowOverlap="1">
              <wp:simplePos x="0" y="0"/>
              <wp:positionH relativeFrom="page">
                <wp:posOffset>887730</wp:posOffset>
              </wp:positionH>
              <wp:positionV relativeFrom="page">
                <wp:posOffset>10146030</wp:posOffset>
              </wp:positionV>
              <wp:extent cx="101600" cy="177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01600" cy="177800"/>
                      </a:xfrm>
                      <a:prstGeom prst="rect">
                        <a:avLst/>
                      </a:prstGeom>
                      <a:noFill/>
                      <a:ln>
                        <a:noFill/>
                      </a:ln>
                    </wps:spPr>
                    <wps:txbx>
                      <w:txbxContent>
                        <w:p w14:paraId="017D7A7E">
                          <w:pPr>
                            <w:spacing w:line="280" w:lineRule="exact"/>
                            <w:ind w:left="20"/>
                            <w:jc w:val="left"/>
                            <w:rPr>
                              <w:rFonts w:ascii="宋体"/>
                              <w:sz w:val="24"/>
                            </w:rPr>
                          </w:pPr>
                          <w:r>
                            <w:rPr>
                              <w:rFonts w:ascii="宋体"/>
                              <w:sz w:val="24"/>
                            </w:rPr>
                            <w:t xml:space="preserve"> </w:t>
                          </w:r>
                        </w:p>
                      </w:txbxContent>
                    </wps:txbx>
                    <wps:bodyPr lIns="0" tIns="0" rIns="0" bIns="0" upright="1"/>
                  </wps:wsp>
                </a:graphicData>
              </a:graphic>
            </wp:anchor>
          </w:drawing>
        </mc:Choice>
        <mc:Fallback>
          <w:pict>
            <v:shape id="_x0000_s1026" o:spid="_x0000_s1026" o:spt="202" type="#_x0000_t202" style="position:absolute;left:0pt;margin-left:69.9pt;margin-top:798.9pt;height:14pt;width:8pt;mso-position-horizontal-relative:page;mso-position-vertical-relative:page;z-index:-251653120;mso-width-relative:page;mso-height-relative:page;" filled="f" stroked="f" coordsize="21600,21600" o:gfxdata="UEsDBAoAAAAAAIdO4kAAAAAAAAAAAAAAAAAEAAAAZHJzL1BLAwQUAAAACACHTuJAdXEYJ9cAAAAN&#10;AQAADwAAAGRycy9kb3ducmV2LnhtbE2PTU/DMAyG70j8h8hI3FiyoRZamk4IwQkJ0ZUDx7Tx2mqN&#10;U5rsg3+Pd2K355Wt14+L9cmN4oBzGDxpWC4UCKTW24E6DV/1290jiBANWTN6Qg2/GGBdXl8VJrf+&#10;SBUeNrETXEIhNxr6GKdcytD26ExY+AmJZ1s/OxM5zp20szlyuRvlSqlUOjMQX+jNhC89trvN3ml4&#10;/qbqdfj5aD6rbTXUdaboPd1pfXuzVE8gIp7i/zKc9VkdSnZq/J5sECPn+4zVI0OSPTCdV5KEoWFI&#10;V0yyLOTlF+UfUEsDBBQAAAAIAIdO4kDzPZSEuAEAAHEDAAAOAAAAZHJzL2Uyb0RvYy54bWytU0tu&#10;2zAQ3RfoHQjua8oB8oFgOUBgpChQtAXSHoCmSIsAySFI2pIvkNygq26677l8jg4py/ltssiGGs4M&#10;38x7M1pcD9aQnQxRg2vofFZRIp2AVrtNQ3/9vP10RUlM3LXcgJMN3ctIr5cfPyx6X8sz6MC0MhAE&#10;cbHufUO7lHzNWBSdtDzOwEuHQQXB8oTXsGFt4D2iW8POquqC9RBaH0DIGNG7GoP0iBjeAghKaSFX&#10;ILZWujSiBml4Qkqx0z7SZelWKSnSd6WiTMQ0FJmmcmIRtNf5ZMsFrzeB+06LYwv8LS284GS5dlj0&#10;BLXiiZNt0K+grBYBIqg0E2DZSKQogizm1Qtt7jruZeGCUkd/Ej2+H6z4tvsRiG4bek6J4xYHfvj9&#10;cPjz7/D3npxneXofa8y685iXhhsYcGkmf0RnZj2oYPMX+RCMo7j7k7hySETkR9X8osKIwND88vIK&#10;bURnj499iOmzBEuy0dCAsyuS8t3XmMbUKSXXcnCrjSnzM+6ZAzGzh+XOxw6zlYb1cKSzhnaPbMwX&#10;h0rmrZiMMBnrydj6oDcdtlM4F0icROn7uDV51E/vpfDjn7L8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VxGCfXAAAADQEAAA8AAAAAAAAAAQAgAAAAIgAAAGRycy9kb3ducmV2LnhtbFBLAQIUABQA&#10;AAAIAIdO4kDzPZSEuAEAAHEDAAAOAAAAAAAAAAEAIAAAACYBAABkcnMvZTJvRG9jLnhtbFBLBQYA&#10;AAAABgAGAFkBAABQBQAAAAA=&#10;">
              <v:fill on="f" focussize="0,0"/>
              <v:stroke on="f"/>
              <v:imagedata o:title=""/>
              <o:lock v:ext="edit" aspectratio="f"/>
              <v:textbox inset="0mm,0mm,0mm,0mm">
                <w:txbxContent>
                  <w:p w14:paraId="017D7A7E">
                    <w:pPr>
                      <w:spacing w:line="280" w:lineRule="exact"/>
                      <w:ind w:left="20"/>
                      <w:jc w:val="left"/>
                      <w:rPr>
                        <w:rFonts w:ascii="宋体"/>
                        <w:sz w:val="24"/>
                      </w:rPr>
                    </w:pPr>
                    <w:r>
                      <w:rPr>
                        <w:rFonts w:ascii="宋体"/>
                        <w:sz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92554">
    <w:pPr>
      <w:pStyle w:val="17"/>
      <w:spacing w:line="14" w:lineRule="auto"/>
      <w:rPr>
        <w:sz w:val="20"/>
      </w:rPr>
    </w:pPr>
    <w:r>
      <mc:AlternateContent>
        <mc:Choice Requires="wps">
          <w:drawing>
            <wp:anchor distT="0" distB="0" distL="114300" distR="114300" simplePos="0" relativeHeight="251664384" behindDoc="1" locked="0" layoutInCell="1" allowOverlap="1">
              <wp:simplePos x="0" y="0"/>
              <wp:positionH relativeFrom="page">
                <wp:posOffset>887730</wp:posOffset>
              </wp:positionH>
              <wp:positionV relativeFrom="page">
                <wp:posOffset>10193655</wp:posOffset>
              </wp:positionV>
              <wp:extent cx="484505" cy="1524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484505" cy="152400"/>
                      </a:xfrm>
                      <a:prstGeom prst="rect">
                        <a:avLst/>
                      </a:prstGeom>
                      <a:noFill/>
                      <a:ln>
                        <a:noFill/>
                      </a:ln>
                    </wps:spPr>
                    <wps:txbx>
                      <w:txbxContent>
                        <w:p w14:paraId="587F513B">
                          <w:pPr>
                            <w:spacing w:before="12"/>
                            <w:ind w:left="20"/>
                            <w:jc w:val="left"/>
                            <w:rPr>
                              <w:sz w:val="18"/>
                            </w:rPr>
                          </w:pPr>
                          <w:r>
                            <w:rPr>
                              <w:sz w:val="18"/>
                            </w:rPr>
                            <w:t xml:space="preserve">— </w:t>
                          </w:r>
                          <w:r>
                            <w:fldChar w:fldCharType="begin"/>
                          </w:r>
                          <w:r>
                            <w:rPr>
                              <w:sz w:val="18"/>
                            </w:rPr>
                            <w:instrText xml:space="preserve"> PAGE </w:instrText>
                          </w:r>
                          <w:r>
                            <w:fldChar w:fldCharType="separate"/>
                          </w:r>
                          <w:r>
                            <w:t>30</w:t>
                          </w:r>
                          <w:r>
                            <w:fldChar w:fldCharType="end"/>
                          </w:r>
                          <w:r>
                            <w:rPr>
                              <w:sz w:val="18"/>
                            </w:rPr>
                            <w:t xml:space="preserve"> —</w:t>
                          </w:r>
                        </w:p>
                      </w:txbxContent>
                    </wps:txbx>
                    <wps:bodyPr lIns="0" tIns="0" rIns="0" bIns="0" upright="1"/>
                  </wps:wsp>
                </a:graphicData>
              </a:graphic>
            </wp:anchor>
          </w:drawing>
        </mc:Choice>
        <mc:Fallback>
          <w:pict>
            <v:shape id="_x0000_s1026" o:spid="_x0000_s1026" o:spt="202" type="#_x0000_t202" style="position:absolute;left:0pt;margin-left:69.9pt;margin-top:802.65pt;height:12pt;width:38.15pt;mso-position-horizontal-relative:page;mso-position-vertical-relative:page;z-index:-251652096;mso-width-relative:page;mso-height-relative:page;" filled="f" stroked="f" coordsize="21600,21600" o:gfxdata="UEsDBAoAAAAAAIdO4kAAAAAAAAAAAAAAAAAEAAAAZHJzL1BLAwQUAAAACACHTuJAbgzGdNoAAAAN&#10;AQAADwAAAGRycy9kb3ducmV2LnhtbE2PzU7DMBCE70i8g7WVuFE7iYhIGqdCCE5IiDQcODqxm1iN&#10;1yF2f3h7tie47eyOZr+pthc3sZNZgvUoIVkLYAZ7ry0OEj7b1/tHYCEq1GryaCT8mADb+vamUqX2&#10;Z2zMaRcHRiEYSiVhjHEuOQ/9aJwKaz8bpNveL05FksvA9aLOFO4mngqRc6cs0odRzeZ5NP1hd3QS&#10;nr6webHf791Hs29s2xYC3/KDlHerRGyARXOJf2a44hM61MTU+SPqwCbSWUHokYZcPGTAyJImeQKs&#10;u67SIgNeV/x/i/oXUEsDBBQAAAAIAIdO4kDnum9muwEAAHEDAAAOAAAAZHJzL2Uyb0RvYy54bWyt&#10;U0tu2zAQ3RfoHQjua8qGbQSC5QCBkaJA0RZIewCaIi0C/GFIW/IF2ht01U33PZfP0SFtOWm6ySIb&#10;ajQzevPeG2p1O1hDDhKi9q6h00lFiXTCt9rtGvrt6/27G0pi4q7lxjvZ0KOM9Hb99s2qD7Wc+c6b&#10;VgJBEBfrPjS0SynUjEXRScvjxAfpsKg8WJ7wFXasBd4jujVsVlVL1ntoA3ghY8Ts5lykF0R4CaBX&#10;Sgu58WJvpUtnVJCGJ5QUOx0iXRe2SkmRPisVZSKmoag0lROHYLzNJ1uveL0DHjotLhT4Syg802S5&#10;djj0CrXhiZM96P+grBbgo1dpIrxlZyHFEVQxrZ5589DxIIsWtDqGq+nx9WDFp8MXILpt6JISxy0u&#10;/PTzx+nXn9Pv72SZ7elDrLHrIWBfGu78gJdmzEdMZtWDApufqIdgHc09Xs2VQyICk/Ob+aJaUCKw&#10;NF3M5lUxnz1+HCCm99JbkoOGAu6uWMoPH2NCItg6tuRZzt9rY8r+jPsngY05wzLzM8McpWE7XORs&#10;fXtENeaDQyfzrRgDGIPtGOwD6F2HdIrmAombKGQutyav+ul7Gfz4p6z/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G4MxnTaAAAADQEAAA8AAAAAAAAAAQAgAAAAIgAAAGRycy9kb3ducmV2LnhtbFBL&#10;AQIUABQAAAAIAIdO4kDnum9muwEAAHEDAAAOAAAAAAAAAAEAIAAAACkBAABkcnMvZTJvRG9jLnht&#10;bFBLBQYAAAAABgAGAFkBAABWBQAAAAA=&#10;">
              <v:fill on="f" focussize="0,0"/>
              <v:stroke on="f"/>
              <v:imagedata o:title=""/>
              <o:lock v:ext="edit" aspectratio="f"/>
              <v:textbox inset="0mm,0mm,0mm,0mm">
                <w:txbxContent>
                  <w:p w14:paraId="587F513B">
                    <w:pPr>
                      <w:spacing w:before="12"/>
                      <w:ind w:left="20"/>
                      <w:jc w:val="left"/>
                      <w:rPr>
                        <w:sz w:val="18"/>
                      </w:rPr>
                    </w:pPr>
                    <w:r>
                      <w:rPr>
                        <w:sz w:val="18"/>
                      </w:rPr>
                      <w:t xml:space="preserve">— </w:t>
                    </w:r>
                    <w:r>
                      <w:fldChar w:fldCharType="begin"/>
                    </w:r>
                    <w:r>
                      <w:rPr>
                        <w:sz w:val="18"/>
                      </w:rPr>
                      <w:instrText xml:space="preserve"> PAGE </w:instrText>
                    </w:r>
                    <w:r>
                      <w:fldChar w:fldCharType="separate"/>
                    </w:r>
                    <w:r>
                      <w:t>30</w:t>
                    </w:r>
                    <w:r>
                      <w:fldChar w:fldCharType="end"/>
                    </w:r>
                    <w:r>
                      <w:rPr>
                        <w:sz w:val="1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2EB1C">
    <w:pPr>
      <w:pStyle w:val="17"/>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882650</wp:posOffset>
              </wp:positionH>
              <wp:positionV relativeFrom="page">
                <wp:posOffset>604520</wp:posOffset>
              </wp:positionV>
              <wp:extent cx="5796280" cy="0"/>
              <wp:effectExtent l="0" t="0" r="0" b="0"/>
              <wp:wrapNone/>
              <wp:docPr id="1" name="直线 1"/>
              <wp:cNvGraphicFramePr/>
              <a:graphic xmlns:a="http://schemas.openxmlformats.org/drawingml/2006/main">
                <a:graphicData uri="http://schemas.microsoft.com/office/word/2010/wordprocessingShape">
                  <wps:wsp>
                    <wps:cNvCnPr/>
                    <wps:spPr>
                      <a:xfrm>
                        <a:off x="0" y="0"/>
                        <a:ext cx="5796280" cy="0"/>
                      </a:xfrm>
                      <a:prstGeom prst="line">
                        <a:avLst/>
                      </a:prstGeom>
                      <a:ln w="9144" cap="flat" cmpd="sng">
                        <a:solidFill>
                          <a:srgbClr val="000000"/>
                        </a:solidFill>
                        <a:prstDash val="solid"/>
                        <a:headEnd type="none" w="med" len="med"/>
                        <a:tailEnd type="none" w="med" len="med"/>
                      </a:ln>
                    </wps:spPr>
                    <wps:bodyPr/>
                  </wps:wsp>
                </a:graphicData>
              </a:graphic>
            </wp:anchor>
          </w:drawing>
        </mc:Choice>
        <mc:Fallback>
          <w:pict>
            <v:line id="直线 1" o:spid="_x0000_s1026" o:spt="20" style="position:absolute;left:0pt;margin-left:69.5pt;margin-top:47.6pt;height:0pt;width:456.4pt;mso-position-horizontal-relative:page;mso-position-vertical-relative:page;z-index:-251657216;mso-width-relative:page;mso-height-relative:page;" filled="f" stroked="t" coordsize="21600,21600" o:gfxdata="UEsDBAoAAAAAAIdO4kAAAAAAAAAAAAAAAAAEAAAAZHJzL1BLAwQUAAAACACHTuJAAgn94NYAAAAK&#10;AQAADwAAAGRycy9kb3ducmV2LnhtbE2PwU7DMBBE70j8g7VI3KiTohaaxumhChfEAQIfsI3d2CJe&#10;R7HblH49W3Ggx5kdzc4rNyffi6MZowukIJ9lIAy1QTvqFHx9vjw8g4gJSWMfyCj4MRE21e1NiYUO&#10;E32YY5M6wSUUC1RgUxoKKWNrjcc4C4Mhvu3D6DGxHDupR5y43PdynmVL6dERf7A4mK017Xdz8Aqa&#10;97dp+Xo+T/VT4zCm5Gxdb5W6v8uzNYhkTuk/DJf5PB0q3rQLB9JR9KwfV8ySFKwWcxCXQLbIGWb3&#10;58iqlNcI1S9QSwMEFAAAAAgAh07iQGM6ZNnfAQAAzwMAAA4AAABkcnMvZTJvRG9jLnhtbK1TS24b&#10;MQzdF+gdBO3rsY00TQYeZxE33RStgbYHoPXxCNAPouKxz9JrdNVNj5NrlNI4TptsvMgsNBRFPvI9&#10;UYubvbNspxKa4Ds+m0w5U14Eafy24z++37274gwzeAk2eNXxg0J+s3z7ZjHEVs1DH6xUiRGIx3aI&#10;He9zjm3ToOiVA5yEqDwd6pAcZNqmbSMTDITubDOfTi+bISQZUxAKkbyr8ZAfEdM5gEFrI9QqiHun&#10;fB5Rk7KQiRL2JiJf1m61ViJ/1RpVZrbjxDTXlYqQvSlrs1xAu00QeyOOLcA5LTzj5MB4KnqCWkEG&#10;dp/MCyhnRAoYdJ6I4JqRSFWEWMymz7T51kNUlQtJjfEkOr4erPiyWydmJE0CZx4cXfjDz18Pv/+w&#10;WdFmiNhSyK1fp+MO4zoVonudXPkTBbaveh5Oeqp9ZoKc7z9cX86vSGrxeNY8JcaE+ZMKjhWj49b4&#10;QhVa2H3GTMUo9DGkuK1nQ8evZxcXBAc0d5rum0wXqXf025qLwRp5Z6wtGZi2m1ub2A7K3devUCLc&#10;/8JKkRVgP8bVo3EqegXyo5csHyKp4ukx8NKCU5Izq+jtFIsAoc1g7DmRVNp66qCoOupYrE2Qhypv&#10;9dM91x6PM1kG6d99zX56h8u/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Agn94NYAAAAKAQAADwAA&#10;AAAAAAABACAAAAAiAAAAZHJzL2Rvd25yZXYueG1sUEsBAhQAFAAAAAgAh07iQGM6ZNnfAQAAzwMA&#10;AA4AAAAAAAAAAQAgAAAAJQEAAGRycy9lMm9Eb2MueG1sUEsFBgAAAAAGAAYAWQEAAHYFAAAAAA==&#10;">
              <v:fill on="f" focussize="0,0"/>
              <v:stroke weight="0.72pt" color="#000000" joinstyle="round"/>
              <v:imagedata o:title=""/>
              <o:lock v:ext="edit" aspectratio="f"/>
            </v:lin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887730</wp:posOffset>
              </wp:positionH>
              <wp:positionV relativeFrom="page">
                <wp:posOffset>372110</wp:posOffset>
              </wp:positionV>
              <wp:extent cx="560705" cy="202565"/>
              <wp:effectExtent l="0" t="0" r="0" b="0"/>
              <wp:wrapNone/>
              <wp:docPr id="2" name="文本框 2"/>
              <wp:cNvGraphicFramePr/>
              <a:graphic xmlns:a="http://schemas.openxmlformats.org/drawingml/2006/main">
                <a:graphicData uri="http://schemas.microsoft.com/office/word/2010/wordprocessingShape">
                  <wps:wsp>
                    <wps:cNvSpPr txBox="1"/>
                    <wps:spPr>
                      <a:xfrm>
                        <a:off x="0" y="0"/>
                        <a:ext cx="560705" cy="202565"/>
                      </a:xfrm>
                      <a:prstGeom prst="rect">
                        <a:avLst/>
                      </a:prstGeom>
                      <a:noFill/>
                      <a:ln>
                        <a:noFill/>
                      </a:ln>
                    </wps:spPr>
                    <wps:txbx>
                      <w:txbxContent>
                        <w:p w14:paraId="133C3601">
                          <w:pPr>
                            <w:spacing w:line="319" w:lineRule="exact"/>
                            <w:ind w:left="20"/>
                            <w:jc w:val="left"/>
                          </w:pPr>
                          <w:r>
                            <w:t>谈判文件</w:t>
                          </w:r>
                        </w:p>
                      </w:txbxContent>
                    </wps:txbx>
                    <wps:bodyPr lIns="0" tIns="0" rIns="0" bIns="0" upright="1"/>
                  </wps:wsp>
                </a:graphicData>
              </a:graphic>
            </wp:anchor>
          </w:drawing>
        </mc:Choice>
        <mc:Fallback>
          <w:pict>
            <v:shape id="_x0000_s1026" o:spid="_x0000_s1026" o:spt="202" type="#_x0000_t202" style="position:absolute;left:0pt;margin-left:69.9pt;margin-top:29.3pt;height:15.95pt;width:44.15pt;mso-position-horizontal-relative:page;mso-position-vertical-relative:page;z-index:-251656192;mso-width-relative:page;mso-height-relative:page;" filled="f" stroked="f" coordsize="21600,21600" o:gfxdata="UEsDBAoAAAAAAIdO4kAAAAAAAAAAAAAAAAAEAAAAZHJzL1BLAwQUAAAACACHTuJAF3cFFtgAAAAJ&#10;AQAADwAAAGRycy9kb3ducmV2LnhtbE2PT0+EMBTE7yb7HZq3iTe3BbMEkLIxRk8mRhYPHgvtQrP0&#10;FWn3j9/e50mPk5nM/KbaXd3EzmYJ1qOEZCOAGey9tjhI+Ghf7nJgISrUavJoJHybALt6dVOpUvsL&#10;Nua8jwOjEgylkjDGOJech340ToWNnw2Sd/CLU5HkMnC9qAuVu4mnQmTcKYu0MKrZPI2mP+5PTsLj&#10;JzbP9uute28OjW3bQuBrdpTydp2IB2DRXONfGH7xCR1qYur8CXVgE+n7gtCjhG2eAaNAmuYJsE5C&#10;IbbA64r/f1D/AFBLAwQUAAAACACHTuJAuPpQh7kBAABxAwAADgAAAGRycy9lMm9Eb2MueG1srVPN&#10;jtMwEL4j8Q6W79TZSC0oaroSqhYhIUBaeADXsRtL/tPYbdIXgDfgxIU7z9XnYOw03WW57IGLM5mZ&#10;fPN93zjr29EacpQQtXctvVlUlEgnfKfdvqVfv9y9ekNJTNx13HgnW3qSkd5uXr5YD6GRte+96SQQ&#10;BHGxGUJL+5RCw1gUvbQ8LnyQDovKg+UJX2HPOuADolvD6qpascFDF8ALGSNmt1ORXhDhOYBeKS3k&#10;1ouDlS5NqCANTygp9jpEuilslZIifVIqykRMS1FpKicOwXiXT7ZZ82YPPPRaXCjw51B4osly7XDo&#10;FWrLEycH0P9AWS3AR6/SQnjLJiHFEVRxUz3x5r7nQRYtaHUMV9Pj/4MVH4+fgeiupTUljltc+PnH&#10;9/PP3+df30id7RlCbLDrPmBfGt/6ES/NnI+YzKpHBTY/UQ/BOpp7uporx0QEJper6nW1pERgqa7q&#10;5WqZUdjDxwFieie9JTloKeDuiqX8+CGmqXVuybOcv9PGlP0Z91cCMXOGZeYTwxylcTde5Ox8d0I1&#10;5r1DJ/OtmAOYg90cHALofY90iuYCiZsovC+3Jq/68XsZ/PCnbP4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F3cFFtgAAAAJAQAADwAAAAAAAAABACAAAAAiAAAAZHJzL2Rvd25yZXYueG1sUEsBAhQA&#10;FAAAAAgAh07iQLj6UIe5AQAAcQMAAA4AAAAAAAAAAQAgAAAAJwEAAGRycy9lMm9Eb2MueG1sUEsF&#10;BgAAAAAGAAYAWQEAAFIFAAAAAA==&#10;">
              <v:fill on="f" focussize="0,0"/>
              <v:stroke on="f"/>
              <v:imagedata o:title=""/>
              <o:lock v:ext="edit" aspectratio="f"/>
              <v:textbox inset="0mm,0mm,0mm,0mm">
                <w:txbxContent>
                  <w:p w14:paraId="133C3601">
                    <w:pPr>
                      <w:spacing w:line="319" w:lineRule="exact"/>
                      <w:ind w:left="20"/>
                      <w:jc w:val="left"/>
                    </w:pPr>
                    <w:r>
                      <w:t>谈判文件</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5956300</wp:posOffset>
              </wp:positionH>
              <wp:positionV relativeFrom="page">
                <wp:posOffset>372110</wp:posOffset>
              </wp:positionV>
              <wp:extent cx="559435" cy="202565"/>
              <wp:effectExtent l="0" t="0" r="0" b="0"/>
              <wp:wrapNone/>
              <wp:docPr id="3" name="文本框 3"/>
              <wp:cNvGraphicFramePr/>
              <a:graphic xmlns:a="http://schemas.openxmlformats.org/drawingml/2006/main">
                <a:graphicData uri="http://schemas.microsoft.com/office/word/2010/wordprocessingShape">
                  <wps:wsp>
                    <wps:cNvSpPr txBox="1"/>
                    <wps:spPr>
                      <a:xfrm>
                        <a:off x="0" y="0"/>
                        <a:ext cx="559435" cy="202565"/>
                      </a:xfrm>
                      <a:prstGeom prst="rect">
                        <a:avLst/>
                      </a:prstGeom>
                      <a:noFill/>
                      <a:ln>
                        <a:noFill/>
                      </a:ln>
                    </wps:spPr>
                    <wps:txbx>
                      <w:txbxContent>
                        <w:p w14:paraId="332896EE">
                          <w:pPr>
                            <w:spacing w:line="319" w:lineRule="exact"/>
                            <w:ind w:left="20"/>
                            <w:jc w:val="left"/>
                          </w:pPr>
                          <w:r>
                            <w:t>合同样本</w:t>
                          </w:r>
                        </w:p>
                      </w:txbxContent>
                    </wps:txbx>
                    <wps:bodyPr lIns="0" tIns="0" rIns="0" bIns="0" upright="1"/>
                  </wps:wsp>
                </a:graphicData>
              </a:graphic>
            </wp:anchor>
          </w:drawing>
        </mc:Choice>
        <mc:Fallback>
          <w:pict>
            <v:shape id="_x0000_s1026" o:spid="_x0000_s1026" o:spt="202" type="#_x0000_t202" style="position:absolute;left:0pt;margin-left:469pt;margin-top:29.3pt;height:15.95pt;width:44.05pt;mso-position-horizontal-relative:page;mso-position-vertical-relative:page;z-index:-251655168;mso-width-relative:page;mso-height-relative:page;" filled="f" stroked="f" coordsize="21600,21600" o:gfxdata="UEsDBAoAAAAAAIdO4kAAAAAAAAAAAAAAAAAEAAAAZHJzL1BLAwQUAAAACACHTuJA6RatUdkAAAAK&#10;AQAADwAAAGRycy9kb3ducmV2LnhtbE2PzU7DMBCE70i8g7VI3KidokZpiFMhBCck1DQ99OjE28Rq&#10;vA6x+8Pb457a42hGM98Uq4sd2AknbxxJSGYCGFLrtKFOwrb+esmA+aBIq8ERSvhDD6vy8aFQuXZn&#10;qvC0CR2LJeRzJaEPYcw5922PVvmZG5Git3eTVSHKqeN6UudYbgc+FyLlVhmKC70a8aPH9rA5Wgnv&#10;O6o+ze9Ps672lanrpaDv9CDl81Mi3oAFvIRbGK74ER3KyNS4I2nPBgnL1yx+CRIWWQrsGhDzNAHW&#10;REssgJcFv79Q/gNQSwMEFAAAAAgAh07iQND4XW26AQAAcQMAAA4AAABkcnMvZTJvRG9jLnhtbK1T&#10;S27bMBDdF+gdCO5rKnYUNILlAIWRoEDRFkh7AJqiLAL8YUhb8gXaG3TVTfc9l8/RIWU5v00W3VCj&#10;mdGb995Qy5vBaLKXEJSzNb2YFZRIK1yj7Lam37/dvntPSYjcNlw7K2t6kIHerN6+Wfa+knPXOd1I&#10;IAhiQ9X7mnYx+oqxIDppeJg5Ly0WWweGR3yFLWuA94huNJsXxRXrHTQenJAhYHY9FukJEV4D6NpW&#10;Cbl2YmekjSMqSM0jSgqd8oGuMtu2lSJ+adsgI9E1RaUxnzgE40062WrJqy1w3ylxosBfQ+GZJsOV&#10;xaFnqDWPnOxAvYAySoALro0z4QwbhWRHUMVF8cyb+457mbWg1cGfTQ//D1Z83n8FopqaLiix3ODC&#10;j79+Hn//Pf75QRbJnt6HCrvuPfbF4YMb8NJM+YDJpHpowaQn6iFYR3MPZ3PlEInAZFleXy5KSgSW&#10;5sW8vCoTCnv42EOId9IZkoKaAu4uW8r3n0IcW6eWNMu6W6V13p+2TxKImTIsMR8ZpigOm+EkZ+Oa&#10;A6rRHy06mW7FFMAUbKZg50FtO6STNWdI3ETmfbo1adWP3/Pghz9l9Q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pFq1R2QAAAAoBAAAPAAAAAAAAAAEAIAAAACIAAABkcnMvZG93bnJldi54bWxQSwEC&#10;FAAUAAAACACHTuJA0PhdbboBAABxAwAADgAAAAAAAAABACAAAAAoAQAAZHJzL2Uyb0RvYy54bWxQ&#10;SwUGAAAAAAYABgBZAQAAVAUAAAAA&#10;">
              <v:fill on="f" focussize="0,0"/>
              <v:stroke on="f"/>
              <v:imagedata o:title=""/>
              <o:lock v:ext="edit" aspectratio="f"/>
              <v:textbox inset="0mm,0mm,0mm,0mm">
                <w:txbxContent>
                  <w:p w14:paraId="332896EE">
                    <w:pPr>
                      <w:spacing w:line="319" w:lineRule="exact"/>
                      <w:ind w:left="20"/>
                      <w:jc w:val="left"/>
                    </w:pPr>
                    <w:r>
                      <w:t>合同样本</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834A6F"/>
    <w:multiLevelType w:val="singleLevel"/>
    <w:tmpl w:val="B0834A6F"/>
    <w:lvl w:ilvl="0" w:tentative="0">
      <w:start w:val="1"/>
      <w:numFmt w:val="decimal"/>
      <w:suff w:val="nothing"/>
      <w:lvlText w:val="%1、"/>
      <w:lvlJc w:val="left"/>
    </w:lvl>
  </w:abstractNum>
  <w:abstractNum w:abstractNumId="1">
    <w:nsid w:val="2CFB357B"/>
    <w:multiLevelType w:val="singleLevel"/>
    <w:tmpl w:val="2CFB357B"/>
    <w:lvl w:ilvl="0" w:tentative="0">
      <w:start w:val="1"/>
      <w:numFmt w:val="decimal"/>
      <w:suff w:val="nothing"/>
      <w:lvlText w:val="%1、"/>
      <w:lvlJc w:val="left"/>
    </w:lvl>
  </w:abstractNum>
  <w:abstractNum w:abstractNumId="2">
    <w:nsid w:val="7D05B669"/>
    <w:multiLevelType w:val="singleLevel"/>
    <w:tmpl w:val="7D05B669"/>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121"/>
    <w:rsid w:val="001247BD"/>
    <w:rsid w:val="001A64D5"/>
    <w:rsid w:val="001A7749"/>
    <w:rsid w:val="001D7E02"/>
    <w:rsid w:val="001E78A3"/>
    <w:rsid w:val="002000D7"/>
    <w:rsid w:val="0020585F"/>
    <w:rsid w:val="00262C0A"/>
    <w:rsid w:val="0027169F"/>
    <w:rsid w:val="00287BE9"/>
    <w:rsid w:val="002901AE"/>
    <w:rsid w:val="002A17C0"/>
    <w:rsid w:val="002B1A97"/>
    <w:rsid w:val="00331D98"/>
    <w:rsid w:val="00392D77"/>
    <w:rsid w:val="00431219"/>
    <w:rsid w:val="0046640B"/>
    <w:rsid w:val="00471C3B"/>
    <w:rsid w:val="004F644E"/>
    <w:rsid w:val="004F66FA"/>
    <w:rsid w:val="00504DC9"/>
    <w:rsid w:val="00515BAC"/>
    <w:rsid w:val="0059095A"/>
    <w:rsid w:val="005A6B05"/>
    <w:rsid w:val="00613CF3"/>
    <w:rsid w:val="00687E80"/>
    <w:rsid w:val="006A37F0"/>
    <w:rsid w:val="006D6426"/>
    <w:rsid w:val="006F7B9A"/>
    <w:rsid w:val="007328B2"/>
    <w:rsid w:val="00737101"/>
    <w:rsid w:val="00767785"/>
    <w:rsid w:val="0077387E"/>
    <w:rsid w:val="007D3E6C"/>
    <w:rsid w:val="007D740F"/>
    <w:rsid w:val="007F4B3A"/>
    <w:rsid w:val="008300BA"/>
    <w:rsid w:val="00834121"/>
    <w:rsid w:val="00867494"/>
    <w:rsid w:val="00883501"/>
    <w:rsid w:val="008B1E99"/>
    <w:rsid w:val="00911391"/>
    <w:rsid w:val="00960CA5"/>
    <w:rsid w:val="009E4BA7"/>
    <w:rsid w:val="00A242E8"/>
    <w:rsid w:val="00A42718"/>
    <w:rsid w:val="00A439C9"/>
    <w:rsid w:val="00AE2AB9"/>
    <w:rsid w:val="00B10D5B"/>
    <w:rsid w:val="00B23225"/>
    <w:rsid w:val="00B56523"/>
    <w:rsid w:val="00BB7182"/>
    <w:rsid w:val="00BE7A21"/>
    <w:rsid w:val="00BF25DA"/>
    <w:rsid w:val="00C3563E"/>
    <w:rsid w:val="00C460CB"/>
    <w:rsid w:val="00CA1927"/>
    <w:rsid w:val="00CB5D27"/>
    <w:rsid w:val="00CF4BAD"/>
    <w:rsid w:val="00D01513"/>
    <w:rsid w:val="00D50BAA"/>
    <w:rsid w:val="00D57FBF"/>
    <w:rsid w:val="00D85EFA"/>
    <w:rsid w:val="00DD75AB"/>
    <w:rsid w:val="00DE4230"/>
    <w:rsid w:val="00E45F05"/>
    <w:rsid w:val="00ED36F5"/>
    <w:rsid w:val="00EF5892"/>
    <w:rsid w:val="00F04A0A"/>
    <w:rsid w:val="00F41F90"/>
    <w:rsid w:val="00F54A46"/>
    <w:rsid w:val="00F6219A"/>
    <w:rsid w:val="00FF6404"/>
    <w:rsid w:val="075F45F0"/>
    <w:rsid w:val="1B4B0FDF"/>
    <w:rsid w:val="24983315"/>
    <w:rsid w:val="40765AAB"/>
    <w:rsid w:val="59593DEF"/>
    <w:rsid w:val="68C55149"/>
    <w:rsid w:val="695C0CB0"/>
    <w:rsid w:val="6B9354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99" w:name="heading 7"/>
    <w:lsdException w:qFormat="1" w:uiPriority="99" w:name="heading 8"/>
    <w:lsdException w:qFormat="1" w:uiPriority="99" w:name="heading 9"/>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qFormat="1" w:uiPriority="99" w:name="toc 4"/>
    <w:lsdException w:qFormat="1" w:uiPriority="99" w:name="toc 5"/>
    <w:lsdException w:qFormat="1" w:uiPriority="99" w:name="toc 6"/>
    <w:lsdException w:qFormat="1" w:uiPriority="99" w:name="toc 7"/>
    <w:lsdException w:qFormat="1" w:uiPriority="99" w:name="toc 8"/>
    <w:lsdException w:qFormat="1" w:uiPriority="99" w:name="toc 9"/>
    <w:lsdException w:qFormat="1" w:uiPriority="0" w:semiHidden="0" w:name="Normal Indent"/>
    <w:lsdException w:uiPriority="99" w:name="footnote text"/>
    <w:lsdException w:qFormat="1" w:unhideWhenUsed="0" w:uiPriority="99" w:semiHidden="0" w:name="annotation text"/>
    <w:lsdException w:qFormat="1" w:uiPriority="99" w:semiHidden="0" w:name="header"/>
    <w:lsdException w:qFormat="1" w:uiPriority="0" w:semiHidden="0" w:name="footer"/>
    <w:lsdException w:uiPriority="99" w:name="index heading"/>
    <w:lsdException w:qFormat="1" w:uiPriority="99"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name="Body Text First Indent"/>
    <w:lsdException w:qFormat="1" w:uiPriority="99" w:name="Body Text First Indent 2"/>
    <w:lsdException w:uiPriority="99" w:name="Note Heading"/>
    <w:lsdException w:uiPriority="99" w:name="Body Text 2"/>
    <w:lsdException w:qFormat="1" w:uiPriority="99" w:name="Body Text 3"/>
    <w:lsdException w:qFormat="1" w:uiPriority="99" w:name="Body Text Indent 2"/>
    <w:lsdException w:qFormat="1" w:uiPriority="99" w:name="Body Text Indent 3"/>
    <w:lsdException w:qFormat="1" w:uiPriority="99" w:name="Block Text"/>
    <w:lsdException w:qFormat="1" w:uiPriority="99" w:name="Hyperlink"/>
    <w:lsdException w:qFormat="1" w:uiPriority="0" w:name="FollowedHyperlink"/>
    <w:lsdException w:qFormat="1" w:unhideWhenUsed="0" w:uiPriority="22" w:semiHidden="0" w:name="Strong"/>
    <w:lsdException w:qFormat="1" w:unhideWhenUsed="0" w:uiPriority="0" w:semiHidden="0" w:name="Emphasis"/>
    <w:lsdException w:qFormat="1"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3">
    <w:name w:val="heading 1"/>
    <w:basedOn w:val="1"/>
    <w:next w:val="1"/>
    <w:link w:val="64"/>
    <w:qFormat/>
    <w:uiPriority w:val="0"/>
    <w:pPr>
      <w:keepNext/>
      <w:keepLines/>
      <w:autoSpaceDE w:val="0"/>
      <w:autoSpaceDN w:val="0"/>
      <w:adjustRightInd w:val="0"/>
      <w:spacing w:before="240" w:after="120" w:line="300" w:lineRule="auto"/>
      <w:jc w:val="center"/>
      <w:outlineLvl w:val="0"/>
    </w:pPr>
    <w:rPr>
      <w:rFonts w:ascii="宋体"/>
      <w:b/>
      <w:kern w:val="44"/>
      <w:sz w:val="32"/>
    </w:rPr>
  </w:style>
  <w:style w:type="paragraph" w:styleId="4">
    <w:name w:val="heading 2"/>
    <w:basedOn w:val="1"/>
    <w:next w:val="2"/>
    <w:link w:val="227"/>
    <w:unhideWhenUsed/>
    <w:qFormat/>
    <w:uiPriority w:val="0"/>
    <w:pPr>
      <w:keepNext/>
      <w:keepLines/>
      <w:autoSpaceDE w:val="0"/>
      <w:autoSpaceDN w:val="0"/>
      <w:adjustRightInd w:val="0"/>
      <w:spacing w:before="120" w:line="300" w:lineRule="auto"/>
      <w:jc w:val="center"/>
      <w:outlineLvl w:val="1"/>
    </w:pPr>
    <w:rPr>
      <w:rFonts w:ascii="Arial" w:hAnsi="Arial" w:eastAsia="黑体"/>
      <w:b/>
      <w:kern w:val="0"/>
      <w:sz w:val="30"/>
    </w:rPr>
  </w:style>
  <w:style w:type="paragraph" w:styleId="5">
    <w:name w:val="heading 3"/>
    <w:basedOn w:val="1"/>
    <w:next w:val="1"/>
    <w:link w:val="228"/>
    <w:semiHidden/>
    <w:unhideWhenUsed/>
    <w:qFormat/>
    <w:uiPriority w:val="0"/>
    <w:pPr>
      <w:keepNext/>
      <w:keepLines/>
      <w:autoSpaceDE w:val="0"/>
      <w:autoSpaceDN w:val="0"/>
      <w:adjustRightInd w:val="0"/>
      <w:spacing w:before="360" w:after="120"/>
      <w:jc w:val="left"/>
      <w:outlineLvl w:val="2"/>
    </w:pPr>
    <w:rPr>
      <w:rFonts w:ascii="宋体"/>
      <w:b/>
      <w:kern w:val="0"/>
      <w:sz w:val="24"/>
      <w:u w:val="single"/>
    </w:rPr>
  </w:style>
  <w:style w:type="paragraph" w:styleId="6">
    <w:name w:val="heading 4"/>
    <w:basedOn w:val="1"/>
    <w:next w:val="1"/>
    <w:link w:val="67"/>
    <w:semiHidden/>
    <w:unhideWhenUsed/>
    <w:qFormat/>
    <w:uiPriority w:val="0"/>
    <w:pPr>
      <w:keepNext/>
      <w:keepLines/>
      <w:adjustRightInd w:val="0"/>
      <w:spacing w:before="280" w:after="290" w:line="376" w:lineRule="atLeast"/>
      <w:outlineLvl w:val="3"/>
    </w:pPr>
    <w:rPr>
      <w:rFonts w:ascii="Arial" w:hAnsi="Arial" w:eastAsia="黑体"/>
      <w:b/>
      <w:kern w:val="0"/>
      <w:sz w:val="28"/>
    </w:rPr>
  </w:style>
  <w:style w:type="paragraph" w:styleId="7">
    <w:name w:val="heading 5"/>
    <w:basedOn w:val="1"/>
    <w:next w:val="1"/>
    <w:link w:val="68"/>
    <w:semiHidden/>
    <w:unhideWhenUsed/>
    <w:qFormat/>
    <w:uiPriority w:val="0"/>
    <w:pPr>
      <w:keepNext/>
      <w:keepLines/>
      <w:adjustRightInd w:val="0"/>
      <w:spacing w:before="280" w:after="290" w:line="376" w:lineRule="atLeast"/>
      <w:outlineLvl w:val="4"/>
    </w:pPr>
    <w:rPr>
      <w:b/>
      <w:kern w:val="0"/>
      <w:sz w:val="28"/>
    </w:rPr>
  </w:style>
  <w:style w:type="paragraph" w:styleId="8">
    <w:name w:val="heading 6"/>
    <w:basedOn w:val="1"/>
    <w:next w:val="1"/>
    <w:link w:val="69"/>
    <w:semiHidden/>
    <w:unhideWhenUsed/>
    <w:qFormat/>
    <w:uiPriority w:val="0"/>
    <w:pPr>
      <w:keepNext/>
      <w:keepLines/>
      <w:adjustRightInd w:val="0"/>
      <w:spacing w:before="240" w:after="64" w:line="320" w:lineRule="atLeast"/>
      <w:outlineLvl w:val="5"/>
    </w:pPr>
    <w:rPr>
      <w:rFonts w:ascii="Arial" w:hAnsi="Arial" w:eastAsia="黑体"/>
      <w:b/>
      <w:kern w:val="0"/>
      <w:sz w:val="24"/>
    </w:rPr>
  </w:style>
  <w:style w:type="paragraph" w:styleId="9">
    <w:name w:val="heading 7"/>
    <w:basedOn w:val="1"/>
    <w:next w:val="1"/>
    <w:link w:val="70"/>
    <w:semiHidden/>
    <w:unhideWhenUsed/>
    <w:qFormat/>
    <w:uiPriority w:val="99"/>
    <w:pPr>
      <w:keepNext/>
      <w:keepLines/>
      <w:adjustRightInd w:val="0"/>
      <w:spacing w:before="240" w:after="64" w:line="320" w:lineRule="atLeast"/>
      <w:outlineLvl w:val="6"/>
    </w:pPr>
    <w:rPr>
      <w:b/>
      <w:kern w:val="0"/>
      <w:sz w:val="24"/>
    </w:rPr>
  </w:style>
  <w:style w:type="paragraph" w:styleId="10">
    <w:name w:val="heading 8"/>
    <w:basedOn w:val="1"/>
    <w:next w:val="1"/>
    <w:link w:val="71"/>
    <w:semiHidden/>
    <w:unhideWhenUsed/>
    <w:qFormat/>
    <w:uiPriority w:val="99"/>
    <w:pPr>
      <w:keepNext/>
      <w:keepLines/>
      <w:adjustRightInd w:val="0"/>
      <w:spacing w:before="240" w:after="64" w:line="320" w:lineRule="atLeast"/>
      <w:outlineLvl w:val="7"/>
    </w:pPr>
    <w:rPr>
      <w:rFonts w:ascii="Arial" w:hAnsi="Arial" w:eastAsia="黑体"/>
      <w:kern w:val="0"/>
      <w:sz w:val="24"/>
    </w:rPr>
  </w:style>
  <w:style w:type="paragraph" w:styleId="11">
    <w:name w:val="heading 9"/>
    <w:basedOn w:val="1"/>
    <w:next w:val="1"/>
    <w:link w:val="72"/>
    <w:semiHidden/>
    <w:unhideWhenUsed/>
    <w:qFormat/>
    <w:uiPriority w:val="99"/>
    <w:pPr>
      <w:keepNext/>
      <w:keepLines/>
      <w:adjustRightInd w:val="0"/>
      <w:spacing w:before="240" w:after="64" w:line="320" w:lineRule="atLeast"/>
      <w:outlineLvl w:val="8"/>
    </w:pPr>
    <w:rPr>
      <w:rFonts w:ascii="Arial" w:hAnsi="Arial" w:eastAsia="黑体"/>
      <w:kern w:val="0"/>
    </w:rPr>
  </w:style>
  <w:style w:type="character" w:default="1" w:styleId="46">
    <w:name w:val="Default Paragraph Font"/>
    <w:semiHidden/>
    <w:unhideWhenUsed/>
    <w:uiPriority w:val="1"/>
  </w:style>
  <w:style w:type="table" w:default="1" w:styleId="43">
    <w:name w:val="Normal Table"/>
    <w:semiHidden/>
    <w:unhideWhenUsed/>
    <w:uiPriority w:val="99"/>
    <w:tblPr>
      <w:tblCellMar>
        <w:top w:w="0" w:type="dxa"/>
        <w:left w:w="108" w:type="dxa"/>
        <w:bottom w:w="0" w:type="dxa"/>
        <w:right w:w="108" w:type="dxa"/>
      </w:tblCellMar>
    </w:tblPr>
  </w:style>
  <w:style w:type="paragraph" w:styleId="2">
    <w:name w:val="Normal Indent"/>
    <w:basedOn w:val="1"/>
    <w:link w:val="75"/>
    <w:unhideWhenUsed/>
    <w:qFormat/>
    <w:uiPriority w:val="0"/>
    <w:pPr>
      <w:autoSpaceDE w:val="0"/>
      <w:autoSpaceDN w:val="0"/>
      <w:adjustRightInd w:val="0"/>
      <w:ind w:firstLine="420"/>
      <w:jc w:val="left"/>
    </w:pPr>
    <w:rPr>
      <w:rFonts w:ascii="宋体"/>
      <w:sz w:val="24"/>
      <w:szCs w:val="24"/>
    </w:rPr>
  </w:style>
  <w:style w:type="paragraph" w:styleId="12">
    <w:name w:val="toc 7"/>
    <w:basedOn w:val="1"/>
    <w:next w:val="1"/>
    <w:autoRedefine/>
    <w:semiHidden/>
    <w:unhideWhenUsed/>
    <w:qFormat/>
    <w:uiPriority w:val="99"/>
    <w:pPr>
      <w:ind w:left="2520" w:leftChars="1200"/>
    </w:pPr>
    <w:rPr>
      <w:szCs w:val="24"/>
    </w:rPr>
  </w:style>
  <w:style w:type="paragraph" w:styleId="13">
    <w:name w:val="caption"/>
    <w:basedOn w:val="1"/>
    <w:next w:val="1"/>
    <w:semiHidden/>
    <w:unhideWhenUsed/>
    <w:qFormat/>
    <w:uiPriority w:val="99"/>
    <w:pPr>
      <w:spacing w:line="480" w:lineRule="auto"/>
    </w:pPr>
    <w:rPr>
      <w:rFonts w:ascii="华文中宋" w:hAnsi="华文中宋" w:eastAsia="华文中宋"/>
      <w:sz w:val="36"/>
    </w:rPr>
  </w:style>
  <w:style w:type="paragraph" w:styleId="14">
    <w:name w:val="Document Map"/>
    <w:basedOn w:val="1"/>
    <w:link w:val="83"/>
    <w:semiHidden/>
    <w:unhideWhenUsed/>
    <w:qFormat/>
    <w:uiPriority w:val="99"/>
    <w:pPr>
      <w:shd w:val="clear" w:color="auto" w:fill="000080"/>
    </w:pPr>
    <w:rPr>
      <w:szCs w:val="24"/>
    </w:rPr>
  </w:style>
  <w:style w:type="paragraph" w:styleId="15">
    <w:name w:val="annotation text"/>
    <w:basedOn w:val="1"/>
    <w:link w:val="58"/>
    <w:qFormat/>
    <w:uiPriority w:val="99"/>
    <w:pPr>
      <w:adjustRightInd w:val="0"/>
      <w:spacing w:line="360" w:lineRule="atLeast"/>
      <w:jc w:val="left"/>
      <w:textAlignment w:val="baseline"/>
    </w:pPr>
    <w:rPr>
      <w:rFonts w:asciiTheme="minorHAnsi" w:hAnsiTheme="minorHAnsi" w:cstheme="minorBidi"/>
      <w:sz w:val="24"/>
      <w:szCs w:val="22"/>
    </w:rPr>
  </w:style>
  <w:style w:type="paragraph" w:styleId="16">
    <w:name w:val="Body Text 3"/>
    <w:basedOn w:val="1"/>
    <w:link w:val="80"/>
    <w:semiHidden/>
    <w:unhideWhenUsed/>
    <w:qFormat/>
    <w:uiPriority w:val="99"/>
    <w:pPr>
      <w:spacing w:after="120"/>
    </w:pPr>
    <w:rPr>
      <w:sz w:val="16"/>
      <w:szCs w:val="16"/>
    </w:rPr>
  </w:style>
  <w:style w:type="paragraph" w:styleId="17">
    <w:name w:val="Body Text"/>
    <w:basedOn w:val="1"/>
    <w:link w:val="73"/>
    <w:semiHidden/>
    <w:unhideWhenUsed/>
    <w:qFormat/>
    <w:uiPriority w:val="99"/>
    <w:pPr>
      <w:spacing w:after="120"/>
    </w:pPr>
    <w:rPr>
      <w:szCs w:val="24"/>
    </w:rPr>
  </w:style>
  <w:style w:type="paragraph" w:styleId="18">
    <w:name w:val="Body Text Indent"/>
    <w:basedOn w:val="1"/>
    <w:link w:val="229"/>
    <w:semiHidden/>
    <w:unhideWhenUsed/>
    <w:qFormat/>
    <w:uiPriority w:val="99"/>
    <w:pPr>
      <w:spacing w:line="360" w:lineRule="auto"/>
      <w:ind w:firstLine="570"/>
    </w:pPr>
    <w:rPr>
      <w:sz w:val="24"/>
      <w:szCs w:val="24"/>
    </w:rPr>
  </w:style>
  <w:style w:type="paragraph" w:styleId="19">
    <w:name w:val="List 2"/>
    <w:basedOn w:val="1"/>
    <w:semiHidden/>
    <w:unhideWhenUsed/>
    <w:qFormat/>
    <w:uiPriority w:val="99"/>
    <w:pPr>
      <w:ind w:left="100" w:leftChars="200" w:hanging="200" w:hangingChars="200"/>
    </w:pPr>
    <w:rPr>
      <w:szCs w:val="24"/>
    </w:rPr>
  </w:style>
  <w:style w:type="paragraph" w:styleId="20">
    <w:name w:val="Block Text"/>
    <w:basedOn w:val="1"/>
    <w:semiHidden/>
    <w:unhideWhenUsed/>
    <w:qFormat/>
    <w:uiPriority w:val="99"/>
    <w:pPr>
      <w:widowControl/>
      <w:ind w:left="480" w:right="-341" w:firstLine="513"/>
    </w:pPr>
    <w:rPr>
      <w:kern w:val="0"/>
      <w:sz w:val="24"/>
    </w:rPr>
  </w:style>
  <w:style w:type="paragraph" w:styleId="21">
    <w:name w:val="toc 5"/>
    <w:basedOn w:val="1"/>
    <w:next w:val="1"/>
    <w:autoRedefine/>
    <w:semiHidden/>
    <w:unhideWhenUsed/>
    <w:qFormat/>
    <w:uiPriority w:val="99"/>
    <w:pPr>
      <w:ind w:left="1680" w:leftChars="800"/>
    </w:pPr>
    <w:rPr>
      <w:szCs w:val="24"/>
    </w:rPr>
  </w:style>
  <w:style w:type="paragraph" w:styleId="22">
    <w:name w:val="toc 3"/>
    <w:basedOn w:val="1"/>
    <w:next w:val="1"/>
    <w:autoRedefine/>
    <w:semiHidden/>
    <w:unhideWhenUsed/>
    <w:qFormat/>
    <w:uiPriority w:val="39"/>
    <w:pPr>
      <w:ind w:left="840" w:leftChars="400"/>
    </w:pPr>
    <w:rPr>
      <w:szCs w:val="24"/>
    </w:rPr>
  </w:style>
  <w:style w:type="paragraph" w:styleId="23">
    <w:name w:val="Plain Text"/>
    <w:basedOn w:val="1"/>
    <w:link w:val="54"/>
    <w:qFormat/>
    <w:uiPriority w:val="0"/>
    <w:rPr>
      <w:rFonts w:ascii="宋体" w:hAnsi="Courier New" w:cstheme="minorBidi"/>
      <w:szCs w:val="22"/>
    </w:rPr>
  </w:style>
  <w:style w:type="paragraph" w:styleId="24">
    <w:name w:val="toc 8"/>
    <w:basedOn w:val="1"/>
    <w:next w:val="1"/>
    <w:autoRedefine/>
    <w:semiHidden/>
    <w:unhideWhenUsed/>
    <w:qFormat/>
    <w:uiPriority w:val="99"/>
    <w:pPr>
      <w:ind w:left="2940" w:leftChars="1400"/>
    </w:pPr>
    <w:rPr>
      <w:szCs w:val="24"/>
    </w:rPr>
  </w:style>
  <w:style w:type="paragraph" w:styleId="25">
    <w:name w:val="Date"/>
    <w:basedOn w:val="1"/>
    <w:next w:val="1"/>
    <w:link w:val="77"/>
    <w:semiHidden/>
    <w:unhideWhenUsed/>
    <w:qFormat/>
    <w:uiPriority w:val="99"/>
    <w:pPr>
      <w:ind w:left="100" w:leftChars="2500"/>
    </w:pPr>
    <w:rPr>
      <w:rFonts w:ascii="仿宋_GB2312" w:hAnsi="宋体" w:eastAsia="仿宋_GB2312"/>
      <w:color w:val="000000"/>
      <w:sz w:val="24"/>
      <w:szCs w:val="24"/>
    </w:rPr>
  </w:style>
  <w:style w:type="paragraph" w:styleId="26">
    <w:name w:val="Body Text Indent 2"/>
    <w:basedOn w:val="1"/>
    <w:link w:val="81"/>
    <w:semiHidden/>
    <w:unhideWhenUsed/>
    <w:qFormat/>
    <w:uiPriority w:val="99"/>
    <w:pPr>
      <w:ind w:firstLine="480" w:firstLineChars="200"/>
    </w:pPr>
    <w:rPr>
      <w:rFonts w:ascii="仿宋_GB2312" w:eastAsia="仿宋_GB2312"/>
      <w:sz w:val="24"/>
      <w:szCs w:val="24"/>
    </w:rPr>
  </w:style>
  <w:style w:type="paragraph" w:styleId="27">
    <w:name w:val="Balloon Text"/>
    <w:basedOn w:val="1"/>
    <w:link w:val="85"/>
    <w:semiHidden/>
    <w:unhideWhenUsed/>
    <w:qFormat/>
    <w:uiPriority w:val="99"/>
    <w:rPr>
      <w:sz w:val="18"/>
      <w:szCs w:val="18"/>
    </w:rPr>
  </w:style>
  <w:style w:type="paragraph" w:styleId="28">
    <w:name w:val="footer"/>
    <w:basedOn w:val="1"/>
    <w:link w:val="53"/>
    <w:unhideWhenUsed/>
    <w:qFormat/>
    <w:uiPriority w:val="0"/>
    <w:pPr>
      <w:tabs>
        <w:tab w:val="center" w:pos="4153"/>
        <w:tab w:val="right" w:pos="8306"/>
      </w:tabs>
      <w:snapToGrid w:val="0"/>
      <w:jc w:val="left"/>
    </w:pPr>
    <w:rPr>
      <w:sz w:val="18"/>
      <w:szCs w:val="18"/>
    </w:rPr>
  </w:style>
  <w:style w:type="paragraph" w:styleId="29">
    <w:name w:val="header"/>
    <w:basedOn w:val="1"/>
    <w:link w:val="52"/>
    <w:unhideWhenUsed/>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autoRedefine/>
    <w:semiHidden/>
    <w:unhideWhenUsed/>
    <w:qFormat/>
    <w:uiPriority w:val="39"/>
    <w:pPr>
      <w:tabs>
        <w:tab w:val="left" w:pos="1050"/>
        <w:tab w:val="right" w:leader="dot" w:pos="8937"/>
      </w:tabs>
      <w:spacing w:line="300" w:lineRule="auto"/>
    </w:pPr>
    <w:rPr>
      <w:rFonts w:ascii="宋体" w:hAnsi="宋体"/>
      <w:b/>
      <w:sz w:val="24"/>
      <w:szCs w:val="24"/>
    </w:rPr>
  </w:style>
  <w:style w:type="paragraph" w:styleId="31">
    <w:name w:val="toc 4"/>
    <w:basedOn w:val="1"/>
    <w:next w:val="1"/>
    <w:autoRedefine/>
    <w:semiHidden/>
    <w:unhideWhenUsed/>
    <w:qFormat/>
    <w:uiPriority w:val="99"/>
    <w:pPr>
      <w:ind w:left="1260" w:leftChars="600"/>
    </w:pPr>
    <w:rPr>
      <w:szCs w:val="24"/>
    </w:rPr>
  </w:style>
  <w:style w:type="paragraph" w:styleId="32">
    <w:name w:val="toc 6"/>
    <w:basedOn w:val="1"/>
    <w:next w:val="1"/>
    <w:autoRedefine/>
    <w:semiHidden/>
    <w:unhideWhenUsed/>
    <w:qFormat/>
    <w:uiPriority w:val="99"/>
    <w:pPr>
      <w:ind w:left="2100" w:leftChars="1000"/>
    </w:pPr>
    <w:rPr>
      <w:szCs w:val="24"/>
    </w:rPr>
  </w:style>
  <w:style w:type="paragraph" w:styleId="33">
    <w:name w:val="Body Text Indent 3"/>
    <w:basedOn w:val="1"/>
    <w:link w:val="82"/>
    <w:semiHidden/>
    <w:unhideWhenUsed/>
    <w:qFormat/>
    <w:uiPriority w:val="99"/>
    <w:pPr>
      <w:autoSpaceDE w:val="0"/>
      <w:autoSpaceDN w:val="0"/>
      <w:adjustRightInd w:val="0"/>
      <w:spacing w:before="120" w:line="22" w:lineRule="atLeast"/>
      <w:ind w:left="720" w:firstLine="480"/>
      <w:jc w:val="left"/>
    </w:pPr>
    <w:rPr>
      <w:rFonts w:ascii="宋体"/>
      <w:kern w:val="0"/>
      <w:sz w:val="24"/>
    </w:rPr>
  </w:style>
  <w:style w:type="paragraph" w:styleId="34">
    <w:name w:val="toc 2"/>
    <w:basedOn w:val="1"/>
    <w:next w:val="1"/>
    <w:autoRedefine/>
    <w:semiHidden/>
    <w:unhideWhenUsed/>
    <w:qFormat/>
    <w:uiPriority w:val="39"/>
    <w:pPr>
      <w:tabs>
        <w:tab w:val="right" w:leader="dot" w:pos="8937"/>
      </w:tabs>
      <w:spacing w:line="312" w:lineRule="auto"/>
      <w:ind w:left="420" w:leftChars="200"/>
    </w:pPr>
    <w:rPr>
      <w:szCs w:val="24"/>
    </w:rPr>
  </w:style>
  <w:style w:type="paragraph" w:styleId="35">
    <w:name w:val="toc 9"/>
    <w:basedOn w:val="1"/>
    <w:next w:val="1"/>
    <w:autoRedefine/>
    <w:semiHidden/>
    <w:unhideWhenUsed/>
    <w:qFormat/>
    <w:uiPriority w:val="99"/>
    <w:pPr>
      <w:ind w:left="3360" w:leftChars="1600"/>
    </w:pPr>
    <w:rPr>
      <w:szCs w:val="24"/>
    </w:rPr>
  </w:style>
  <w:style w:type="paragraph" w:styleId="36">
    <w:name w:val="HTML Preformatted"/>
    <w:basedOn w:val="1"/>
    <w:link w:val="74"/>
    <w:semiHidden/>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3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38">
    <w:name w:val="index 1"/>
    <w:basedOn w:val="1"/>
    <w:next w:val="1"/>
    <w:autoRedefine/>
    <w:semiHidden/>
    <w:unhideWhenUsed/>
    <w:qFormat/>
    <w:uiPriority w:val="99"/>
  </w:style>
  <w:style w:type="paragraph" w:styleId="39">
    <w:name w:val="Title"/>
    <w:basedOn w:val="1"/>
    <w:link w:val="55"/>
    <w:qFormat/>
    <w:uiPriority w:val="99"/>
    <w:pPr>
      <w:spacing w:before="240" w:after="60"/>
      <w:jc w:val="center"/>
      <w:outlineLvl w:val="0"/>
    </w:pPr>
    <w:rPr>
      <w:rFonts w:ascii="Arial" w:hAnsi="Arial" w:cs="Arial"/>
      <w:b/>
      <w:bCs/>
      <w:sz w:val="32"/>
      <w:szCs w:val="32"/>
    </w:rPr>
  </w:style>
  <w:style w:type="paragraph" w:styleId="40">
    <w:name w:val="annotation subject"/>
    <w:basedOn w:val="15"/>
    <w:next w:val="15"/>
    <w:link w:val="84"/>
    <w:semiHidden/>
    <w:unhideWhenUsed/>
    <w:qFormat/>
    <w:uiPriority w:val="99"/>
    <w:pPr>
      <w:adjustRightInd/>
      <w:spacing w:line="240" w:lineRule="auto"/>
      <w:textAlignment w:val="auto"/>
    </w:pPr>
    <w:rPr>
      <w:rFonts w:ascii="Times New Roman" w:hAnsi="Times New Roman" w:cs="Times New Roman"/>
      <w:b/>
      <w:bCs/>
      <w:sz w:val="21"/>
      <w:szCs w:val="24"/>
    </w:rPr>
  </w:style>
  <w:style w:type="paragraph" w:styleId="41">
    <w:name w:val="Body Text First Indent"/>
    <w:basedOn w:val="17"/>
    <w:link w:val="78"/>
    <w:semiHidden/>
    <w:unhideWhenUsed/>
    <w:qFormat/>
    <w:uiPriority w:val="99"/>
    <w:pPr>
      <w:ind w:firstLine="420" w:firstLineChars="100"/>
    </w:pPr>
    <w:rPr>
      <w:rFonts w:eastAsia="仿宋" w:asciiTheme="minorHAnsi" w:hAnsiTheme="minorHAnsi" w:cstheme="minorBidi"/>
      <w:sz w:val="28"/>
    </w:rPr>
  </w:style>
  <w:style w:type="paragraph" w:styleId="42">
    <w:name w:val="Body Text First Indent 2"/>
    <w:basedOn w:val="18"/>
    <w:link w:val="79"/>
    <w:semiHidden/>
    <w:unhideWhenUsed/>
    <w:qFormat/>
    <w:uiPriority w:val="99"/>
    <w:pPr>
      <w:spacing w:after="120" w:line="480" w:lineRule="exact"/>
      <w:ind w:left="420" w:leftChars="200" w:firstLine="420" w:firstLineChars="200"/>
    </w:pPr>
    <w:rPr>
      <w:szCs w:val="20"/>
    </w:rPr>
  </w:style>
  <w:style w:type="table" w:styleId="44">
    <w:name w:val="Table Grid"/>
    <w:basedOn w:val="43"/>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45">
    <w:name w:val="Medium Grid 1 Accent 2"/>
    <w:basedOn w:val="43"/>
    <w:qFormat/>
    <w:uiPriority w:val="0"/>
    <w:rPr>
      <w:rFonts w:ascii="Times New Roman" w:hAnsi="Times New Roman" w:eastAsia="宋体" w:cs="Times New Roman"/>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7">
    <w:name w:val="page number"/>
    <w:qFormat/>
    <w:uiPriority w:val="0"/>
  </w:style>
  <w:style w:type="character" w:styleId="48">
    <w:name w:val="FollowedHyperlink"/>
    <w:semiHidden/>
    <w:unhideWhenUsed/>
    <w:qFormat/>
    <w:uiPriority w:val="0"/>
    <w:rPr>
      <w:color w:val="800080"/>
      <w:u w:val="single"/>
    </w:rPr>
  </w:style>
  <w:style w:type="character" w:styleId="49">
    <w:name w:val="Emphasis"/>
    <w:qFormat/>
    <w:uiPriority w:val="0"/>
    <w:rPr>
      <w:color w:val="CC0033"/>
    </w:rPr>
  </w:style>
  <w:style w:type="character" w:styleId="50">
    <w:name w:val="Hyperlink"/>
    <w:semiHidden/>
    <w:unhideWhenUsed/>
    <w:qFormat/>
    <w:uiPriority w:val="99"/>
    <w:rPr>
      <w:color w:val="0000FF"/>
      <w:u w:val="single"/>
    </w:rPr>
  </w:style>
  <w:style w:type="character" w:styleId="51">
    <w:name w:val="annotation reference"/>
    <w:unhideWhenUsed/>
    <w:qFormat/>
    <w:uiPriority w:val="99"/>
    <w:rPr>
      <w:sz w:val="21"/>
      <w:szCs w:val="21"/>
    </w:rPr>
  </w:style>
  <w:style w:type="character" w:customStyle="1" w:styleId="52">
    <w:name w:val="页眉 Char"/>
    <w:basedOn w:val="46"/>
    <w:link w:val="29"/>
    <w:qFormat/>
    <w:uiPriority w:val="0"/>
    <w:rPr>
      <w:sz w:val="18"/>
      <w:szCs w:val="18"/>
    </w:rPr>
  </w:style>
  <w:style w:type="character" w:customStyle="1" w:styleId="53">
    <w:name w:val="页脚 Char"/>
    <w:basedOn w:val="46"/>
    <w:link w:val="28"/>
    <w:qFormat/>
    <w:uiPriority w:val="99"/>
    <w:rPr>
      <w:sz w:val="18"/>
      <w:szCs w:val="18"/>
    </w:rPr>
  </w:style>
  <w:style w:type="character" w:customStyle="1" w:styleId="54">
    <w:name w:val="纯文本 Char"/>
    <w:link w:val="23"/>
    <w:qFormat/>
    <w:uiPriority w:val="0"/>
    <w:rPr>
      <w:rFonts w:ascii="宋体" w:hAnsi="Courier New" w:eastAsia="宋体"/>
    </w:rPr>
  </w:style>
  <w:style w:type="character" w:customStyle="1" w:styleId="55">
    <w:name w:val="标题 Char1"/>
    <w:link w:val="39"/>
    <w:qFormat/>
    <w:uiPriority w:val="99"/>
    <w:rPr>
      <w:rFonts w:ascii="Arial" w:hAnsi="Arial" w:eastAsia="宋体" w:cs="Arial"/>
      <w:b/>
      <w:bCs/>
      <w:sz w:val="32"/>
      <w:szCs w:val="32"/>
    </w:rPr>
  </w:style>
  <w:style w:type="character" w:customStyle="1" w:styleId="56">
    <w:name w:val="纯文本 Char1"/>
    <w:basedOn w:val="46"/>
    <w:semiHidden/>
    <w:qFormat/>
    <w:uiPriority w:val="0"/>
    <w:rPr>
      <w:rFonts w:ascii="宋体" w:hAnsi="Courier New" w:eastAsia="宋体" w:cs="Courier New"/>
      <w:szCs w:val="21"/>
    </w:rPr>
  </w:style>
  <w:style w:type="character" w:customStyle="1" w:styleId="57">
    <w:name w:val="标题 Char"/>
    <w:basedOn w:val="46"/>
    <w:qFormat/>
    <w:uiPriority w:val="99"/>
    <w:rPr>
      <w:rFonts w:eastAsia="宋体" w:asciiTheme="majorHAnsi" w:hAnsiTheme="majorHAnsi" w:cstheme="majorBidi"/>
      <w:b/>
      <w:bCs/>
      <w:sz w:val="32"/>
      <w:szCs w:val="32"/>
    </w:rPr>
  </w:style>
  <w:style w:type="character" w:customStyle="1" w:styleId="58">
    <w:name w:val="批注文字 Char1"/>
    <w:link w:val="15"/>
    <w:qFormat/>
    <w:uiPriority w:val="99"/>
    <w:rPr>
      <w:rFonts w:eastAsia="宋体"/>
      <w:sz w:val="24"/>
    </w:rPr>
  </w:style>
  <w:style w:type="character" w:customStyle="1" w:styleId="59">
    <w:name w:val="批注文字 Char"/>
    <w:basedOn w:val="46"/>
    <w:semiHidden/>
    <w:qFormat/>
    <w:uiPriority w:val="99"/>
    <w:rPr>
      <w:rFonts w:ascii="Times New Roman" w:hAnsi="Times New Roman" w:eastAsia="宋体" w:cs="Times New Roman"/>
      <w:szCs w:val="20"/>
    </w:rPr>
  </w:style>
  <w:style w:type="paragraph" w:customStyle="1" w:styleId="60">
    <w:name w:val="列出段落1"/>
    <w:basedOn w:val="1"/>
    <w:qFormat/>
    <w:uiPriority w:val="99"/>
    <w:pPr>
      <w:ind w:firstLine="420" w:firstLineChars="200"/>
    </w:pPr>
    <w:rPr>
      <w:rFonts w:ascii="Calibri" w:hAnsi="Calibri"/>
      <w:szCs w:val="22"/>
    </w:rPr>
  </w:style>
  <w:style w:type="paragraph" w:customStyle="1" w:styleId="61">
    <w:name w:val="SOW正文"/>
    <w:basedOn w:val="1"/>
    <w:qFormat/>
    <w:uiPriority w:val="0"/>
    <w:pPr>
      <w:snapToGrid w:val="0"/>
      <w:spacing w:before="120" w:line="400" w:lineRule="exact"/>
      <w:ind w:firstLine="425"/>
    </w:pPr>
    <w:rPr>
      <w:sz w:val="24"/>
    </w:rPr>
  </w:style>
  <w:style w:type="character" w:customStyle="1" w:styleId="62">
    <w:name w:val="批注文字 Char2"/>
    <w:uiPriority w:val="0"/>
    <w:rPr>
      <w:sz w:val="24"/>
    </w:rPr>
  </w:style>
  <w:style w:type="character" w:customStyle="1" w:styleId="63">
    <w:name w:val="标题 Char2"/>
    <w:locked/>
    <w:uiPriority w:val="99"/>
    <w:rPr>
      <w:rFonts w:ascii="Arial" w:hAnsi="Arial" w:eastAsia="宋体" w:cs="Arial"/>
      <w:b/>
      <w:bCs/>
      <w:sz w:val="32"/>
      <w:szCs w:val="32"/>
    </w:rPr>
  </w:style>
  <w:style w:type="character" w:customStyle="1" w:styleId="64">
    <w:name w:val="标题 1 Char"/>
    <w:basedOn w:val="46"/>
    <w:link w:val="3"/>
    <w:qFormat/>
    <w:uiPriority w:val="0"/>
    <w:rPr>
      <w:rFonts w:ascii="宋体" w:hAnsi="Times New Roman" w:eastAsia="宋体" w:cs="Times New Roman"/>
      <w:b/>
      <w:kern w:val="44"/>
      <w:sz w:val="32"/>
      <w:szCs w:val="20"/>
    </w:rPr>
  </w:style>
  <w:style w:type="character" w:customStyle="1" w:styleId="65">
    <w:name w:val="标题 2 Char"/>
    <w:basedOn w:val="46"/>
    <w:semiHidden/>
    <w:qFormat/>
    <w:uiPriority w:val="0"/>
    <w:rPr>
      <w:rFonts w:asciiTheme="majorHAnsi" w:hAnsiTheme="majorHAnsi" w:eastAsiaTheme="majorEastAsia" w:cstheme="majorBidi"/>
      <w:b/>
      <w:bCs/>
      <w:sz w:val="32"/>
      <w:szCs w:val="32"/>
    </w:rPr>
  </w:style>
  <w:style w:type="character" w:customStyle="1" w:styleId="66">
    <w:name w:val="标题 3 Char"/>
    <w:basedOn w:val="46"/>
    <w:semiHidden/>
    <w:qFormat/>
    <w:uiPriority w:val="0"/>
    <w:rPr>
      <w:rFonts w:ascii="Times New Roman" w:hAnsi="Times New Roman" w:eastAsia="宋体" w:cs="Times New Roman"/>
      <w:b/>
      <w:bCs/>
      <w:sz w:val="32"/>
      <w:szCs w:val="32"/>
    </w:rPr>
  </w:style>
  <w:style w:type="character" w:customStyle="1" w:styleId="67">
    <w:name w:val="标题 4 Char"/>
    <w:basedOn w:val="46"/>
    <w:link w:val="6"/>
    <w:semiHidden/>
    <w:qFormat/>
    <w:uiPriority w:val="0"/>
    <w:rPr>
      <w:rFonts w:ascii="Arial" w:hAnsi="Arial" w:eastAsia="黑体" w:cs="Times New Roman"/>
      <w:b/>
      <w:kern w:val="0"/>
      <w:sz w:val="28"/>
      <w:szCs w:val="20"/>
    </w:rPr>
  </w:style>
  <w:style w:type="character" w:customStyle="1" w:styleId="68">
    <w:name w:val="标题 5 Char"/>
    <w:basedOn w:val="46"/>
    <w:link w:val="7"/>
    <w:semiHidden/>
    <w:qFormat/>
    <w:uiPriority w:val="0"/>
    <w:rPr>
      <w:rFonts w:ascii="Times New Roman" w:hAnsi="Times New Roman" w:eastAsia="宋体" w:cs="Times New Roman"/>
      <w:b/>
      <w:kern w:val="0"/>
      <w:sz w:val="28"/>
      <w:szCs w:val="20"/>
    </w:rPr>
  </w:style>
  <w:style w:type="character" w:customStyle="1" w:styleId="69">
    <w:name w:val="标题 6 Char"/>
    <w:basedOn w:val="46"/>
    <w:link w:val="8"/>
    <w:semiHidden/>
    <w:qFormat/>
    <w:uiPriority w:val="0"/>
    <w:rPr>
      <w:rFonts w:ascii="Arial" w:hAnsi="Arial" w:eastAsia="黑体" w:cs="Times New Roman"/>
      <w:b/>
      <w:kern w:val="0"/>
      <w:sz w:val="24"/>
      <w:szCs w:val="20"/>
    </w:rPr>
  </w:style>
  <w:style w:type="character" w:customStyle="1" w:styleId="70">
    <w:name w:val="标题 7 Char"/>
    <w:basedOn w:val="46"/>
    <w:link w:val="9"/>
    <w:semiHidden/>
    <w:qFormat/>
    <w:uiPriority w:val="99"/>
    <w:rPr>
      <w:rFonts w:ascii="Times New Roman" w:hAnsi="Times New Roman" w:eastAsia="宋体" w:cs="Times New Roman"/>
      <w:b/>
      <w:kern w:val="0"/>
      <w:sz w:val="24"/>
      <w:szCs w:val="20"/>
    </w:rPr>
  </w:style>
  <w:style w:type="character" w:customStyle="1" w:styleId="71">
    <w:name w:val="标题 8 Char"/>
    <w:basedOn w:val="46"/>
    <w:link w:val="10"/>
    <w:semiHidden/>
    <w:qFormat/>
    <w:uiPriority w:val="99"/>
    <w:rPr>
      <w:rFonts w:ascii="Arial" w:hAnsi="Arial" w:eastAsia="黑体" w:cs="Times New Roman"/>
      <w:kern w:val="0"/>
      <w:sz w:val="24"/>
      <w:szCs w:val="20"/>
    </w:rPr>
  </w:style>
  <w:style w:type="character" w:customStyle="1" w:styleId="72">
    <w:name w:val="标题 9 Char"/>
    <w:basedOn w:val="46"/>
    <w:link w:val="11"/>
    <w:semiHidden/>
    <w:qFormat/>
    <w:uiPriority w:val="99"/>
    <w:rPr>
      <w:rFonts w:ascii="Arial" w:hAnsi="Arial" w:eastAsia="黑体" w:cs="Times New Roman"/>
      <w:kern w:val="0"/>
      <w:szCs w:val="20"/>
    </w:rPr>
  </w:style>
  <w:style w:type="character" w:customStyle="1" w:styleId="73">
    <w:name w:val="正文文本 Char"/>
    <w:basedOn w:val="46"/>
    <w:link w:val="17"/>
    <w:semiHidden/>
    <w:qFormat/>
    <w:uiPriority w:val="99"/>
    <w:rPr>
      <w:rFonts w:ascii="Times New Roman" w:hAnsi="Times New Roman" w:eastAsia="宋体" w:cs="Times New Roman"/>
      <w:szCs w:val="24"/>
    </w:rPr>
  </w:style>
  <w:style w:type="character" w:customStyle="1" w:styleId="74">
    <w:name w:val="HTML 预设格式 Char"/>
    <w:basedOn w:val="46"/>
    <w:link w:val="36"/>
    <w:semiHidden/>
    <w:qFormat/>
    <w:uiPriority w:val="0"/>
    <w:rPr>
      <w:rFonts w:ascii="宋体" w:hAnsi="宋体" w:eastAsia="宋体" w:cs="宋体"/>
      <w:kern w:val="0"/>
      <w:sz w:val="24"/>
      <w:szCs w:val="24"/>
    </w:rPr>
  </w:style>
  <w:style w:type="character" w:customStyle="1" w:styleId="75">
    <w:name w:val="正文缩进 Char1"/>
    <w:link w:val="2"/>
    <w:qFormat/>
    <w:locked/>
    <w:uiPriority w:val="0"/>
    <w:rPr>
      <w:rFonts w:ascii="宋体" w:hAnsi="Times New Roman" w:eastAsia="宋体" w:cs="Times New Roman"/>
      <w:sz w:val="24"/>
      <w:szCs w:val="24"/>
    </w:rPr>
  </w:style>
  <w:style w:type="character" w:customStyle="1" w:styleId="76">
    <w:name w:val="正文文本缩进 Char"/>
    <w:basedOn w:val="46"/>
    <w:semiHidden/>
    <w:qFormat/>
    <w:uiPriority w:val="0"/>
    <w:rPr>
      <w:rFonts w:ascii="Times New Roman" w:hAnsi="Times New Roman" w:eastAsia="宋体" w:cs="Times New Roman"/>
      <w:szCs w:val="20"/>
    </w:rPr>
  </w:style>
  <w:style w:type="character" w:customStyle="1" w:styleId="77">
    <w:name w:val="日期 Char"/>
    <w:basedOn w:val="46"/>
    <w:link w:val="25"/>
    <w:semiHidden/>
    <w:qFormat/>
    <w:uiPriority w:val="99"/>
    <w:rPr>
      <w:rFonts w:ascii="仿宋_GB2312" w:hAnsi="宋体" w:eastAsia="仿宋_GB2312" w:cs="Times New Roman"/>
      <w:color w:val="000000"/>
      <w:sz w:val="24"/>
      <w:szCs w:val="24"/>
    </w:rPr>
  </w:style>
  <w:style w:type="character" w:customStyle="1" w:styleId="78">
    <w:name w:val="正文首行缩进 Char"/>
    <w:basedOn w:val="73"/>
    <w:link w:val="41"/>
    <w:semiHidden/>
    <w:uiPriority w:val="99"/>
    <w:rPr>
      <w:rFonts w:ascii="Times New Roman" w:hAnsi="Times New Roman" w:eastAsia="仿宋" w:cs="Times New Roman"/>
      <w:sz w:val="28"/>
      <w:szCs w:val="24"/>
    </w:rPr>
  </w:style>
  <w:style w:type="character" w:customStyle="1" w:styleId="79">
    <w:name w:val="正文首行缩进 2 Char"/>
    <w:basedOn w:val="76"/>
    <w:link w:val="42"/>
    <w:semiHidden/>
    <w:qFormat/>
    <w:uiPriority w:val="99"/>
    <w:rPr>
      <w:rFonts w:ascii="Times New Roman" w:hAnsi="Times New Roman" w:eastAsia="宋体" w:cs="Times New Roman"/>
      <w:sz w:val="24"/>
      <w:szCs w:val="20"/>
    </w:rPr>
  </w:style>
  <w:style w:type="character" w:customStyle="1" w:styleId="80">
    <w:name w:val="正文文本 3 Char"/>
    <w:basedOn w:val="46"/>
    <w:link w:val="16"/>
    <w:semiHidden/>
    <w:qFormat/>
    <w:uiPriority w:val="99"/>
    <w:rPr>
      <w:rFonts w:ascii="Times New Roman" w:hAnsi="Times New Roman" w:eastAsia="宋体" w:cs="Times New Roman"/>
      <w:sz w:val="16"/>
      <w:szCs w:val="16"/>
    </w:rPr>
  </w:style>
  <w:style w:type="character" w:customStyle="1" w:styleId="81">
    <w:name w:val="正文文本缩进 2 Char"/>
    <w:basedOn w:val="46"/>
    <w:link w:val="26"/>
    <w:semiHidden/>
    <w:qFormat/>
    <w:uiPriority w:val="99"/>
    <w:rPr>
      <w:rFonts w:ascii="仿宋_GB2312" w:hAnsi="Times New Roman" w:eastAsia="仿宋_GB2312" w:cs="Times New Roman"/>
      <w:sz w:val="24"/>
      <w:szCs w:val="24"/>
    </w:rPr>
  </w:style>
  <w:style w:type="character" w:customStyle="1" w:styleId="82">
    <w:name w:val="正文文本缩进 3 Char"/>
    <w:basedOn w:val="46"/>
    <w:link w:val="33"/>
    <w:semiHidden/>
    <w:qFormat/>
    <w:uiPriority w:val="99"/>
    <w:rPr>
      <w:rFonts w:ascii="宋体" w:hAnsi="Times New Roman" w:eastAsia="宋体" w:cs="Times New Roman"/>
      <w:kern w:val="0"/>
      <w:sz w:val="24"/>
      <w:szCs w:val="20"/>
    </w:rPr>
  </w:style>
  <w:style w:type="character" w:customStyle="1" w:styleId="83">
    <w:name w:val="文档结构图 Char"/>
    <w:basedOn w:val="46"/>
    <w:link w:val="14"/>
    <w:semiHidden/>
    <w:qFormat/>
    <w:uiPriority w:val="99"/>
    <w:rPr>
      <w:rFonts w:ascii="Times New Roman" w:hAnsi="Times New Roman" w:eastAsia="宋体" w:cs="Times New Roman"/>
      <w:szCs w:val="24"/>
      <w:shd w:val="clear" w:color="auto" w:fill="000080"/>
    </w:rPr>
  </w:style>
  <w:style w:type="character" w:customStyle="1" w:styleId="84">
    <w:name w:val="批注主题 Char"/>
    <w:basedOn w:val="58"/>
    <w:link w:val="40"/>
    <w:semiHidden/>
    <w:qFormat/>
    <w:uiPriority w:val="99"/>
    <w:rPr>
      <w:rFonts w:ascii="Times New Roman" w:hAnsi="Times New Roman" w:eastAsia="宋体" w:cs="Times New Roman"/>
      <w:b/>
      <w:bCs/>
      <w:sz w:val="24"/>
      <w:szCs w:val="24"/>
    </w:rPr>
  </w:style>
  <w:style w:type="character" w:customStyle="1" w:styleId="85">
    <w:name w:val="批注框文本 Char"/>
    <w:basedOn w:val="46"/>
    <w:link w:val="27"/>
    <w:semiHidden/>
    <w:qFormat/>
    <w:uiPriority w:val="99"/>
    <w:rPr>
      <w:rFonts w:ascii="Times New Roman" w:hAnsi="Times New Roman" w:eastAsia="宋体" w:cs="Times New Roman"/>
      <w:sz w:val="18"/>
      <w:szCs w:val="18"/>
    </w:rPr>
  </w:style>
  <w:style w:type="paragraph" w:styleId="86">
    <w:name w:val="No Spacing"/>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87">
    <w:name w:val="Revision"/>
    <w:semiHidden/>
    <w:qFormat/>
    <w:uiPriority w:val="99"/>
    <w:rPr>
      <w:rFonts w:ascii="Times New Roman" w:hAnsi="Times New Roman" w:eastAsia="宋体" w:cs="Times New Roman"/>
      <w:kern w:val="2"/>
      <w:sz w:val="21"/>
      <w:szCs w:val="24"/>
      <w:lang w:val="en-US" w:eastAsia="zh-CN" w:bidi="ar-SA"/>
    </w:rPr>
  </w:style>
  <w:style w:type="character" w:customStyle="1" w:styleId="88">
    <w:name w:val="列出段落 Char1"/>
    <w:link w:val="89"/>
    <w:qFormat/>
    <w:locked/>
    <w:uiPriority w:val="34"/>
    <w:rPr>
      <w:rFonts w:ascii="Calibri" w:hAnsi="Calibri" w:cs="Calibri"/>
    </w:rPr>
  </w:style>
  <w:style w:type="paragraph" w:styleId="89">
    <w:name w:val="List Paragraph"/>
    <w:basedOn w:val="1"/>
    <w:link w:val="88"/>
    <w:qFormat/>
    <w:uiPriority w:val="34"/>
    <w:pPr>
      <w:ind w:firstLine="420" w:firstLineChars="200"/>
    </w:pPr>
    <w:rPr>
      <w:rFonts w:ascii="Calibri" w:hAnsi="Calibri" w:cs="Calibri" w:eastAsiaTheme="minorEastAsia"/>
      <w:szCs w:val="22"/>
    </w:rPr>
  </w:style>
  <w:style w:type="character" w:customStyle="1" w:styleId="90">
    <w:name w:val="正文小标题 Char"/>
    <w:link w:val="91"/>
    <w:qFormat/>
    <w:locked/>
    <w:uiPriority w:val="0"/>
    <w:rPr>
      <w:rFonts w:ascii="宋体" w:hAnsi="宋体" w:eastAsia="宋体"/>
      <w:b/>
      <w:i/>
      <w:color w:val="FF0000"/>
      <w:sz w:val="24"/>
    </w:rPr>
  </w:style>
  <w:style w:type="paragraph" w:customStyle="1" w:styleId="91">
    <w:name w:val="正文小标题"/>
    <w:basedOn w:val="1"/>
    <w:next w:val="2"/>
    <w:link w:val="90"/>
    <w:qFormat/>
    <w:uiPriority w:val="0"/>
    <w:pPr>
      <w:adjustRightInd w:val="0"/>
      <w:snapToGrid w:val="0"/>
      <w:spacing w:beforeLines="100"/>
      <w:ind w:firstLine="482"/>
      <w:jc w:val="left"/>
    </w:pPr>
    <w:rPr>
      <w:rFonts w:ascii="宋体" w:hAnsi="宋体" w:cstheme="minorBidi"/>
      <w:b/>
      <w:i/>
      <w:color w:val="FF0000"/>
      <w:sz w:val="24"/>
      <w:szCs w:val="22"/>
    </w:rPr>
  </w:style>
  <w:style w:type="character" w:customStyle="1" w:styleId="92">
    <w:name w:val="正文缩进 Char Char"/>
    <w:link w:val="93"/>
    <w:qFormat/>
    <w:locked/>
    <w:uiPriority w:val="0"/>
    <w:rPr>
      <w:rFonts w:ascii="宋体" w:hAnsi="宋体" w:eastAsia="宋体"/>
      <w:color w:val="000000"/>
      <w:kern w:val="28"/>
      <w:sz w:val="28"/>
    </w:rPr>
  </w:style>
  <w:style w:type="paragraph" w:customStyle="1" w:styleId="93">
    <w:name w:val="正文缩进1"/>
    <w:basedOn w:val="1"/>
    <w:link w:val="92"/>
    <w:qFormat/>
    <w:uiPriority w:val="0"/>
    <w:pPr>
      <w:widowControl/>
      <w:adjustRightInd w:val="0"/>
      <w:snapToGrid w:val="0"/>
      <w:spacing w:line="480" w:lineRule="exact"/>
      <w:ind w:firstLine="567"/>
    </w:pPr>
    <w:rPr>
      <w:rFonts w:ascii="宋体" w:hAnsi="宋体" w:cstheme="minorBidi"/>
      <w:color w:val="000000"/>
      <w:kern w:val="28"/>
      <w:sz w:val="28"/>
      <w:szCs w:val="22"/>
    </w:rPr>
  </w:style>
  <w:style w:type="character" w:customStyle="1" w:styleId="94">
    <w:name w:val="正文文本缩进 Char1"/>
    <w:link w:val="95"/>
    <w:qFormat/>
    <w:locked/>
    <w:uiPriority w:val="0"/>
    <w:rPr>
      <w:rFonts w:ascii="宋体" w:hAnsi="宋体" w:eastAsia="宋体"/>
      <w:sz w:val="24"/>
      <w:szCs w:val="24"/>
    </w:rPr>
  </w:style>
  <w:style w:type="paragraph" w:customStyle="1" w:styleId="95">
    <w:name w:val="正文文本缩进1"/>
    <w:basedOn w:val="1"/>
    <w:link w:val="94"/>
    <w:qFormat/>
    <w:uiPriority w:val="0"/>
    <w:pPr>
      <w:spacing w:line="480" w:lineRule="exact"/>
      <w:ind w:firstLine="480" w:firstLineChars="200"/>
    </w:pPr>
    <w:rPr>
      <w:rFonts w:ascii="宋体" w:hAnsi="宋体" w:cstheme="minorBidi"/>
      <w:sz w:val="24"/>
      <w:szCs w:val="24"/>
    </w:rPr>
  </w:style>
  <w:style w:type="character" w:customStyle="1" w:styleId="96">
    <w:name w:val="注释 Char"/>
    <w:link w:val="97"/>
    <w:qFormat/>
    <w:locked/>
    <w:uiPriority w:val="0"/>
    <w:rPr>
      <w:rFonts w:ascii="宋体" w:hAnsi="宋体" w:eastAsia="宋体"/>
      <w:szCs w:val="21"/>
    </w:rPr>
  </w:style>
  <w:style w:type="paragraph" w:customStyle="1" w:styleId="97">
    <w:name w:val="注释"/>
    <w:basedOn w:val="1"/>
    <w:link w:val="96"/>
    <w:qFormat/>
    <w:uiPriority w:val="0"/>
    <w:pPr>
      <w:adjustRightInd w:val="0"/>
      <w:snapToGrid w:val="0"/>
      <w:ind w:left="420" w:hanging="420" w:hangingChars="200"/>
      <w:jc w:val="left"/>
    </w:pPr>
    <w:rPr>
      <w:rFonts w:ascii="宋体" w:hAnsi="宋体" w:cstheme="minorBidi"/>
      <w:szCs w:val="21"/>
    </w:rPr>
  </w:style>
  <w:style w:type="character" w:customStyle="1" w:styleId="98">
    <w:name w:val="正文大标题 Char"/>
    <w:link w:val="99"/>
    <w:qFormat/>
    <w:locked/>
    <w:uiPriority w:val="0"/>
    <w:rPr>
      <w:rFonts w:ascii="宋体" w:hAnsi="宋体" w:eastAsia="宋体"/>
      <w:b/>
      <w:color w:val="000000"/>
      <w:sz w:val="28"/>
      <w:szCs w:val="21"/>
    </w:rPr>
  </w:style>
  <w:style w:type="paragraph" w:customStyle="1" w:styleId="99">
    <w:name w:val="正文大标题"/>
    <w:basedOn w:val="91"/>
    <w:next w:val="2"/>
    <w:link w:val="98"/>
    <w:qFormat/>
    <w:uiPriority w:val="0"/>
    <w:pPr>
      <w:jc w:val="center"/>
    </w:pPr>
    <w:rPr>
      <w:i w:val="0"/>
      <w:color w:val="000000"/>
      <w:sz w:val="28"/>
      <w:szCs w:val="21"/>
    </w:rPr>
  </w:style>
  <w:style w:type="character" w:customStyle="1" w:styleId="100">
    <w:name w:val="正文格式 Char"/>
    <w:link w:val="101"/>
    <w:qFormat/>
    <w:locked/>
    <w:uiPriority w:val="0"/>
    <w:rPr>
      <w:rFonts w:ascii="宋体" w:hAnsi="宋体" w:eastAsia="宋体"/>
      <w:sz w:val="24"/>
      <w:szCs w:val="24"/>
      <w:lang w:val="en-GB"/>
    </w:rPr>
  </w:style>
  <w:style w:type="paragraph" w:customStyle="1" w:styleId="101">
    <w:name w:val="正文格式"/>
    <w:basedOn w:val="1"/>
    <w:link w:val="100"/>
    <w:qFormat/>
    <w:uiPriority w:val="0"/>
    <w:pPr>
      <w:spacing w:beforeLines="50" w:line="360" w:lineRule="auto"/>
      <w:ind w:firstLine="480" w:firstLineChars="200"/>
    </w:pPr>
    <w:rPr>
      <w:rFonts w:ascii="宋体" w:hAnsi="宋体" w:cstheme="minorBidi"/>
      <w:sz w:val="24"/>
      <w:szCs w:val="24"/>
      <w:lang w:val="en-GB"/>
    </w:rPr>
  </w:style>
  <w:style w:type="character" w:customStyle="1" w:styleId="102">
    <w:name w:val="正文表格 Char"/>
    <w:link w:val="103"/>
    <w:qFormat/>
    <w:locked/>
    <w:uiPriority w:val="0"/>
    <w:rPr>
      <w:rFonts w:ascii="宋体" w:hAnsi="宋体" w:eastAsia="宋体"/>
      <w:color w:val="000000"/>
      <w:szCs w:val="21"/>
    </w:rPr>
  </w:style>
  <w:style w:type="paragraph" w:customStyle="1" w:styleId="103">
    <w:name w:val="正文表格"/>
    <w:basedOn w:val="1"/>
    <w:link w:val="102"/>
    <w:qFormat/>
    <w:uiPriority w:val="0"/>
    <w:pPr>
      <w:adjustRightInd w:val="0"/>
      <w:snapToGrid w:val="0"/>
      <w:jc w:val="left"/>
    </w:pPr>
    <w:rPr>
      <w:rFonts w:ascii="宋体" w:hAnsi="宋体" w:cstheme="minorBidi"/>
      <w:color w:val="000000"/>
      <w:szCs w:val="21"/>
    </w:rPr>
  </w:style>
  <w:style w:type="character" w:customStyle="1" w:styleId="104">
    <w:name w:val="中等深浅网格 1 - 强调文字颜色 2 Char"/>
    <w:link w:val="105"/>
    <w:qFormat/>
    <w:locked/>
    <w:uiPriority w:val="0"/>
    <w:rPr>
      <w:szCs w:val="24"/>
      <w:lang w:val="zh-CN"/>
    </w:rPr>
  </w:style>
  <w:style w:type="paragraph" w:customStyle="1" w:styleId="105">
    <w:name w:val="1"/>
    <w:link w:val="104"/>
    <w:qFormat/>
    <w:uiPriority w:val="0"/>
    <w:rPr>
      <w:rFonts w:asciiTheme="minorHAnsi" w:hAnsiTheme="minorHAnsi" w:eastAsiaTheme="minorEastAsia" w:cstheme="minorBidi"/>
      <w:kern w:val="2"/>
      <w:sz w:val="21"/>
      <w:szCs w:val="24"/>
      <w:lang w:val="zh-CN" w:eastAsia="zh-CN" w:bidi="ar-SA"/>
    </w:rPr>
  </w:style>
  <w:style w:type="character" w:customStyle="1" w:styleId="106">
    <w:name w:val="正文重点 Char"/>
    <w:link w:val="107"/>
    <w:qFormat/>
    <w:locked/>
    <w:uiPriority w:val="0"/>
    <w:rPr>
      <w:b/>
      <w:sz w:val="24"/>
    </w:rPr>
  </w:style>
  <w:style w:type="paragraph" w:customStyle="1" w:styleId="107">
    <w:name w:val="正文重点"/>
    <w:basedOn w:val="1"/>
    <w:link w:val="106"/>
    <w:qFormat/>
    <w:uiPriority w:val="0"/>
    <w:pPr>
      <w:adjustRightInd w:val="0"/>
      <w:spacing w:line="360" w:lineRule="auto"/>
      <w:ind w:firstLine="482" w:firstLineChars="200"/>
      <w:jc w:val="left"/>
    </w:pPr>
    <w:rPr>
      <w:rFonts w:asciiTheme="minorHAnsi" w:hAnsiTheme="minorHAnsi" w:eastAsiaTheme="minorEastAsia" w:cstheme="minorBidi"/>
      <w:b/>
      <w:sz w:val="24"/>
      <w:szCs w:val="22"/>
    </w:rPr>
  </w:style>
  <w:style w:type="paragraph" w:customStyle="1" w:styleId="108">
    <w:name w:val="正文文本样式"/>
    <w:basedOn w:val="1"/>
    <w:qFormat/>
    <w:uiPriority w:val="99"/>
    <w:pPr>
      <w:spacing w:line="360" w:lineRule="auto"/>
      <w:ind w:firstLine="482"/>
    </w:pPr>
    <w:rPr>
      <w:rFonts w:cs="宋体"/>
      <w:sz w:val="24"/>
    </w:rPr>
  </w:style>
  <w:style w:type="paragraph" w:customStyle="1" w:styleId="109">
    <w:name w:val="Char1"/>
    <w:basedOn w:val="1"/>
    <w:qFormat/>
    <w:uiPriority w:val="99"/>
    <w:pPr>
      <w:tabs>
        <w:tab w:val="left" w:pos="360"/>
      </w:tabs>
    </w:pPr>
    <w:rPr>
      <w:sz w:val="24"/>
      <w:szCs w:val="24"/>
    </w:rPr>
  </w:style>
  <w:style w:type="paragraph" w:customStyle="1" w:styleId="110">
    <w:name w:val="Char Char Char Char Char Char Char2"/>
    <w:basedOn w:val="1"/>
    <w:qFormat/>
    <w:uiPriority w:val="99"/>
    <w:pPr>
      <w:snapToGrid w:val="0"/>
      <w:spacing w:line="360" w:lineRule="auto"/>
      <w:ind w:firstLine="200" w:firstLineChars="200"/>
    </w:pPr>
    <w:rPr>
      <w:rFonts w:eastAsia="仿宋_GB2312"/>
      <w:sz w:val="24"/>
      <w:szCs w:val="24"/>
    </w:rPr>
  </w:style>
  <w:style w:type="paragraph" w:customStyle="1" w:styleId="111">
    <w:name w:val="xl41"/>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112">
    <w:name w:val="xl5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0"/>
    </w:rPr>
  </w:style>
  <w:style w:type="paragraph" w:customStyle="1" w:styleId="113">
    <w:name w:val="Char Char Char1 Char2"/>
    <w:basedOn w:val="1"/>
    <w:qFormat/>
    <w:uiPriority w:val="99"/>
    <w:rPr>
      <w:rFonts w:ascii="Tahoma" w:hAnsi="Tahoma"/>
      <w:sz w:val="24"/>
    </w:rPr>
  </w:style>
  <w:style w:type="paragraph" w:customStyle="1" w:styleId="114">
    <w:name w:val="xl36"/>
    <w:basedOn w:val="1"/>
    <w:qFormat/>
    <w:uiPriority w:val="99"/>
    <w:pPr>
      <w:widowControl/>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115">
    <w:name w:val="Char3 Char Char Char2"/>
    <w:basedOn w:val="1"/>
    <w:qFormat/>
    <w:uiPriority w:val="99"/>
    <w:rPr>
      <w:rFonts w:ascii="Tahoma" w:hAnsi="Tahoma"/>
      <w:sz w:val="24"/>
    </w:rPr>
  </w:style>
  <w:style w:type="paragraph" w:customStyle="1" w:styleId="116">
    <w:name w:val="标题1-附件"/>
    <w:basedOn w:val="3"/>
    <w:qFormat/>
    <w:uiPriority w:val="99"/>
    <w:pPr>
      <w:jc w:val="left"/>
    </w:pPr>
    <w:rPr>
      <w:sz w:val="24"/>
      <w:szCs w:val="24"/>
    </w:rPr>
  </w:style>
  <w:style w:type="paragraph" w:customStyle="1" w:styleId="117">
    <w:name w:val="章标题"/>
    <w:next w:val="1"/>
    <w:qFormat/>
    <w:uiPriority w:val="99"/>
    <w:pPr>
      <w:spacing w:beforeLines="50" w:line="460" w:lineRule="exact"/>
      <w:jc w:val="both"/>
      <w:outlineLvl w:val="0"/>
    </w:pPr>
    <w:rPr>
      <w:rFonts w:ascii="黑体" w:hAnsi="Times New Roman" w:eastAsia="黑体" w:cs="Times New Roman"/>
      <w:b/>
      <w:kern w:val="0"/>
      <w:sz w:val="28"/>
      <w:szCs w:val="20"/>
      <w:lang w:val="en-US" w:eastAsia="zh-CN" w:bidi="ar-SA"/>
    </w:rPr>
  </w:style>
  <w:style w:type="paragraph" w:customStyle="1" w:styleId="118">
    <w:name w:val="无标题条"/>
    <w:next w:val="1"/>
    <w:qFormat/>
    <w:uiPriority w:val="99"/>
    <w:pPr>
      <w:jc w:val="both"/>
    </w:pPr>
    <w:rPr>
      <w:rFonts w:ascii="Times New Roman" w:hAnsi="Times New Roman" w:eastAsia="宋体" w:cs="Times New Roman"/>
      <w:kern w:val="0"/>
      <w:sz w:val="21"/>
      <w:szCs w:val="20"/>
      <w:lang w:val="en-US" w:eastAsia="zh-CN" w:bidi="ar-SA"/>
    </w:rPr>
  </w:style>
  <w:style w:type="paragraph" w:customStyle="1" w:styleId="119">
    <w:name w:val="Char3 Char Char Char1"/>
    <w:basedOn w:val="1"/>
    <w:qFormat/>
    <w:uiPriority w:val="99"/>
    <w:rPr>
      <w:rFonts w:ascii="Tahoma" w:hAnsi="Tahoma"/>
      <w:sz w:val="24"/>
    </w:rPr>
  </w:style>
  <w:style w:type="paragraph" w:customStyle="1" w:styleId="120">
    <w:name w:val="font7"/>
    <w:basedOn w:val="1"/>
    <w:qFormat/>
    <w:uiPriority w:val="99"/>
    <w:pPr>
      <w:widowControl/>
      <w:spacing w:before="100" w:beforeAutospacing="1" w:after="100" w:afterAutospacing="1"/>
      <w:jc w:val="left"/>
    </w:pPr>
    <w:rPr>
      <w:rFonts w:eastAsia="Arial Unicode MS"/>
      <w:b/>
      <w:bCs/>
      <w:color w:val="000000"/>
      <w:kern w:val="0"/>
      <w:sz w:val="20"/>
    </w:rPr>
  </w:style>
  <w:style w:type="paragraph" w:customStyle="1" w:styleId="121">
    <w:name w:val="正文列项_字母"/>
    <w:basedOn w:val="1"/>
    <w:qFormat/>
    <w:uiPriority w:val="99"/>
    <w:pPr>
      <w:autoSpaceDE w:val="0"/>
      <w:autoSpaceDN w:val="0"/>
      <w:spacing w:line="460" w:lineRule="exact"/>
      <w:ind w:left="480" w:leftChars="300" w:hanging="180" w:hangingChars="180"/>
      <w:outlineLvl w:val="6"/>
    </w:pPr>
    <w:rPr>
      <w:rFonts w:ascii="宋体"/>
      <w:kern w:val="0"/>
      <w:sz w:val="28"/>
    </w:rPr>
  </w:style>
  <w:style w:type="paragraph" w:customStyle="1" w:styleId="122">
    <w:name w:val="1名"/>
    <w:basedOn w:val="1"/>
    <w:qFormat/>
    <w:uiPriority w:val="99"/>
    <w:pPr>
      <w:tabs>
        <w:tab w:val="left" w:pos="360"/>
      </w:tabs>
      <w:spacing w:before="120"/>
      <w:ind w:left="360" w:hanging="360"/>
    </w:pPr>
    <w:rPr>
      <w:rFonts w:ascii="宋体"/>
      <w:sz w:val="28"/>
    </w:rPr>
  </w:style>
  <w:style w:type="paragraph" w:customStyle="1" w:styleId="123">
    <w:name w:val="Char Char Char1 Char1"/>
    <w:basedOn w:val="1"/>
    <w:qFormat/>
    <w:uiPriority w:val="99"/>
    <w:rPr>
      <w:rFonts w:ascii="Tahoma" w:hAnsi="Tahoma"/>
      <w:sz w:val="24"/>
    </w:rPr>
  </w:style>
  <w:style w:type="paragraph" w:customStyle="1" w:styleId="124">
    <w:name w:val="正文须知-3级"/>
    <w:basedOn w:val="1"/>
    <w:qFormat/>
    <w:uiPriority w:val="99"/>
    <w:pPr>
      <w:adjustRightInd w:val="0"/>
      <w:snapToGrid w:val="0"/>
      <w:spacing w:line="300" w:lineRule="auto"/>
      <w:ind w:left="851" w:hanging="355" w:hangingChars="355"/>
    </w:pPr>
    <w:rPr>
      <w:rFonts w:ascii="宋体" w:hAnsi="Calibri"/>
      <w:sz w:val="24"/>
      <w:szCs w:val="21"/>
    </w:rPr>
  </w:style>
  <w:style w:type="paragraph" w:customStyle="1" w:styleId="125">
    <w:name w:val="xl47"/>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126">
    <w:name w:val="xl4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27">
    <w:name w:val="Char3 Char Char Char"/>
    <w:basedOn w:val="1"/>
    <w:qFormat/>
    <w:uiPriority w:val="99"/>
    <w:rPr>
      <w:rFonts w:ascii="Tahoma" w:hAnsi="Tahoma"/>
      <w:sz w:val="24"/>
    </w:rPr>
  </w:style>
  <w:style w:type="paragraph" w:customStyle="1" w:styleId="128">
    <w:name w:val="xl3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rPr>
  </w:style>
  <w:style w:type="paragraph" w:customStyle="1" w:styleId="129">
    <w:name w:val="项目编号1"/>
    <w:basedOn w:val="1"/>
    <w:qFormat/>
    <w:uiPriority w:val="99"/>
    <w:pPr>
      <w:spacing w:before="100" w:beforeAutospacing="1" w:after="100" w:afterAutospacing="1" w:line="360" w:lineRule="auto"/>
      <w:ind w:left="420" w:hanging="420"/>
    </w:pPr>
    <w:rPr>
      <w:sz w:val="24"/>
      <w:szCs w:val="24"/>
    </w:rPr>
  </w:style>
  <w:style w:type="paragraph" w:customStyle="1" w:styleId="130">
    <w:name w:val="font6"/>
    <w:basedOn w:val="1"/>
    <w:qFormat/>
    <w:uiPriority w:val="99"/>
    <w:pPr>
      <w:widowControl/>
      <w:spacing w:before="100" w:beforeAutospacing="1" w:after="100" w:afterAutospacing="1"/>
      <w:jc w:val="left"/>
    </w:pPr>
    <w:rPr>
      <w:rFonts w:ascii="宋体" w:hAnsi="宋体" w:cs="宋体"/>
      <w:kern w:val="0"/>
      <w:sz w:val="20"/>
    </w:rPr>
  </w:style>
  <w:style w:type="paragraph" w:customStyle="1" w:styleId="131">
    <w:name w:val="xl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132">
    <w:name w:val="Char Char Char1"/>
    <w:basedOn w:val="1"/>
    <w:qFormat/>
    <w:uiPriority w:val="99"/>
    <w:rPr>
      <w:rFonts w:ascii="Tahoma" w:hAnsi="Tahoma"/>
      <w:sz w:val="24"/>
    </w:rPr>
  </w:style>
  <w:style w:type="paragraph" w:customStyle="1" w:styleId="133">
    <w:name w:val="项目编号2"/>
    <w:basedOn w:val="129"/>
    <w:qFormat/>
    <w:uiPriority w:val="99"/>
    <w:pPr>
      <w:ind w:left="0" w:firstLine="0"/>
    </w:pPr>
  </w:style>
  <w:style w:type="paragraph" w:customStyle="1" w:styleId="134">
    <w:name w:val="Char22"/>
    <w:basedOn w:val="1"/>
    <w:qFormat/>
    <w:uiPriority w:val="99"/>
    <w:rPr>
      <w:rFonts w:ascii="Tahoma" w:hAnsi="Tahoma"/>
      <w:sz w:val="24"/>
    </w:rPr>
  </w:style>
  <w:style w:type="paragraph" w:customStyle="1" w:styleId="135">
    <w:name w:val="xl2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136">
    <w:name w:val="List Paragraph1"/>
    <w:basedOn w:val="1"/>
    <w:qFormat/>
    <w:uiPriority w:val="99"/>
    <w:pPr>
      <w:ind w:firstLine="420" w:firstLineChars="200"/>
    </w:pPr>
    <w:rPr>
      <w:rFonts w:ascii="Calibri" w:hAnsi="Calibri"/>
      <w:szCs w:val="22"/>
    </w:rPr>
  </w:style>
  <w:style w:type="paragraph" w:customStyle="1" w:styleId="137">
    <w:name w:val="xl4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rPr>
  </w:style>
  <w:style w:type="paragraph" w:customStyle="1" w:styleId="138">
    <w:name w:val="Char Char Char Char Char Char Char Char Char Char1"/>
    <w:basedOn w:val="1"/>
    <w:qFormat/>
    <w:uiPriority w:val="99"/>
    <w:rPr>
      <w:rFonts w:ascii="宋体" w:hAnsi="宋体" w:cs="Courier New"/>
      <w:sz w:val="32"/>
      <w:szCs w:val="32"/>
    </w:rPr>
  </w:style>
  <w:style w:type="paragraph" w:customStyle="1" w:styleId="139">
    <w:name w:val="Char Char1 Char Char Char Char Char Char"/>
    <w:basedOn w:val="1"/>
    <w:qFormat/>
    <w:uiPriority w:val="99"/>
    <w:pPr>
      <w:widowControl/>
      <w:spacing w:after="160" w:line="240" w:lineRule="exact"/>
      <w:jc w:val="left"/>
    </w:pPr>
    <w:rPr>
      <w:rFonts w:ascii="Verdana" w:hAnsi="Verdana" w:eastAsia="仿宋_GB2312"/>
      <w:kern w:val="0"/>
      <w:sz w:val="24"/>
      <w:lang w:eastAsia="en-US"/>
    </w:rPr>
  </w:style>
  <w:style w:type="paragraph" w:customStyle="1" w:styleId="140">
    <w:name w:val="表格1"/>
    <w:basedOn w:val="1"/>
    <w:qFormat/>
    <w:uiPriority w:val="99"/>
    <w:pPr>
      <w:ind w:firstLine="480" w:firstLineChars="200"/>
      <w:jc w:val="center"/>
    </w:pPr>
    <w:rPr>
      <w:sz w:val="24"/>
    </w:rPr>
  </w:style>
  <w:style w:type="paragraph" w:customStyle="1" w:styleId="141">
    <w:name w:val="Char Char Char Char Char Char Char"/>
    <w:basedOn w:val="1"/>
    <w:qFormat/>
    <w:uiPriority w:val="99"/>
    <w:pPr>
      <w:snapToGrid w:val="0"/>
      <w:spacing w:line="360" w:lineRule="auto"/>
      <w:ind w:firstLine="200" w:firstLineChars="200"/>
    </w:pPr>
    <w:rPr>
      <w:rFonts w:eastAsia="仿宋_GB2312"/>
      <w:sz w:val="24"/>
      <w:szCs w:val="24"/>
    </w:rPr>
  </w:style>
  <w:style w:type="paragraph" w:customStyle="1" w:styleId="142">
    <w:name w:val="正文须知-1级"/>
    <w:basedOn w:val="1"/>
    <w:next w:val="1"/>
    <w:qFormat/>
    <w:uiPriority w:val="99"/>
    <w:pPr>
      <w:adjustRightInd w:val="0"/>
      <w:snapToGrid w:val="0"/>
      <w:spacing w:line="300" w:lineRule="auto"/>
      <w:ind w:left="680" w:hanging="680"/>
    </w:pPr>
    <w:rPr>
      <w:rFonts w:ascii="宋体" w:hAnsi="Calibri"/>
      <w:sz w:val="24"/>
      <w:szCs w:val="21"/>
    </w:rPr>
  </w:style>
  <w:style w:type="paragraph" w:customStyle="1" w:styleId="143">
    <w:name w:val="Char Char Char Char Char Char Char Char Char Char Char Char Char Char Char Char1"/>
    <w:basedOn w:val="1"/>
    <w:qFormat/>
    <w:uiPriority w:val="99"/>
    <w:pPr>
      <w:widowControl/>
      <w:spacing w:after="160" w:line="240" w:lineRule="exact"/>
      <w:jc w:val="center"/>
    </w:pPr>
    <w:rPr>
      <w:rFonts w:ascii="宋体" w:hAnsi="宋体"/>
      <w:b/>
      <w:kern w:val="0"/>
      <w:sz w:val="30"/>
      <w:szCs w:val="30"/>
      <w:lang w:eastAsia="en-US"/>
    </w:rPr>
  </w:style>
  <w:style w:type="paragraph" w:customStyle="1" w:styleId="144">
    <w:name w:val="正文文本样式 加粗"/>
    <w:basedOn w:val="108"/>
    <w:qFormat/>
    <w:uiPriority w:val="99"/>
    <w:rPr>
      <w:b/>
    </w:rPr>
  </w:style>
  <w:style w:type="paragraph" w:customStyle="1" w:styleId="145">
    <w:name w:val="Char Char Char2"/>
    <w:basedOn w:val="1"/>
    <w:qFormat/>
    <w:uiPriority w:val="99"/>
    <w:rPr>
      <w:rFonts w:ascii="Tahoma" w:hAnsi="Tahoma"/>
      <w:sz w:val="24"/>
    </w:rPr>
  </w:style>
  <w:style w:type="paragraph" w:customStyle="1" w:styleId="146">
    <w:name w:val="xl3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eastAsia="Arial Unicode MS"/>
      <w:color w:val="000000"/>
      <w:kern w:val="0"/>
      <w:sz w:val="20"/>
    </w:rPr>
  </w:style>
  <w:style w:type="paragraph" w:customStyle="1" w:styleId="147">
    <w:name w:val="xl5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b/>
      <w:bCs/>
      <w:color w:val="000000"/>
      <w:kern w:val="0"/>
      <w:sz w:val="20"/>
    </w:rPr>
  </w:style>
  <w:style w:type="paragraph" w:customStyle="1" w:styleId="148">
    <w:name w:val="样式2"/>
    <w:basedOn w:val="38"/>
    <w:qFormat/>
    <w:uiPriority w:val="99"/>
    <w:pPr>
      <w:spacing w:line="360" w:lineRule="auto"/>
      <w:jc w:val="center"/>
    </w:pPr>
    <w:rPr>
      <w:sz w:val="24"/>
    </w:rPr>
  </w:style>
  <w:style w:type="paragraph" w:customStyle="1" w:styleId="149">
    <w:name w:val="样式 宋体 五号 行距: 单倍行距"/>
    <w:basedOn w:val="1"/>
    <w:qFormat/>
    <w:uiPriority w:val="99"/>
    <w:pPr>
      <w:adjustRightInd w:val="0"/>
      <w:jc w:val="left"/>
    </w:pPr>
    <w:rPr>
      <w:rFonts w:ascii="宋体" w:hAnsi="宋体"/>
      <w:kern w:val="0"/>
    </w:rPr>
  </w:style>
  <w:style w:type="paragraph" w:customStyle="1" w:styleId="150">
    <w:name w:val="Char Char Char Char Char Char Char Char Char Char"/>
    <w:basedOn w:val="1"/>
    <w:qFormat/>
    <w:uiPriority w:val="99"/>
    <w:rPr>
      <w:szCs w:val="24"/>
    </w:rPr>
  </w:style>
  <w:style w:type="paragraph" w:customStyle="1" w:styleId="151">
    <w:name w:val="xl4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152">
    <w:name w:val="xl3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color w:val="000000"/>
      <w:kern w:val="0"/>
      <w:sz w:val="20"/>
    </w:rPr>
  </w:style>
  <w:style w:type="paragraph" w:customStyle="1" w:styleId="153">
    <w:name w:val="正文列项_数字"/>
    <w:basedOn w:val="1"/>
    <w:qFormat/>
    <w:uiPriority w:val="99"/>
    <w:pPr>
      <w:autoSpaceDE w:val="0"/>
      <w:autoSpaceDN w:val="0"/>
      <w:spacing w:line="460" w:lineRule="exact"/>
      <w:ind w:left="680" w:leftChars="530" w:hanging="150" w:hangingChars="150"/>
      <w:outlineLvl w:val="7"/>
    </w:pPr>
    <w:rPr>
      <w:rFonts w:ascii="宋体"/>
      <w:kern w:val="0"/>
      <w:sz w:val="28"/>
    </w:rPr>
  </w:style>
  <w:style w:type="paragraph" w:customStyle="1" w:styleId="154">
    <w:name w:val="Char Char Char1 Char"/>
    <w:basedOn w:val="1"/>
    <w:qFormat/>
    <w:uiPriority w:val="99"/>
    <w:rPr>
      <w:rFonts w:ascii="Tahoma" w:hAnsi="Tahoma"/>
      <w:sz w:val="24"/>
    </w:rPr>
  </w:style>
  <w:style w:type="paragraph" w:customStyle="1" w:styleId="155">
    <w:name w:val="xl3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156">
    <w:name w:val="Char2 Char Char Char Char Char Char1"/>
    <w:basedOn w:val="1"/>
    <w:qFormat/>
    <w:uiPriority w:val="99"/>
    <w:pPr>
      <w:widowControl/>
      <w:spacing w:line="400" w:lineRule="exact"/>
      <w:jc w:val="center"/>
    </w:pPr>
    <w:rPr>
      <w:szCs w:val="24"/>
    </w:rPr>
  </w:style>
  <w:style w:type="paragraph" w:customStyle="1" w:styleId="157">
    <w:name w:val="xl5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58">
    <w:name w:val="正文 + 宋体"/>
    <w:basedOn w:val="1"/>
    <w:qFormat/>
    <w:uiPriority w:val="99"/>
    <w:pPr>
      <w:widowControl/>
      <w:ind w:left="360" w:hanging="360"/>
      <w:jc w:val="left"/>
    </w:pPr>
    <w:rPr>
      <w:rFonts w:ascii="宋体" w:hAnsi="宋体" w:cs="宋体"/>
      <w:b/>
      <w:bCs/>
      <w:color w:val="000000"/>
      <w:kern w:val="0"/>
      <w:sz w:val="18"/>
      <w:szCs w:val="18"/>
    </w:rPr>
  </w:style>
  <w:style w:type="paragraph" w:customStyle="1" w:styleId="159">
    <w:name w:val="Default"/>
    <w:qFormat/>
    <w:uiPriority w:val="99"/>
    <w:pPr>
      <w:widowControl w:val="0"/>
      <w:autoSpaceDE w:val="0"/>
      <w:autoSpaceDN w:val="0"/>
      <w:adjustRightInd w:val="0"/>
    </w:pPr>
    <w:rPr>
      <w:rFonts w:ascii="Symbol" w:hAnsi="Symbol" w:eastAsia="宋体" w:cs="Symbol"/>
      <w:color w:val="000000"/>
      <w:kern w:val="0"/>
      <w:sz w:val="24"/>
      <w:szCs w:val="24"/>
      <w:lang w:val="en-US" w:eastAsia="zh-CN" w:bidi="ar-SA"/>
    </w:rPr>
  </w:style>
  <w:style w:type="paragraph" w:customStyle="1" w:styleId="160">
    <w:name w:val="Char Char Char Char Char Char Char Char Char Char Char Char Char Char Char Char"/>
    <w:basedOn w:val="1"/>
    <w:qFormat/>
    <w:uiPriority w:val="99"/>
    <w:pPr>
      <w:widowControl/>
      <w:spacing w:after="160" w:line="240" w:lineRule="exact"/>
      <w:jc w:val="center"/>
    </w:pPr>
    <w:rPr>
      <w:rFonts w:ascii="宋体" w:hAnsi="宋体"/>
      <w:b/>
      <w:kern w:val="0"/>
      <w:sz w:val="30"/>
      <w:szCs w:val="30"/>
      <w:lang w:eastAsia="en-US"/>
    </w:rPr>
  </w:style>
  <w:style w:type="paragraph" w:customStyle="1" w:styleId="161">
    <w:name w:val="图中文字"/>
    <w:basedOn w:val="1"/>
    <w:qFormat/>
    <w:uiPriority w:val="99"/>
    <w:pPr>
      <w:adjustRightInd w:val="0"/>
      <w:snapToGrid w:val="0"/>
      <w:spacing w:line="0" w:lineRule="atLeast"/>
      <w:jc w:val="center"/>
    </w:pPr>
    <w:rPr>
      <w:sz w:val="24"/>
    </w:rPr>
  </w:style>
  <w:style w:type="paragraph" w:customStyle="1" w:styleId="162">
    <w:name w:val="样式 标题 2 + 宋体 五号 行距: 单倍行距"/>
    <w:basedOn w:val="4"/>
    <w:qFormat/>
    <w:uiPriority w:val="99"/>
    <w:pPr>
      <w:tabs>
        <w:tab w:val="left" w:pos="1188"/>
      </w:tabs>
      <w:autoSpaceDE/>
      <w:autoSpaceDN/>
      <w:spacing w:before="260" w:after="260" w:line="240" w:lineRule="auto"/>
      <w:ind w:left="1188" w:hanging="360"/>
      <w:jc w:val="left"/>
    </w:pPr>
    <w:rPr>
      <w:rFonts w:ascii="宋体" w:hAnsi="宋体" w:eastAsia="宋体"/>
      <w:bCs/>
      <w:sz w:val="21"/>
    </w:rPr>
  </w:style>
  <w:style w:type="paragraph" w:customStyle="1" w:styleId="163">
    <w:name w:val="xl4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164">
    <w:name w:val="xl44"/>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65">
    <w:name w:val="字元 字元"/>
    <w:basedOn w:val="1"/>
    <w:qFormat/>
    <w:uiPriority w:val="99"/>
    <w:rPr>
      <w:rFonts w:ascii="Tahoma" w:hAnsi="Tahoma"/>
      <w:sz w:val="24"/>
    </w:rPr>
  </w:style>
  <w:style w:type="paragraph" w:customStyle="1" w:styleId="166">
    <w:name w:val="Char Char Char Char Char Char Char Char Char Char2"/>
    <w:basedOn w:val="1"/>
    <w:qFormat/>
    <w:uiPriority w:val="99"/>
    <w:rPr>
      <w:rFonts w:ascii="宋体" w:hAnsi="宋体" w:cs="Courier New"/>
      <w:sz w:val="32"/>
      <w:szCs w:val="32"/>
    </w:rPr>
  </w:style>
  <w:style w:type="paragraph" w:customStyle="1" w:styleId="167">
    <w:name w:val="Char2 Char Char Char Char Char Char"/>
    <w:basedOn w:val="1"/>
    <w:qFormat/>
    <w:uiPriority w:val="99"/>
    <w:pPr>
      <w:widowControl/>
      <w:spacing w:line="400" w:lineRule="exact"/>
      <w:jc w:val="center"/>
    </w:pPr>
    <w:rPr>
      <w:szCs w:val="24"/>
    </w:rPr>
  </w:style>
  <w:style w:type="paragraph" w:customStyle="1" w:styleId="168">
    <w:name w:val="??"/>
    <w:qFormat/>
    <w:uiPriority w:val="99"/>
    <w:pPr>
      <w:widowControl w:val="0"/>
      <w:overflowPunct w:val="0"/>
      <w:autoSpaceDE w:val="0"/>
      <w:autoSpaceDN w:val="0"/>
      <w:adjustRightInd w:val="0"/>
      <w:jc w:val="both"/>
    </w:pPr>
    <w:rPr>
      <w:rFonts w:ascii="Times New Roman" w:hAnsi="Times New Roman" w:eastAsia="宋体" w:cs="Times New Roman"/>
      <w:kern w:val="2"/>
      <w:sz w:val="21"/>
      <w:szCs w:val="20"/>
      <w:lang w:val="en-US" w:eastAsia="en-US" w:bidi="ar-SA"/>
    </w:rPr>
  </w:style>
  <w:style w:type="paragraph" w:customStyle="1" w:styleId="169">
    <w:name w:val="xl46"/>
    <w:basedOn w:val="1"/>
    <w:qFormat/>
    <w:uiPriority w:val="99"/>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170">
    <w:name w:val="图例"/>
    <w:basedOn w:val="1"/>
    <w:qFormat/>
    <w:uiPriority w:val="99"/>
    <w:pPr>
      <w:spacing w:before="120" w:after="120" w:line="360" w:lineRule="auto"/>
      <w:jc w:val="center"/>
    </w:pPr>
    <w:rPr>
      <w:rFonts w:eastAsia="仿宋_GB2312"/>
      <w:b/>
      <w:sz w:val="24"/>
    </w:rPr>
  </w:style>
  <w:style w:type="paragraph" w:customStyle="1" w:styleId="171">
    <w:name w:val="图文"/>
    <w:basedOn w:val="1"/>
    <w:qFormat/>
    <w:uiPriority w:val="99"/>
    <w:pPr>
      <w:adjustRightInd w:val="0"/>
      <w:snapToGrid w:val="0"/>
      <w:spacing w:after="50" w:line="360" w:lineRule="auto"/>
    </w:pPr>
    <w:rPr>
      <w:sz w:val="24"/>
      <w:szCs w:val="24"/>
    </w:rPr>
  </w:style>
  <w:style w:type="paragraph" w:customStyle="1" w:styleId="172">
    <w:name w:val="Char Char1 Char Char Char Char Char Char1"/>
    <w:basedOn w:val="1"/>
    <w:qFormat/>
    <w:uiPriority w:val="99"/>
    <w:pPr>
      <w:widowControl/>
      <w:spacing w:after="160" w:line="240" w:lineRule="exact"/>
      <w:jc w:val="left"/>
    </w:pPr>
    <w:rPr>
      <w:rFonts w:ascii="Verdana" w:hAnsi="Verdana" w:eastAsia="仿宋_GB2312"/>
      <w:kern w:val="0"/>
      <w:sz w:val="24"/>
      <w:lang w:eastAsia="en-US"/>
    </w:rPr>
  </w:style>
  <w:style w:type="paragraph" w:customStyle="1" w:styleId="173">
    <w:name w:val="22222222222222"/>
    <w:basedOn w:val="1"/>
    <w:qFormat/>
    <w:uiPriority w:val="99"/>
    <w:pPr>
      <w:widowControl/>
      <w:adjustRightInd w:val="0"/>
      <w:spacing w:line="360" w:lineRule="auto"/>
      <w:ind w:firstLine="480" w:firstLineChars="200"/>
      <w:jc w:val="left"/>
    </w:pPr>
    <w:rPr>
      <w:color w:val="FF0000"/>
      <w:kern w:val="0"/>
      <w:sz w:val="24"/>
    </w:rPr>
  </w:style>
  <w:style w:type="paragraph" w:customStyle="1" w:styleId="174">
    <w:name w:val="正文须知-2级"/>
    <w:basedOn w:val="1"/>
    <w:qFormat/>
    <w:uiPriority w:val="99"/>
    <w:pPr>
      <w:adjustRightInd w:val="0"/>
      <w:snapToGrid w:val="0"/>
      <w:spacing w:line="300" w:lineRule="auto"/>
      <w:ind w:left="851" w:hanging="851"/>
    </w:pPr>
    <w:rPr>
      <w:rFonts w:ascii="宋体" w:hAnsi="Calibri"/>
      <w:sz w:val="24"/>
      <w:szCs w:val="21"/>
    </w:rPr>
  </w:style>
  <w:style w:type="paragraph" w:customStyle="1" w:styleId="175">
    <w:name w:val="xl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rPr>
  </w:style>
  <w:style w:type="paragraph" w:customStyle="1" w:styleId="176">
    <w:name w:val="Char Char41"/>
    <w:basedOn w:val="1"/>
    <w:qFormat/>
    <w:uiPriority w:val="99"/>
    <w:pPr>
      <w:widowControl/>
      <w:spacing w:line="400" w:lineRule="exact"/>
      <w:jc w:val="center"/>
    </w:pPr>
    <w:rPr>
      <w:szCs w:val="24"/>
    </w:rPr>
  </w:style>
  <w:style w:type="paragraph" w:customStyle="1" w:styleId="177">
    <w:name w:val="xl23"/>
    <w:basedOn w:val="1"/>
    <w:qFormat/>
    <w:uiPriority w:val="99"/>
    <w:pPr>
      <w:widowControl/>
      <w:spacing w:before="100" w:beforeAutospacing="1" w:after="100" w:afterAutospacing="1" w:line="360" w:lineRule="auto"/>
    </w:pPr>
    <w:rPr>
      <w:kern w:val="0"/>
      <w:sz w:val="24"/>
    </w:rPr>
  </w:style>
  <w:style w:type="paragraph" w:customStyle="1" w:styleId="178">
    <w:name w:val="_Style 160"/>
    <w:qFormat/>
    <w:uiPriority w:val="99"/>
    <w:rPr>
      <w:rFonts w:ascii="Times New Roman" w:hAnsi="Times New Roman" w:eastAsia="宋体" w:cs="Times New Roman"/>
      <w:kern w:val="2"/>
      <w:sz w:val="21"/>
      <w:szCs w:val="24"/>
      <w:lang w:val="en-US" w:eastAsia="zh-CN" w:bidi="ar-SA"/>
    </w:rPr>
  </w:style>
  <w:style w:type="paragraph" w:customStyle="1" w:styleId="179">
    <w:name w:val="项目编号3"/>
    <w:basedOn w:val="108"/>
    <w:qFormat/>
    <w:uiPriority w:val="99"/>
    <w:pPr>
      <w:ind w:left="902" w:hanging="420"/>
    </w:pPr>
  </w:style>
  <w:style w:type="paragraph" w:customStyle="1" w:styleId="180">
    <w:name w:val="修订1"/>
    <w:qFormat/>
    <w:uiPriority w:val="99"/>
    <w:rPr>
      <w:rFonts w:ascii="Times New Roman" w:hAnsi="Times New Roman" w:eastAsia="宋体" w:cs="Times New Roman"/>
      <w:kern w:val="2"/>
      <w:sz w:val="21"/>
      <w:szCs w:val="24"/>
      <w:lang w:val="en-US" w:eastAsia="zh-CN" w:bidi="ar-SA"/>
    </w:rPr>
  </w:style>
  <w:style w:type="paragraph" w:customStyle="1" w:styleId="181">
    <w:name w:val="字元 字元2"/>
    <w:basedOn w:val="1"/>
    <w:qFormat/>
    <w:uiPriority w:val="99"/>
    <w:rPr>
      <w:rFonts w:ascii="Tahoma" w:hAnsi="Tahoma"/>
      <w:sz w:val="24"/>
    </w:rPr>
  </w:style>
  <w:style w:type="paragraph" w:customStyle="1" w:styleId="182">
    <w:name w:val="xl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183">
    <w:name w:val="Char Char4"/>
    <w:basedOn w:val="1"/>
    <w:qFormat/>
    <w:uiPriority w:val="99"/>
    <w:pPr>
      <w:widowControl/>
      <w:spacing w:line="400" w:lineRule="exact"/>
      <w:jc w:val="center"/>
    </w:pPr>
    <w:rPr>
      <w:szCs w:val="24"/>
    </w:rPr>
  </w:style>
  <w:style w:type="paragraph" w:customStyle="1" w:styleId="184">
    <w:name w:val="Char Char Char"/>
    <w:basedOn w:val="1"/>
    <w:qFormat/>
    <w:uiPriority w:val="99"/>
    <w:rPr>
      <w:rFonts w:ascii="Tahoma" w:hAnsi="Tahoma"/>
      <w:sz w:val="24"/>
    </w:rPr>
  </w:style>
  <w:style w:type="paragraph" w:customStyle="1" w:styleId="185">
    <w:name w:val="1 Char Char Char Char"/>
    <w:basedOn w:val="1"/>
    <w:qFormat/>
    <w:uiPriority w:val="99"/>
    <w:rPr>
      <w:rFonts w:ascii="Tahoma" w:hAnsi="Tahoma"/>
      <w:sz w:val="24"/>
    </w:rPr>
  </w:style>
  <w:style w:type="paragraph" w:customStyle="1" w:styleId="186">
    <w:name w:val="xl3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FF6600"/>
      <w:kern w:val="0"/>
      <w:sz w:val="20"/>
    </w:rPr>
  </w:style>
  <w:style w:type="paragraph" w:customStyle="1" w:styleId="187">
    <w:name w:val="Char"/>
    <w:basedOn w:val="1"/>
    <w:qFormat/>
    <w:uiPriority w:val="99"/>
    <w:pPr>
      <w:tabs>
        <w:tab w:val="left" w:pos="360"/>
      </w:tabs>
    </w:pPr>
    <w:rPr>
      <w:sz w:val="24"/>
      <w:szCs w:val="24"/>
    </w:rPr>
  </w:style>
  <w:style w:type="paragraph" w:customStyle="1" w:styleId="188">
    <w:name w:val="default"/>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89">
    <w:name w:val="xl5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b/>
      <w:bCs/>
      <w:color w:val="000000"/>
      <w:kern w:val="0"/>
      <w:sz w:val="16"/>
      <w:szCs w:val="16"/>
    </w:rPr>
  </w:style>
  <w:style w:type="paragraph" w:customStyle="1" w:styleId="190">
    <w:name w:val="Char2"/>
    <w:basedOn w:val="1"/>
    <w:qFormat/>
    <w:uiPriority w:val="99"/>
    <w:rPr>
      <w:rFonts w:ascii="Tahoma" w:hAnsi="Tahoma"/>
      <w:sz w:val="24"/>
    </w:rPr>
  </w:style>
  <w:style w:type="paragraph" w:customStyle="1" w:styleId="191">
    <w:name w:val="font8"/>
    <w:basedOn w:val="1"/>
    <w:qFormat/>
    <w:uiPriority w:val="99"/>
    <w:pPr>
      <w:widowControl/>
      <w:spacing w:before="100" w:beforeAutospacing="1" w:after="100" w:afterAutospacing="1"/>
      <w:jc w:val="left"/>
    </w:pPr>
    <w:rPr>
      <w:kern w:val="0"/>
      <w:sz w:val="36"/>
      <w:szCs w:val="36"/>
    </w:rPr>
  </w:style>
  <w:style w:type="paragraph" w:customStyle="1" w:styleId="192">
    <w:name w:val="正文 + 楷体_GB2312"/>
    <w:basedOn w:val="1"/>
    <w:qFormat/>
    <w:uiPriority w:val="99"/>
    <w:pPr>
      <w:widowControl/>
      <w:jc w:val="left"/>
    </w:pPr>
    <w:rPr>
      <w:rFonts w:ascii="楷体_GB2312" w:eastAsia="楷体_GB2312" w:cs="Arial"/>
      <w:kern w:val="0"/>
      <w:sz w:val="24"/>
      <w:szCs w:val="24"/>
    </w:rPr>
  </w:style>
  <w:style w:type="paragraph" w:customStyle="1" w:styleId="193">
    <w:name w:val="font9"/>
    <w:basedOn w:val="1"/>
    <w:qFormat/>
    <w:uiPriority w:val="99"/>
    <w:pPr>
      <w:widowControl/>
      <w:spacing w:before="100" w:beforeAutospacing="1" w:after="100" w:afterAutospacing="1"/>
      <w:jc w:val="left"/>
    </w:pPr>
    <w:rPr>
      <w:rFonts w:ascii="宋体" w:hAnsi="宋体" w:cs="Arial Unicode MS"/>
      <w:color w:val="000000"/>
      <w:kern w:val="0"/>
      <w:sz w:val="20"/>
    </w:rPr>
  </w:style>
  <w:style w:type="paragraph" w:customStyle="1" w:styleId="194">
    <w:name w:val="默认段落字体 Para Char Char Char Char"/>
    <w:basedOn w:val="1"/>
    <w:qFormat/>
    <w:uiPriority w:val="99"/>
    <w:rPr>
      <w:rFonts w:ascii="Arial" w:hAnsi="Arial" w:cs="Arial"/>
      <w:szCs w:val="21"/>
    </w:rPr>
  </w:style>
  <w:style w:type="paragraph" w:customStyle="1" w:styleId="195">
    <w:name w:val="正文缩进2"/>
    <w:basedOn w:val="1"/>
    <w:qFormat/>
    <w:uiPriority w:val="99"/>
    <w:pPr>
      <w:widowControl/>
      <w:adjustRightInd w:val="0"/>
      <w:snapToGrid w:val="0"/>
      <w:spacing w:line="480" w:lineRule="exact"/>
      <w:ind w:firstLine="567"/>
    </w:pPr>
    <w:rPr>
      <w:rFonts w:ascii="宋体"/>
      <w:color w:val="000000"/>
      <w:kern w:val="28"/>
      <w:sz w:val="28"/>
      <w:lang w:val="zh-CN"/>
    </w:rPr>
  </w:style>
  <w:style w:type="paragraph" w:customStyle="1" w:styleId="196">
    <w:name w:val="Char3"/>
    <w:basedOn w:val="1"/>
    <w:qFormat/>
    <w:uiPriority w:val="99"/>
    <w:pPr>
      <w:tabs>
        <w:tab w:val="left" w:pos="360"/>
      </w:tabs>
    </w:pPr>
    <w:rPr>
      <w:sz w:val="24"/>
      <w:szCs w:val="24"/>
    </w:rPr>
  </w:style>
  <w:style w:type="paragraph" w:customStyle="1" w:styleId="197">
    <w:name w:val="文档正文"/>
    <w:basedOn w:val="1"/>
    <w:qFormat/>
    <w:uiPriority w:val="99"/>
    <w:pPr>
      <w:snapToGrid w:val="0"/>
      <w:spacing w:before="120" w:after="120" w:line="180" w:lineRule="auto"/>
    </w:pPr>
    <w:rPr>
      <w:rFonts w:ascii="Arial" w:hAnsi="Arial"/>
    </w:rPr>
  </w:style>
  <w:style w:type="paragraph" w:customStyle="1" w:styleId="198">
    <w:name w:val="background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99">
    <w:name w:val="Char Char Char Char Char Char Char1"/>
    <w:basedOn w:val="1"/>
    <w:qFormat/>
    <w:uiPriority w:val="99"/>
    <w:pPr>
      <w:snapToGrid w:val="0"/>
      <w:spacing w:line="360" w:lineRule="auto"/>
      <w:ind w:firstLine="200" w:firstLineChars="200"/>
    </w:pPr>
    <w:rPr>
      <w:rFonts w:eastAsia="仿宋_GB2312"/>
      <w:sz w:val="24"/>
      <w:szCs w:val="24"/>
    </w:rPr>
  </w:style>
  <w:style w:type="paragraph" w:customStyle="1" w:styleId="200">
    <w:name w:val="Char Char1 Char Char Char Char Char Char Char Char"/>
    <w:basedOn w:val="1"/>
    <w:qFormat/>
    <w:uiPriority w:val="99"/>
    <w:pPr>
      <w:widowControl/>
      <w:spacing w:after="160" w:line="240" w:lineRule="exact"/>
      <w:jc w:val="left"/>
    </w:pPr>
    <w:rPr>
      <w:rFonts w:ascii="Verdana" w:hAnsi="Verdana"/>
      <w:kern w:val="0"/>
      <w:sz w:val="20"/>
      <w:lang w:eastAsia="en-US"/>
    </w:rPr>
  </w:style>
  <w:style w:type="paragraph" w:customStyle="1" w:styleId="201">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02">
    <w:name w:val="正文文本缩进2"/>
    <w:basedOn w:val="1"/>
    <w:qFormat/>
    <w:uiPriority w:val="99"/>
    <w:pPr>
      <w:spacing w:line="480" w:lineRule="exact"/>
      <w:ind w:firstLine="480" w:firstLineChars="200"/>
    </w:pPr>
    <w:rPr>
      <w:rFonts w:ascii="宋体" w:hAnsi="宋体"/>
      <w:kern w:val="0"/>
      <w:sz w:val="24"/>
      <w:szCs w:val="24"/>
      <w:lang w:val="zh-CN"/>
    </w:rPr>
  </w:style>
  <w:style w:type="paragraph" w:customStyle="1" w:styleId="203">
    <w:name w:val="xl3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204">
    <w:name w:val="表格文字"/>
    <w:basedOn w:val="18"/>
    <w:qFormat/>
    <w:uiPriority w:val="99"/>
    <w:pPr>
      <w:spacing w:before="20" w:after="20" w:line="240" w:lineRule="auto"/>
      <w:ind w:firstLine="0"/>
    </w:pPr>
    <w:rPr>
      <w:rFonts w:ascii="Century Gothic" w:hAnsi="Century Gothic"/>
      <w:sz w:val="20"/>
      <w:szCs w:val="20"/>
    </w:rPr>
  </w:style>
  <w:style w:type="paragraph" w:customStyle="1" w:styleId="205">
    <w:name w:val="Char Char1"/>
    <w:basedOn w:val="14"/>
    <w:qFormat/>
    <w:uiPriority w:val="99"/>
    <w:rPr>
      <w:rFonts w:ascii="Tahoma" w:hAnsi="Tahoma"/>
      <w:sz w:val="24"/>
    </w:rPr>
  </w:style>
  <w:style w:type="paragraph" w:customStyle="1" w:styleId="206">
    <w:name w:val="Char1 Char Char Char1"/>
    <w:basedOn w:val="1"/>
    <w:qFormat/>
    <w:uiPriority w:val="99"/>
    <w:rPr>
      <w:rFonts w:ascii="Tahoma" w:hAnsi="Tahoma" w:cs="仿宋_GB2312"/>
      <w:sz w:val="24"/>
      <w:szCs w:val="28"/>
    </w:rPr>
  </w:style>
  <w:style w:type="paragraph" w:customStyle="1" w:styleId="207">
    <w:name w:val="缺省文本"/>
    <w:basedOn w:val="1"/>
    <w:qFormat/>
    <w:uiPriority w:val="99"/>
    <w:pPr>
      <w:autoSpaceDE w:val="0"/>
      <w:autoSpaceDN w:val="0"/>
      <w:adjustRightInd w:val="0"/>
      <w:jc w:val="left"/>
    </w:pPr>
    <w:rPr>
      <w:kern w:val="0"/>
      <w:sz w:val="24"/>
      <w:szCs w:val="24"/>
    </w:rPr>
  </w:style>
  <w:style w:type="paragraph" w:customStyle="1" w:styleId="208">
    <w:name w:val="xl4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209">
    <w:name w:val="列出段落2"/>
    <w:basedOn w:val="1"/>
    <w:qFormat/>
    <w:uiPriority w:val="99"/>
    <w:pPr>
      <w:ind w:firstLine="420" w:firstLineChars="200"/>
    </w:pPr>
    <w:rPr>
      <w:rFonts w:ascii="Calibri" w:hAnsi="Calibri"/>
      <w:szCs w:val="22"/>
    </w:rPr>
  </w:style>
  <w:style w:type="paragraph" w:customStyle="1" w:styleId="210">
    <w:name w:val="xl45"/>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211">
    <w:name w:val="xl3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212">
    <w:name w:val="xl2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213">
    <w:name w:val="xl37"/>
    <w:basedOn w:val="1"/>
    <w:qFormat/>
    <w:uiPriority w:val="99"/>
    <w:pPr>
      <w:widowControl/>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214">
    <w:name w:val="xl35"/>
    <w:basedOn w:val="1"/>
    <w:qFormat/>
    <w:uiPriority w:val="99"/>
    <w:pPr>
      <w:widowControl/>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215">
    <w:name w:val="字元 字元1"/>
    <w:basedOn w:val="1"/>
    <w:qFormat/>
    <w:uiPriority w:val="99"/>
    <w:rPr>
      <w:rFonts w:ascii="Tahoma" w:hAnsi="Tahoma"/>
      <w:sz w:val="24"/>
    </w:rPr>
  </w:style>
  <w:style w:type="paragraph" w:customStyle="1" w:styleId="216">
    <w:name w:val="font5"/>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217">
    <w:name w:val="xl2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rPr>
  </w:style>
  <w:style w:type="paragraph" w:customStyle="1" w:styleId="218">
    <w:name w:val="Char21"/>
    <w:basedOn w:val="1"/>
    <w:qFormat/>
    <w:uiPriority w:val="99"/>
    <w:rPr>
      <w:rFonts w:ascii="Tahoma" w:hAnsi="Tahoma"/>
      <w:sz w:val="24"/>
    </w:rPr>
  </w:style>
  <w:style w:type="paragraph" w:customStyle="1" w:styleId="219">
    <w:name w:val="正文 A"/>
    <w:basedOn w:val="1"/>
    <w:qFormat/>
    <w:uiPriority w:val="99"/>
    <w:rPr>
      <w:rFonts w:ascii="Arial Unicode MS" w:hAnsi="Arial Unicode MS" w:eastAsia="Times New Roman"/>
      <w:color w:val="000000"/>
      <w:szCs w:val="21"/>
    </w:rPr>
  </w:style>
  <w:style w:type="character" w:customStyle="1" w:styleId="220">
    <w:name w:val="Body text|1_"/>
    <w:link w:val="221"/>
    <w:qFormat/>
    <w:locked/>
    <w:uiPriority w:val="0"/>
    <w:rPr>
      <w:rFonts w:ascii="宋体" w:hAnsi="宋体" w:eastAsia="宋体" w:cs="宋体"/>
      <w:lang w:val="zh-TW" w:eastAsia="zh-TW" w:bidi="zh-TW"/>
    </w:rPr>
  </w:style>
  <w:style w:type="paragraph" w:customStyle="1" w:styleId="221">
    <w:name w:val="Body text|1"/>
    <w:basedOn w:val="1"/>
    <w:link w:val="220"/>
    <w:qFormat/>
    <w:uiPriority w:val="0"/>
    <w:pPr>
      <w:spacing w:after="60"/>
      <w:jc w:val="left"/>
    </w:pPr>
    <w:rPr>
      <w:rFonts w:ascii="宋体" w:hAnsi="宋体" w:cs="宋体"/>
      <w:szCs w:val="22"/>
      <w:lang w:val="zh-TW" w:eastAsia="zh-TW" w:bidi="zh-TW"/>
    </w:rPr>
  </w:style>
  <w:style w:type="paragraph" w:customStyle="1" w:styleId="222">
    <w:name w:val="msonospacing"/>
    <w:basedOn w:val="1"/>
    <w:qFormat/>
    <w:uiPriority w:val="99"/>
    <w:rPr>
      <w:rFonts w:ascii="等线" w:hAnsi="等线" w:eastAsia="等线"/>
      <w:szCs w:val="24"/>
    </w:rPr>
  </w:style>
  <w:style w:type="character" w:customStyle="1" w:styleId="223">
    <w:name w:val="目录用 Char"/>
    <w:link w:val="224"/>
    <w:qFormat/>
    <w:locked/>
    <w:uiPriority w:val="0"/>
    <w:rPr>
      <w:b/>
      <w:sz w:val="36"/>
      <w:szCs w:val="36"/>
    </w:rPr>
  </w:style>
  <w:style w:type="paragraph" w:customStyle="1" w:styleId="224">
    <w:name w:val="目录用"/>
    <w:basedOn w:val="1"/>
    <w:link w:val="223"/>
    <w:qFormat/>
    <w:uiPriority w:val="0"/>
    <w:pPr>
      <w:snapToGrid w:val="0"/>
      <w:spacing w:line="540" w:lineRule="exact"/>
      <w:jc w:val="center"/>
      <w:outlineLvl w:val="0"/>
    </w:pPr>
    <w:rPr>
      <w:rFonts w:asciiTheme="minorHAnsi" w:hAnsiTheme="minorHAnsi" w:eastAsiaTheme="minorEastAsia" w:cstheme="minorBidi"/>
      <w:b/>
      <w:sz w:val="36"/>
      <w:szCs w:val="36"/>
    </w:rPr>
  </w:style>
  <w:style w:type="paragraph" w:customStyle="1" w:styleId="225">
    <w:name w:val="UserStyle_0"/>
    <w:basedOn w:val="1"/>
    <w:qFormat/>
    <w:uiPriority w:val="99"/>
    <w:pPr>
      <w:widowControl/>
      <w:spacing w:line="240" w:lineRule="atLeast"/>
      <w:jc w:val="left"/>
    </w:pPr>
    <w:rPr>
      <w:rFonts w:ascii="宋体" w:hAnsi="宋体"/>
      <w:color w:val="000000"/>
      <w:kern w:val="0"/>
    </w:rPr>
  </w:style>
  <w:style w:type="character" w:customStyle="1" w:styleId="226">
    <w:name w:val="正文文本 Char1"/>
    <w:uiPriority w:val="0"/>
    <w:rPr>
      <w:rFonts w:hint="eastAsia" w:ascii="宋体" w:hAnsi="宋体" w:eastAsia="宋体" w:cs="宋体"/>
      <w:sz w:val="24"/>
      <w:szCs w:val="24"/>
    </w:rPr>
  </w:style>
  <w:style w:type="character" w:customStyle="1" w:styleId="227">
    <w:name w:val="标题 2 Char1"/>
    <w:link w:val="4"/>
    <w:qFormat/>
    <w:locked/>
    <w:uiPriority w:val="0"/>
    <w:rPr>
      <w:rFonts w:ascii="Arial" w:hAnsi="Arial" w:eastAsia="黑体" w:cs="Times New Roman"/>
      <w:b/>
      <w:kern w:val="0"/>
      <w:sz w:val="30"/>
      <w:szCs w:val="20"/>
    </w:rPr>
  </w:style>
  <w:style w:type="character" w:customStyle="1" w:styleId="228">
    <w:name w:val="标题 3 Char1"/>
    <w:link w:val="5"/>
    <w:semiHidden/>
    <w:qFormat/>
    <w:locked/>
    <w:uiPriority w:val="0"/>
    <w:rPr>
      <w:rFonts w:ascii="宋体" w:hAnsi="Times New Roman" w:eastAsia="宋体" w:cs="Times New Roman"/>
      <w:b/>
      <w:kern w:val="0"/>
      <w:sz w:val="24"/>
      <w:szCs w:val="20"/>
      <w:u w:val="single"/>
    </w:rPr>
  </w:style>
  <w:style w:type="character" w:customStyle="1" w:styleId="229">
    <w:name w:val="正文文本缩进 Char3"/>
    <w:link w:val="18"/>
    <w:semiHidden/>
    <w:qFormat/>
    <w:locked/>
    <w:uiPriority w:val="99"/>
    <w:rPr>
      <w:rFonts w:ascii="Times New Roman" w:hAnsi="Times New Roman" w:eastAsia="宋体" w:cs="Times New Roman"/>
      <w:sz w:val="24"/>
      <w:szCs w:val="24"/>
    </w:rPr>
  </w:style>
  <w:style w:type="character" w:customStyle="1" w:styleId="230">
    <w:name w:val="页脚 Char1"/>
    <w:qFormat/>
    <w:locked/>
    <w:uiPriority w:val="99"/>
    <w:rPr>
      <w:rFonts w:ascii="宋体" w:hAnsi="Times New Roman" w:eastAsia="宋体" w:cs="Times New Roman"/>
      <w:kern w:val="0"/>
      <w:sz w:val="18"/>
      <w:szCs w:val="20"/>
    </w:rPr>
  </w:style>
  <w:style w:type="character" w:customStyle="1" w:styleId="231">
    <w:name w:val="页眉 Char1"/>
    <w:qFormat/>
    <w:locked/>
    <w:uiPriority w:val="0"/>
    <w:rPr>
      <w:rFonts w:ascii="Times New Roman" w:hAnsi="Times New Roman" w:eastAsia="宋体" w:cs="Times New Roman"/>
      <w:sz w:val="18"/>
      <w:szCs w:val="18"/>
    </w:rPr>
  </w:style>
  <w:style w:type="character" w:customStyle="1" w:styleId="232">
    <w:name w:val="正文文本缩进 Char2"/>
    <w:qFormat/>
    <w:uiPriority w:val="0"/>
    <w:rPr>
      <w:rFonts w:hint="eastAsia" w:ascii="宋体" w:hAnsi="宋体" w:eastAsia="宋体"/>
      <w:kern w:val="2"/>
      <w:sz w:val="24"/>
      <w:szCs w:val="24"/>
      <w:lang w:val="en-US" w:eastAsia="zh-CN" w:bidi="ar-SA"/>
    </w:rPr>
  </w:style>
  <w:style w:type="character" w:customStyle="1" w:styleId="233">
    <w:name w:val="title4"/>
    <w:qFormat/>
    <w:uiPriority w:val="0"/>
    <w:rPr>
      <w:b/>
      <w:bCs/>
      <w:color w:val="1D87B3"/>
      <w:sz w:val="15"/>
      <w:szCs w:val="15"/>
    </w:rPr>
  </w:style>
  <w:style w:type="character" w:customStyle="1" w:styleId="234">
    <w:name w:val="chanpin拷贝"/>
    <w:qFormat/>
    <w:uiPriority w:val="0"/>
  </w:style>
  <w:style w:type="character" w:customStyle="1" w:styleId="235">
    <w:name w:val="c21"/>
    <w:qFormat/>
    <w:uiPriority w:val="0"/>
    <w:rPr>
      <w:rFonts w:hint="default" w:ascii="ˎ̥" w:hAnsi="ˎ̥"/>
      <w:color w:val="000000"/>
      <w:sz w:val="20"/>
      <w:szCs w:val="20"/>
      <w:u w:val="none"/>
    </w:rPr>
  </w:style>
  <w:style w:type="character" w:customStyle="1" w:styleId="236">
    <w:name w:val="txt"/>
    <w:qFormat/>
    <w:uiPriority w:val="0"/>
  </w:style>
  <w:style w:type="character" w:customStyle="1" w:styleId="237">
    <w:name w:val="正文缩进 Char"/>
    <w:qFormat/>
    <w:uiPriority w:val="0"/>
    <w:rPr>
      <w:rFonts w:hint="eastAsia" w:ascii="宋体" w:hAnsi="宋体" w:eastAsia="宋体"/>
      <w:kern w:val="2"/>
      <w:sz w:val="24"/>
      <w:szCs w:val="24"/>
      <w:lang w:val="en-US" w:eastAsia="zh-CN" w:bidi="ar-SA"/>
    </w:rPr>
  </w:style>
  <w:style w:type="character" w:customStyle="1" w:styleId="238">
    <w:name w:val="批注文字 字符"/>
    <w:qFormat/>
    <w:uiPriority w:val="99"/>
    <w:rPr>
      <w:rFonts w:hint="default" w:ascii="Times New Roman" w:hAnsi="Times New Roman" w:eastAsia="宋体" w:cs="Times New Roman"/>
      <w:sz w:val="24"/>
      <w:lang w:val="en-US" w:eastAsia="zh-CN" w:bidi="ar-SA"/>
    </w:rPr>
  </w:style>
  <w:style w:type="character" w:customStyle="1" w:styleId="239">
    <w:name w:val="street-address"/>
    <w:qFormat/>
    <w:uiPriority w:val="0"/>
  </w:style>
  <w:style w:type="character" w:customStyle="1" w:styleId="240">
    <w:name w:val="bjh-p"/>
    <w:qFormat/>
    <w:uiPriority w:val="0"/>
  </w:style>
  <w:style w:type="character" w:customStyle="1" w:styleId="241">
    <w:name w:val="black1"/>
    <w:qFormat/>
    <w:uiPriority w:val="0"/>
    <w:rPr>
      <w:color w:val="000000"/>
    </w:rPr>
  </w:style>
  <w:style w:type="character" w:customStyle="1" w:styleId="242">
    <w:name w:val="Char Char11"/>
    <w:qFormat/>
    <w:uiPriority w:val="0"/>
    <w:rPr>
      <w:rFonts w:hint="eastAsia" w:ascii="宋体" w:hAnsi="宋体" w:eastAsia="宋体"/>
      <w:b/>
      <w:sz w:val="24"/>
      <w:u w:val="single"/>
      <w:lang w:val="en-US" w:eastAsia="zh-CN" w:bidi="ar-SA"/>
    </w:rPr>
  </w:style>
  <w:style w:type="character" w:customStyle="1" w:styleId="243">
    <w:name w:val="纯文本 字符"/>
    <w:qFormat/>
    <w:uiPriority w:val="99"/>
    <w:rPr>
      <w:rFonts w:hint="eastAsia" w:ascii="宋体" w:hAnsi="Courier New" w:eastAsia="宋体" w:cs="Times New Roman"/>
      <w:kern w:val="2"/>
      <w:sz w:val="21"/>
      <w:szCs w:val="21"/>
      <w:lang w:val="en-US" w:eastAsia="zh-CN" w:bidi="ar-SA"/>
    </w:rPr>
  </w:style>
  <w:style w:type="character" w:customStyle="1" w:styleId="244">
    <w:name w:val="标题 3 Char Char"/>
    <w:qFormat/>
    <w:uiPriority w:val="0"/>
    <w:rPr>
      <w:rFonts w:hint="eastAsia" w:ascii="宋体" w:hAnsi="宋体" w:eastAsia="宋体"/>
      <w:b/>
      <w:bCs/>
      <w:kern w:val="2"/>
      <w:sz w:val="32"/>
      <w:szCs w:val="32"/>
      <w:lang w:val="en-US" w:eastAsia="zh-CN" w:bidi="ar-SA"/>
    </w:rPr>
  </w:style>
  <w:style w:type="character" w:customStyle="1" w:styleId="245">
    <w:name w:val="apple-style-span"/>
    <w:qFormat/>
    <w:uiPriority w:val="0"/>
    <w:rPr>
      <w:rFonts w:hint="default" w:ascii="Times New Roman" w:hAnsi="Times New Roman" w:cs="Times New Roman"/>
    </w:rPr>
  </w:style>
  <w:style w:type="character" w:customStyle="1" w:styleId="246">
    <w:name w:val="chanpin1"/>
    <w:qFormat/>
    <w:uiPriority w:val="0"/>
    <w:rPr>
      <w:rFonts w:hint="default" w:ascii="ˎ̥" w:hAnsi="ˎ̥"/>
      <w:color w:val="000000"/>
      <w:sz w:val="20"/>
      <w:szCs w:val="20"/>
      <w:u w:val="none"/>
    </w:rPr>
  </w:style>
  <w:style w:type="character" w:customStyle="1" w:styleId="247">
    <w:name w:val="locality"/>
    <w:qFormat/>
    <w:uiPriority w:val="0"/>
  </w:style>
  <w:style w:type="character" w:customStyle="1" w:styleId="248">
    <w:name w:val="段1 Char"/>
    <w:qFormat/>
    <w:uiPriority w:val="0"/>
    <w:rPr>
      <w:rFonts w:hint="eastAsia" w:ascii="宋体" w:hAnsi="宋体" w:eastAsia="宋体"/>
      <w:sz w:val="24"/>
      <w:lang w:val="en-US" w:eastAsia="zh-CN" w:bidi="ar-SA"/>
    </w:rPr>
  </w:style>
  <w:style w:type="character" w:customStyle="1" w:styleId="249">
    <w:name w:val="列出段落 Char"/>
    <w:qFormat/>
    <w:uiPriority w:val="0"/>
    <w:rPr>
      <w:rFonts w:hint="default" w:ascii="Calibri" w:hAnsi="Calibri" w:eastAsia="宋体" w:cs="Calibri"/>
      <w:kern w:val="2"/>
      <w:sz w:val="21"/>
      <w:szCs w:val="22"/>
      <w:lang w:val="en-US" w:eastAsia="zh-CN" w:bidi="ar-SA"/>
    </w:rPr>
  </w:style>
  <w:style w:type="character" w:customStyle="1" w:styleId="250">
    <w:name w:val="纯文本 字符1"/>
    <w:qFormat/>
    <w:uiPriority w:val="0"/>
    <w:rPr>
      <w:rFonts w:hint="eastAsia" w:ascii="宋体" w:hAnsi="Courier New" w:eastAsia="宋体"/>
    </w:rPr>
  </w:style>
  <w:style w:type="character" w:customStyle="1" w:styleId="251">
    <w:name w:val="Char Char111"/>
    <w:qFormat/>
    <w:uiPriority w:val="0"/>
    <w:rPr>
      <w:rFonts w:hint="eastAsia" w:ascii="宋体" w:hAnsi="宋体" w:eastAsia="宋体"/>
      <w:b/>
      <w:sz w:val="24"/>
      <w:u w:val="single"/>
      <w:lang w:val="en-US" w:eastAsia="zh-CN" w:bidi="ar-SA"/>
    </w:rPr>
  </w:style>
  <w:style w:type="character" w:customStyle="1" w:styleId="252">
    <w:name w:val="NormalCharacter"/>
    <w:qFormat/>
    <w:uiPriority w:val="0"/>
  </w:style>
  <w:style w:type="character" w:customStyle="1" w:styleId="253">
    <w:name w:val="标题 2 Char Char"/>
    <w:qFormat/>
    <w:uiPriority w:val="0"/>
    <w:rPr>
      <w:rFonts w:hint="default" w:ascii="Arial" w:hAnsi="Arial" w:eastAsia="黑体" w:cs="Arial"/>
      <w:b/>
      <w:bCs/>
      <w:kern w:val="2"/>
      <w:sz w:val="32"/>
      <w:szCs w:val="32"/>
      <w:lang w:val="en-US" w:eastAsia="zh-CN" w:bidi="ar-SA"/>
    </w:rPr>
  </w:style>
  <w:style w:type="character" w:customStyle="1" w:styleId="254">
    <w:name w:val="style81"/>
    <w:qFormat/>
    <w:uiPriority w:val="0"/>
    <w:rPr>
      <w:sz w:val="24"/>
      <w:szCs w:val="24"/>
    </w:rPr>
  </w:style>
  <w:style w:type="character" w:customStyle="1" w:styleId="255">
    <w:name w:val="long_text"/>
    <w:basedOn w:val="46"/>
    <w:qFormat/>
    <w:uiPriority w:val="0"/>
  </w:style>
  <w:style w:type="table" w:customStyle="1" w:styleId="256">
    <w:name w:val="Table Normal"/>
    <w:qFormat/>
    <w:uiPriority w:val="2"/>
    <w:pPr>
      <w:widowControl w:val="0"/>
      <w:autoSpaceDE w:val="0"/>
      <w:autoSpaceDN w:val="0"/>
    </w:pPr>
    <w:rPr>
      <w:rFonts w:ascii="Calibri" w:hAnsi="Calibri" w:eastAsia="宋体" w:cs="Times New Roman"/>
      <w:kern w:val="0"/>
      <w:sz w:val="22"/>
      <w:lang w:eastAsia="en-US"/>
    </w:rPr>
    <w:tblPr>
      <w:tblCellMar>
        <w:top w:w="0" w:type="dxa"/>
        <w:left w:w="0" w:type="dxa"/>
        <w:bottom w:w="0" w:type="dxa"/>
        <w:right w:w="0" w:type="dxa"/>
      </w:tblCellMar>
    </w:tblPr>
  </w:style>
  <w:style w:type="table" w:customStyle="1" w:styleId="257">
    <w:name w:val="TableGrid"/>
    <w:uiPriority w:val="0"/>
    <w:rPr>
      <w:rFonts w:ascii="Calibri" w:hAnsi="Calibri" w:eastAsia="等线" w:cs="Times New Roman"/>
      <w:kern w:val="0"/>
      <w:sz w:val="22"/>
      <w:lang w:eastAsia="en-US"/>
    </w:rPr>
    <w:tblPr>
      <w:tblCellMar>
        <w:top w:w="0" w:type="dxa"/>
        <w:left w:w="0" w:type="dxa"/>
        <w:bottom w:w="0" w:type="dxa"/>
        <w:right w:w="0" w:type="dxa"/>
      </w:tblCellMar>
    </w:tblPr>
  </w:style>
  <w:style w:type="table" w:customStyle="1" w:styleId="258">
    <w:name w:val="Table Normal1"/>
    <w:semiHidden/>
    <w:qFormat/>
    <w:uiPriority w:val="2"/>
    <w:rPr>
      <w:kern w:val="0"/>
      <w:sz w:val="20"/>
      <w:szCs w:val="20"/>
    </w:rPr>
    <w:tblPr>
      <w:tblCellMar>
        <w:top w:w="0" w:type="dxa"/>
        <w:left w:w="0" w:type="dxa"/>
        <w:bottom w:w="0" w:type="dxa"/>
        <w:right w:w="0" w:type="dxa"/>
      </w:tblCellMar>
    </w:tblPr>
  </w:style>
  <w:style w:type="paragraph" w:customStyle="1" w:styleId="259">
    <w:name w:val="项目符号1"/>
    <w:basedOn w:val="108"/>
    <w:qFormat/>
    <w:uiPriority w:val="99"/>
    <w:pPr>
      <w:ind w:left="-25" w:firstLine="0"/>
    </w:pPr>
  </w:style>
  <w:style w:type="paragraph" w:customStyle="1" w:styleId="260">
    <w:name w:val="一级条标题"/>
    <w:basedOn w:val="117"/>
    <w:next w:val="1"/>
    <w:qFormat/>
    <w:uiPriority w:val="99"/>
    <w:pPr>
      <w:tabs>
        <w:tab w:val="left" w:pos="360"/>
        <w:tab w:val="left" w:pos="840"/>
      </w:tabs>
      <w:ind w:hanging="840"/>
      <w:outlineLvl w:val="1"/>
    </w:pPr>
  </w:style>
  <w:style w:type="paragraph" w:customStyle="1" w:styleId="261">
    <w:name w:val="二级条标题"/>
    <w:basedOn w:val="260"/>
    <w:next w:val="1"/>
    <w:qFormat/>
    <w:uiPriority w:val="99"/>
    <w:pPr>
      <w:outlineLvl w:val="2"/>
    </w:pPr>
    <w:rPr>
      <w:rFonts w:ascii="宋体" w:eastAsia="宋体"/>
      <w:b w:val="0"/>
    </w:rPr>
  </w:style>
  <w:style w:type="paragraph" w:customStyle="1" w:styleId="262">
    <w:name w:val="三级条标题"/>
    <w:basedOn w:val="261"/>
    <w:next w:val="1"/>
    <w:qFormat/>
    <w:uiPriority w:val="99"/>
    <w:pPr>
      <w:outlineLvl w:val="3"/>
    </w:pPr>
  </w:style>
  <w:style w:type="paragraph" w:customStyle="1" w:styleId="263">
    <w:name w:val="四级条标题"/>
    <w:basedOn w:val="262"/>
    <w:next w:val="1"/>
    <w:qFormat/>
    <w:uiPriority w:val="99"/>
    <w:pPr>
      <w:outlineLvl w:val="4"/>
    </w:pPr>
  </w:style>
  <w:style w:type="paragraph" w:customStyle="1" w:styleId="264">
    <w:name w:val="五级条标题"/>
    <w:basedOn w:val="263"/>
    <w:next w:val="1"/>
    <w:qFormat/>
    <w:uiPriority w:val="99"/>
    <w:pPr>
      <w:outlineLvl w:val="5"/>
    </w:pPr>
  </w:style>
  <w:style w:type="paragraph" w:customStyle="1" w:styleId="265">
    <w:name w:val="列表段落1"/>
    <w:basedOn w:val="1"/>
    <w:autoRedefine/>
    <w:qFormat/>
    <w:uiPriority w:val="34"/>
    <w:pPr>
      <w:ind w:firstLine="420" w:firstLineChars="200"/>
    </w:pPr>
  </w:style>
  <w:style w:type="paragraph" w:customStyle="1" w:styleId="266">
    <w:name w:val="招标文件正文"/>
    <w:basedOn w:val="1"/>
    <w:link w:val="267"/>
    <w:qFormat/>
    <w:uiPriority w:val="0"/>
    <w:pPr>
      <w:spacing w:line="300" w:lineRule="auto"/>
      <w:ind w:firstLine="200" w:firstLineChars="200"/>
      <w:jc w:val="left"/>
    </w:pPr>
    <w:rPr>
      <w:kern w:val="0"/>
      <w:sz w:val="32"/>
      <w:szCs w:val="32"/>
    </w:rPr>
  </w:style>
  <w:style w:type="character" w:customStyle="1" w:styleId="267">
    <w:name w:val="招标文件正文 Char Char"/>
    <w:link w:val="266"/>
    <w:qFormat/>
    <w:uiPriority w:val="0"/>
    <w:rPr>
      <w:rFonts w:ascii="Times New Roman" w:hAnsi="Times New Roman" w:eastAsia="宋体" w:cs="Times New Roman"/>
      <w:kern w:val="0"/>
      <w:sz w:val="32"/>
      <w:szCs w:val="32"/>
    </w:rPr>
  </w:style>
  <w:style w:type="character" w:customStyle="1" w:styleId="268">
    <w:name w:val="标准正文 Char"/>
    <w:link w:val="269"/>
    <w:qFormat/>
    <w:uiPriority w:val="0"/>
    <w:rPr>
      <w:sz w:val="24"/>
      <w:szCs w:val="24"/>
    </w:rPr>
  </w:style>
  <w:style w:type="paragraph" w:customStyle="1" w:styleId="269">
    <w:name w:val="标准正文"/>
    <w:basedOn w:val="18"/>
    <w:link w:val="268"/>
    <w:qFormat/>
    <w:uiPriority w:val="0"/>
    <w:pPr>
      <w:spacing w:before="60" w:after="60"/>
      <w:ind w:firstLine="482"/>
    </w:pPr>
    <w:rPr>
      <w:rFonts w:asciiTheme="minorHAnsi" w:hAnsiTheme="minorHAnsi" w:eastAsiaTheme="minorEastAsia" w:cstheme="minorBidi"/>
    </w:rPr>
  </w:style>
  <w:style w:type="paragraph" w:customStyle="1" w:styleId="270">
    <w:name w:val="pf0"/>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70</Pages>
  <Words>6904</Words>
  <Characters>7088</Characters>
  <Lines>51</Lines>
  <Paragraphs>14</Paragraphs>
  <TotalTime>0</TotalTime>
  <ScaleCrop>false</ScaleCrop>
  <LinksUpToDate>false</LinksUpToDate>
  <CharactersWithSpaces>7099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2023-03-03T07:02:00Z</dcterms:created>
  <dc:creator>ThinkPad</dc:creator>
  <cp:lastModifiedBy>Estela</cp:lastModifiedBy>
  <dcterms:modified xsi:type="dcterms:W3CDTF">2026-08-14T08:11:44Z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eyJoZGlkIjoiMWJmYmVhMGQ2YWQwOTc0ZDFkYmVkZTE0NzFkNThlYzIiLCJ1c2VySWQiOiIyNDc5MzkxNzUifQ==</vt:lpwstr>
  </property>
  <property fmtid="{D5CDD505-2E9C-101B-9397-08002B2CF9AE}" pid="3" name="KSOProductBuildVer">
    <vt:lpwstr>2052-12.1.0.28043</vt:lpwstr>
  </property>
  <property fmtid="{D5CDD505-2E9C-101B-9397-08002B2CF9AE}" pid="4" name="ICV">
    <vt:lpwstr>143389D9AFEA4584900498C43412E61A_12</vt:lpwstr>
  </property>
</Properties>
</file>