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10607">
      <w:pPr>
        <w:snapToGrid w:val="0"/>
        <w:spacing w:line="360" w:lineRule="auto"/>
        <w:jc w:val="center"/>
        <w:outlineLvl w:val="0"/>
        <w:rPr>
          <w:rFonts w:ascii="仿宋" w:hAnsi="仿宋" w:eastAsia="仿宋" w:cs="仿宋"/>
          <w:b/>
          <w:sz w:val="40"/>
          <w:szCs w:val="40"/>
          <w:highlight w:val="none"/>
        </w:rPr>
      </w:pPr>
      <w:r>
        <w:rPr>
          <w:rFonts w:hint="eastAsia" w:ascii="仿宋" w:hAnsi="仿宋" w:eastAsia="仿宋" w:cs="仿宋"/>
          <w:b/>
          <w:sz w:val="40"/>
          <w:szCs w:val="40"/>
          <w:highlight w:val="none"/>
        </w:rPr>
        <w:t>采购需求</w:t>
      </w:r>
    </w:p>
    <w:p w14:paraId="42EB486E">
      <w:pPr>
        <w:snapToGrid w:val="0"/>
        <w:spacing w:line="360" w:lineRule="auto"/>
        <w:contextualSpacing/>
        <w:jc w:val="left"/>
        <w:rPr>
          <w:rFonts w:ascii="仿宋" w:hAnsi="仿宋" w:eastAsia="仿宋" w:cs="仿宋"/>
          <w:sz w:val="28"/>
          <w:szCs w:val="28"/>
          <w:highlight w:val="none"/>
        </w:rPr>
      </w:pPr>
      <w:r>
        <w:rPr>
          <w:rFonts w:hint="eastAsia" w:ascii="仿宋" w:hAnsi="仿宋" w:eastAsia="仿宋" w:cs="仿宋"/>
          <w:sz w:val="28"/>
          <w:szCs w:val="28"/>
          <w:highlight w:val="none"/>
        </w:rPr>
        <w:t>说明：</w:t>
      </w:r>
    </w:p>
    <w:p w14:paraId="1178CAA9">
      <w:pPr>
        <w:snapToGrid w:val="0"/>
        <w:spacing w:line="360" w:lineRule="auto"/>
        <w:contextualSpacing/>
        <w:jc w:val="left"/>
        <w:rPr>
          <w:rFonts w:ascii="仿宋" w:hAnsi="仿宋" w:eastAsia="仿宋" w:cs="仿宋"/>
          <w:sz w:val="28"/>
          <w:szCs w:val="28"/>
          <w:highlight w:val="none"/>
        </w:rPr>
      </w:pPr>
      <w:r>
        <w:rPr>
          <w:rFonts w:hint="eastAsia" w:ascii="仿宋" w:hAnsi="仿宋" w:eastAsia="仿宋" w:cs="仿宋"/>
          <w:sz w:val="28"/>
          <w:szCs w:val="28"/>
          <w:highlight w:val="none"/>
        </w:rPr>
        <w:t>1. 当采购项目涉及政务信息系统时，采购需求应当符合《政务信息系统政府采购管理暂行办法》（财库〔2017〕210号）的相关要求。</w:t>
      </w:r>
    </w:p>
    <w:p w14:paraId="630A1A28">
      <w:pPr>
        <w:snapToGrid w:val="0"/>
        <w:spacing w:line="360" w:lineRule="auto"/>
        <w:contextualSpacing/>
        <w:jc w:val="left"/>
        <w:rPr>
          <w:rFonts w:ascii="仿宋" w:hAnsi="仿宋" w:eastAsia="仿宋" w:cs="仿宋"/>
          <w:sz w:val="28"/>
          <w:szCs w:val="28"/>
          <w:highlight w:val="none"/>
        </w:rPr>
      </w:pPr>
      <w:r>
        <w:rPr>
          <w:rFonts w:hint="eastAsia" w:ascii="仿宋" w:hAnsi="仿宋" w:eastAsia="仿宋" w:cs="仿宋"/>
          <w:sz w:val="28"/>
          <w:szCs w:val="28"/>
          <w:highlight w:val="none"/>
        </w:rPr>
        <w:t>2. 采购人及采购代理机构应关注财政部门会同有关部门制定发布的需求标准，结合具体应用场景，根据对应《需求标准》确定采购需求。</w:t>
      </w:r>
    </w:p>
    <w:p w14:paraId="525C8F02">
      <w:pPr>
        <w:snapToGrid w:val="0"/>
        <w:spacing w:line="360" w:lineRule="auto"/>
        <w:contextualSpacing/>
        <w:jc w:val="left"/>
        <w:rPr>
          <w:rFonts w:ascii="仿宋" w:hAnsi="仿宋" w:eastAsia="仿宋" w:cs="仿宋"/>
          <w:sz w:val="28"/>
          <w:szCs w:val="28"/>
          <w:highlight w:val="none"/>
        </w:rPr>
      </w:pPr>
      <w:r>
        <w:rPr>
          <w:rFonts w:hint="eastAsia" w:ascii="仿宋" w:hAnsi="仿宋" w:eastAsia="仿宋" w:cs="仿宋"/>
          <w:sz w:val="28"/>
          <w:szCs w:val="28"/>
          <w:highlight w:val="none"/>
        </w:rPr>
        <w:t>已发布的需求标准如下：</w:t>
      </w:r>
    </w:p>
    <w:p w14:paraId="7470744E">
      <w:pPr>
        <w:snapToGrid w:val="0"/>
        <w:spacing w:line="360" w:lineRule="auto"/>
        <w:contextualSpacing/>
        <w:jc w:val="left"/>
        <w:rPr>
          <w:rFonts w:ascii="仿宋" w:hAnsi="仿宋" w:eastAsia="仿宋" w:cs="仿宋"/>
          <w:sz w:val="28"/>
          <w:szCs w:val="28"/>
          <w:highlight w:val="none"/>
        </w:rPr>
      </w:pPr>
      <w:r>
        <w:rPr>
          <w:rFonts w:hint="eastAsia" w:ascii="仿宋" w:hAnsi="仿宋" w:eastAsia="仿宋" w:cs="仿宋"/>
          <w:sz w:val="28"/>
          <w:szCs w:val="28"/>
          <w:highlight w:val="none"/>
        </w:rPr>
        <w:t>《关于印发〈商品包装政府采购需求标准（试行）〉、〈快递包装政府采购需求标准（试行）〉的通知》（财办库﹝2020﹞123号））</w:t>
      </w:r>
    </w:p>
    <w:p w14:paraId="0462BDA7">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《绿色数据中心政府采购需求标准（试行）》（财库〔2023〕7号）</w:t>
      </w:r>
    </w:p>
    <w:p w14:paraId="3B60D23A">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《台式计算机政府采购需求标准（2023年版）》（财库〔2023〕29号）</w:t>
      </w:r>
    </w:p>
    <w:p w14:paraId="6ECCE43C">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《便携式计算机政府采购需求标准（2023年版）》（财库〔2023〕30号）</w:t>
      </w:r>
    </w:p>
    <w:p w14:paraId="7B0FFC72">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《一体式计算机政府采购需求标准（2023年版）》（财库〔2023〕31号）</w:t>
      </w:r>
    </w:p>
    <w:p w14:paraId="394A8DC2">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《工作站政府采购需求标准（2023年版）》（财库〔2023〕32号）</w:t>
      </w:r>
    </w:p>
    <w:p w14:paraId="7E4091C4">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《通用服务器政府采购需求标准（2023年版）》（财库〔2023〕33号）</w:t>
      </w:r>
    </w:p>
    <w:p w14:paraId="7D8D79B2">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《操作系统政府采购需求标准（2023年版）》（财库〔2023〕34号）</w:t>
      </w:r>
    </w:p>
    <w:p w14:paraId="10AAD309">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《数据库政府采购需求标准（2023年版）》（财库〔2023〕35号）</w:t>
      </w:r>
    </w:p>
    <w:p w14:paraId="13AA3C50">
      <w:pPr>
        <w:pStyle w:val="7"/>
        <w:snapToGrid w:val="0"/>
        <w:spacing w:before="0" w:beforeAutospacing="0" w:after="0" w:afterAutospacing="0" w:line="360" w:lineRule="auto"/>
        <w:rPr>
          <w:rFonts w:ascii="仿宋" w:hAnsi="仿宋" w:eastAsia="仿宋" w:cs="仿宋"/>
          <w:kern w:val="2"/>
          <w:sz w:val="28"/>
          <w:szCs w:val="28"/>
          <w:highlight w:val="none"/>
        </w:rPr>
      </w:pPr>
      <w:r>
        <w:rPr>
          <w:rFonts w:hint="eastAsia" w:ascii="仿宋" w:hAnsi="仿宋" w:eastAsia="仿宋" w:cs="仿宋"/>
          <w:kern w:val="2"/>
          <w:sz w:val="28"/>
          <w:szCs w:val="28"/>
          <w:highlight w:val="none"/>
        </w:rPr>
        <w:t>《物业管理服务政府采购需求标准（办公场所类）（试行）》（财办库〔2024〕113号）</w:t>
      </w:r>
    </w:p>
    <w:p w14:paraId="325FF906">
      <w:pPr>
        <w:snapToGrid w:val="0"/>
        <w:spacing w:line="360" w:lineRule="auto"/>
        <w:contextualSpacing/>
        <w:jc w:val="left"/>
        <w:rPr>
          <w:rFonts w:ascii="仿宋" w:hAnsi="仿宋" w:eastAsia="仿宋" w:cs="仿宋"/>
          <w:sz w:val="28"/>
          <w:szCs w:val="28"/>
          <w:highlight w:val="none"/>
        </w:rPr>
      </w:pPr>
      <w:r>
        <w:rPr>
          <w:rFonts w:hint="eastAsia" w:ascii="仿宋" w:hAnsi="仿宋" w:eastAsia="仿宋" w:cs="仿宋"/>
          <w:sz w:val="28"/>
          <w:szCs w:val="28"/>
          <w:highlight w:val="none"/>
        </w:rPr>
        <w:t>如有更新或增加，以财政部门发布为准。</w:t>
      </w:r>
    </w:p>
    <w:p w14:paraId="7ED200AC">
      <w:pPr>
        <w:widowControl/>
        <w:snapToGrid w:val="0"/>
        <w:spacing w:line="360" w:lineRule="auto"/>
        <w:jc w:val="left"/>
        <w:rPr>
          <w:rFonts w:ascii="仿宋" w:hAnsi="仿宋" w:eastAsia="仿宋" w:cs="仿宋"/>
          <w:b/>
          <w:sz w:val="28"/>
          <w:szCs w:val="28"/>
          <w:highlight w:val="none"/>
        </w:rPr>
      </w:pPr>
      <w:r>
        <w:rPr>
          <w:rFonts w:ascii="仿宋" w:hAnsi="仿宋" w:eastAsia="仿宋" w:cs="仿宋"/>
          <w:b/>
          <w:sz w:val="28"/>
          <w:szCs w:val="28"/>
          <w:highlight w:val="none"/>
        </w:rPr>
        <w:br w:type="page"/>
      </w:r>
    </w:p>
    <w:p w14:paraId="4A90416B">
      <w:pPr>
        <w:snapToGrid w:val="0"/>
        <w:spacing w:line="360" w:lineRule="auto"/>
        <w:jc w:val="left"/>
        <w:rPr>
          <w:rFonts w:ascii="仿宋" w:hAnsi="仿宋" w:eastAsia="仿宋" w:cs="仿宋"/>
          <w:b/>
          <w:sz w:val="24"/>
          <w:highlight w:val="none"/>
        </w:rPr>
      </w:pPr>
      <w:r>
        <w:rPr>
          <w:rFonts w:hint="eastAsia" w:ascii="仿宋" w:hAnsi="仿宋" w:eastAsia="仿宋" w:cs="仿宋"/>
          <w:b/>
          <w:sz w:val="24"/>
          <w:highlight w:val="none"/>
        </w:rPr>
        <w:t>一、采购标的</w:t>
      </w:r>
    </w:p>
    <w:p w14:paraId="76786ED8">
      <w:pPr>
        <w:snapToGrid w:val="0"/>
        <w:spacing w:line="360" w:lineRule="auto"/>
        <w:jc w:val="left"/>
        <w:rPr>
          <w:rFonts w:ascii="仿宋" w:hAnsi="仿宋" w:eastAsia="仿宋" w:cs="仿宋"/>
          <w:bCs/>
          <w:sz w:val="24"/>
          <w:highlight w:val="none"/>
        </w:rPr>
      </w:pPr>
      <w:r>
        <w:rPr>
          <w:rFonts w:hint="eastAsia" w:ascii="仿宋" w:hAnsi="仿宋" w:eastAsia="仿宋" w:cs="仿宋"/>
          <w:bCs/>
          <w:sz w:val="24"/>
          <w:highlight w:val="none"/>
        </w:rPr>
        <w:t>（一）采购标的（货物需求一览表或简要服务内容及数量）</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1339"/>
        <w:gridCol w:w="991"/>
        <w:gridCol w:w="2382"/>
        <w:gridCol w:w="1231"/>
        <w:gridCol w:w="1641"/>
      </w:tblGrid>
      <w:tr w14:paraId="2458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50" w:type="pct"/>
            <w:vAlign w:val="center"/>
          </w:tcPr>
          <w:p w14:paraId="503ED0E8">
            <w:pPr>
              <w:widowControl/>
              <w:spacing w:line="360" w:lineRule="auto"/>
              <w:jc w:val="center"/>
              <w:rPr>
                <w:rFonts w:ascii="仿宋" w:hAnsi="仿宋" w:eastAsia="仿宋" w:cs="仿宋"/>
                <w:b/>
                <w:bCs/>
                <w:sz w:val="24"/>
                <w:highlight w:val="none"/>
              </w:rPr>
            </w:pPr>
            <w:r>
              <w:rPr>
                <w:rFonts w:hint="eastAsia" w:ascii="仿宋" w:hAnsi="仿宋" w:eastAsia="仿宋" w:cs="仿宋"/>
                <w:b/>
                <w:bCs/>
                <w:sz w:val="24"/>
                <w:highlight w:val="none"/>
              </w:rPr>
              <w:t>包号</w:t>
            </w:r>
          </w:p>
        </w:tc>
        <w:tc>
          <w:tcPr>
            <w:tcW w:w="785" w:type="pct"/>
            <w:vAlign w:val="center"/>
          </w:tcPr>
          <w:p w14:paraId="4CC4F722">
            <w:pPr>
              <w:widowControl/>
              <w:spacing w:line="360" w:lineRule="auto"/>
              <w:jc w:val="center"/>
              <w:rPr>
                <w:rFonts w:ascii="仿宋" w:hAnsi="仿宋" w:eastAsia="仿宋" w:cs="仿宋"/>
                <w:b/>
                <w:bCs/>
                <w:sz w:val="24"/>
                <w:highlight w:val="none"/>
              </w:rPr>
            </w:pPr>
            <w:r>
              <w:rPr>
                <w:rFonts w:hint="eastAsia" w:ascii="仿宋" w:hAnsi="仿宋" w:eastAsia="仿宋" w:cs="仿宋"/>
                <w:b/>
                <w:bCs/>
                <w:sz w:val="24"/>
                <w:highlight w:val="none"/>
                <w:lang w:val="en-US" w:eastAsia="zh-CN"/>
              </w:rPr>
              <w:t>标的</w:t>
            </w:r>
            <w:r>
              <w:rPr>
                <w:rFonts w:hint="eastAsia" w:ascii="仿宋" w:hAnsi="仿宋" w:eastAsia="仿宋" w:cs="仿宋"/>
                <w:b/>
                <w:bCs/>
                <w:sz w:val="24"/>
                <w:highlight w:val="none"/>
              </w:rPr>
              <w:t>名称</w:t>
            </w:r>
          </w:p>
        </w:tc>
        <w:tc>
          <w:tcPr>
            <w:tcW w:w="581" w:type="pct"/>
            <w:vAlign w:val="center"/>
          </w:tcPr>
          <w:p w14:paraId="354EEDD5">
            <w:pPr>
              <w:widowControl/>
              <w:spacing w:line="360" w:lineRule="auto"/>
              <w:jc w:val="center"/>
              <w:rPr>
                <w:rFonts w:hint="default"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序号</w:t>
            </w:r>
          </w:p>
        </w:tc>
        <w:tc>
          <w:tcPr>
            <w:tcW w:w="1397" w:type="pct"/>
            <w:shd w:val="clear" w:color="000000" w:fill="FFFFFF"/>
            <w:vAlign w:val="center"/>
          </w:tcPr>
          <w:p w14:paraId="204FF05C">
            <w:pPr>
              <w:widowControl/>
              <w:spacing w:line="360" w:lineRule="auto"/>
              <w:jc w:val="center"/>
              <w:rPr>
                <w:rFonts w:ascii="仿宋" w:hAnsi="仿宋" w:eastAsia="仿宋" w:cs="仿宋"/>
                <w:b/>
                <w:bCs/>
                <w:sz w:val="24"/>
                <w:highlight w:val="none"/>
              </w:rPr>
            </w:pPr>
            <w:r>
              <w:rPr>
                <w:rFonts w:hint="eastAsia" w:ascii="仿宋" w:hAnsi="仿宋" w:eastAsia="仿宋" w:cs="仿宋"/>
                <w:b/>
                <w:bCs/>
                <w:sz w:val="24"/>
                <w:highlight w:val="none"/>
                <w:lang w:val="en-US" w:eastAsia="zh-CN"/>
              </w:rPr>
              <w:t>设备</w:t>
            </w:r>
            <w:bookmarkStart w:id="0" w:name="_GoBack"/>
            <w:bookmarkEnd w:id="0"/>
            <w:r>
              <w:rPr>
                <w:rFonts w:hint="eastAsia" w:ascii="仿宋" w:hAnsi="仿宋" w:eastAsia="仿宋" w:cs="仿宋"/>
                <w:b/>
                <w:bCs/>
                <w:sz w:val="24"/>
                <w:highlight w:val="none"/>
              </w:rPr>
              <w:t>名称</w:t>
            </w:r>
          </w:p>
        </w:tc>
        <w:tc>
          <w:tcPr>
            <w:tcW w:w="722" w:type="pct"/>
            <w:shd w:val="clear" w:color="000000" w:fill="FFFFFF"/>
            <w:vAlign w:val="center"/>
          </w:tcPr>
          <w:p w14:paraId="7CA89FC6">
            <w:pPr>
              <w:widowControl/>
              <w:spacing w:line="360" w:lineRule="auto"/>
              <w:jc w:val="center"/>
              <w:rPr>
                <w:rFonts w:ascii="仿宋" w:hAnsi="仿宋" w:eastAsia="仿宋" w:cs="仿宋"/>
                <w:b/>
                <w:bCs/>
                <w:sz w:val="24"/>
                <w:highlight w:val="none"/>
              </w:rPr>
            </w:pPr>
            <w:r>
              <w:rPr>
                <w:rFonts w:ascii="仿宋" w:hAnsi="仿宋" w:eastAsia="仿宋" w:cs="仿宋"/>
                <w:b/>
                <w:bCs/>
                <w:sz w:val="24"/>
                <w:highlight w:val="none"/>
              </w:rPr>
              <w:t>数量</w:t>
            </w:r>
          </w:p>
        </w:tc>
        <w:tc>
          <w:tcPr>
            <w:tcW w:w="962" w:type="pct"/>
            <w:shd w:val="clear" w:color="000000" w:fill="FFFFFF"/>
            <w:vAlign w:val="center"/>
          </w:tcPr>
          <w:p w14:paraId="7EA5FBF4">
            <w:pPr>
              <w:widowControl/>
              <w:spacing w:line="360" w:lineRule="auto"/>
              <w:jc w:val="center"/>
              <w:rPr>
                <w:rFonts w:ascii="仿宋" w:hAnsi="仿宋" w:eastAsia="仿宋" w:cs="仿宋"/>
                <w:b/>
                <w:bCs/>
                <w:sz w:val="24"/>
                <w:highlight w:val="none"/>
              </w:rPr>
            </w:pPr>
            <w:r>
              <w:rPr>
                <w:rFonts w:hint="eastAsia" w:ascii="仿宋" w:hAnsi="仿宋" w:eastAsia="仿宋" w:cs="仿宋"/>
                <w:b/>
                <w:bCs/>
                <w:sz w:val="24"/>
                <w:highlight w:val="none"/>
              </w:rPr>
              <w:t>是否接受进口产品</w:t>
            </w:r>
          </w:p>
        </w:tc>
      </w:tr>
      <w:tr w14:paraId="6517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550" w:type="pct"/>
            <w:vMerge w:val="restart"/>
            <w:vAlign w:val="center"/>
          </w:tcPr>
          <w:p w14:paraId="3F2AA5B6">
            <w:pPr>
              <w:widowControl/>
              <w:spacing w:line="360" w:lineRule="auto"/>
              <w:contextualSpacing/>
              <w:jc w:val="center"/>
              <w:rPr>
                <w:rFonts w:ascii="仿宋" w:hAnsi="仿宋" w:eastAsia="仿宋" w:cs="宋体"/>
                <w:kern w:val="0"/>
                <w:sz w:val="24"/>
                <w:highlight w:val="none"/>
              </w:rPr>
            </w:pPr>
            <w:r>
              <w:rPr>
                <w:rFonts w:hint="eastAsia" w:ascii="仿宋" w:hAnsi="仿宋" w:eastAsia="仿宋" w:cs="宋体"/>
                <w:kern w:val="0"/>
                <w:sz w:val="24"/>
                <w:highlight w:val="none"/>
              </w:rPr>
              <w:t>2</w:t>
            </w:r>
          </w:p>
        </w:tc>
        <w:tc>
          <w:tcPr>
            <w:tcW w:w="785" w:type="pct"/>
            <w:vMerge w:val="restart"/>
            <w:vAlign w:val="center"/>
          </w:tcPr>
          <w:p w14:paraId="16A849E9">
            <w:pPr>
              <w:widowControl/>
              <w:spacing w:line="360" w:lineRule="auto"/>
              <w:contextualSpacing/>
              <w:jc w:val="left"/>
              <w:rPr>
                <w:rFonts w:ascii="仿宋" w:hAnsi="仿宋" w:eastAsia="仿宋" w:cs="宋体"/>
                <w:kern w:val="0"/>
                <w:sz w:val="24"/>
                <w:highlight w:val="none"/>
              </w:rPr>
            </w:pPr>
            <w:r>
              <w:rPr>
                <w:rFonts w:hint="eastAsia" w:ascii="仿宋" w:hAnsi="仿宋" w:eastAsia="仿宋" w:cs="宋体"/>
                <w:kern w:val="0"/>
                <w:sz w:val="24"/>
                <w:highlight w:val="none"/>
              </w:rPr>
              <w:t>信息化网路及安全设备购置</w:t>
            </w:r>
          </w:p>
        </w:tc>
        <w:tc>
          <w:tcPr>
            <w:tcW w:w="581" w:type="pct"/>
            <w:vAlign w:val="center"/>
          </w:tcPr>
          <w:p w14:paraId="0262B884">
            <w:pPr>
              <w:widowControl/>
              <w:spacing w:line="360" w:lineRule="auto"/>
              <w:contextualSpacing/>
              <w:jc w:val="center"/>
              <w:rPr>
                <w:rFonts w:hint="eastAsia" w:ascii="仿宋" w:hAnsi="仿宋" w:eastAsia="仿宋" w:cs="宋体"/>
                <w:kern w:val="0"/>
                <w:sz w:val="24"/>
                <w:highlight w:val="none"/>
                <w:lang w:eastAsia="zh-CN"/>
              </w:rPr>
            </w:pPr>
            <w:r>
              <w:rPr>
                <w:rFonts w:hint="eastAsia" w:ascii="仿宋" w:hAnsi="仿宋" w:eastAsia="仿宋" w:cs="宋体"/>
                <w:kern w:val="0"/>
                <w:sz w:val="24"/>
                <w:highlight w:val="none"/>
              </w:rPr>
              <w:t>1</w:t>
            </w:r>
          </w:p>
        </w:tc>
        <w:tc>
          <w:tcPr>
            <w:tcW w:w="1397" w:type="pct"/>
            <w:shd w:val="clear" w:color="000000" w:fill="FFFFFF"/>
            <w:vAlign w:val="center"/>
          </w:tcPr>
          <w:p w14:paraId="7E0D9E5A">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光纤交换机</w:t>
            </w:r>
          </w:p>
        </w:tc>
        <w:tc>
          <w:tcPr>
            <w:tcW w:w="722" w:type="pct"/>
            <w:shd w:val="clear" w:color="000000" w:fill="FFFFFF"/>
            <w:vAlign w:val="center"/>
          </w:tcPr>
          <w:p w14:paraId="4EB2160B">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2台</w:t>
            </w:r>
          </w:p>
        </w:tc>
        <w:tc>
          <w:tcPr>
            <w:tcW w:w="962" w:type="pct"/>
            <w:shd w:val="clear" w:color="000000" w:fill="FFFFFF"/>
            <w:vAlign w:val="center"/>
          </w:tcPr>
          <w:p w14:paraId="1C4A9F4C">
            <w:pPr>
              <w:widowControl/>
              <w:spacing w:line="360" w:lineRule="auto"/>
              <w:contextualSpacing/>
              <w:jc w:val="center"/>
              <w:rPr>
                <w:rFonts w:hint="eastAsia" w:ascii="仿宋" w:hAnsi="仿宋" w:eastAsia="仿宋" w:cs="宋体"/>
                <w:kern w:val="0"/>
                <w:sz w:val="24"/>
                <w:highlight w:val="none"/>
                <w:lang w:eastAsia="zh-CN"/>
              </w:rPr>
            </w:pPr>
            <w:r>
              <w:rPr>
                <w:rFonts w:hint="eastAsia" w:ascii="仿宋" w:hAnsi="仿宋" w:eastAsia="仿宋" w:cs="宋体"/>
                <w:kern w:val="0"/>
                <w:sz w:val="24"/>
                <w:highlight w:val="none"/>
                <w:lang w:val="en-US" w:eastAsia="zh-CN"/>
              </w:rPr>
              <w:t>否</w:t>
            </w:r>
          </w:p>
        </w:tc>
      </w:tr>
      <w:tr w14:paraId="6264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550" w:type="pct"/>
            <w:vMerge w:val="continue"/>
            <w:vAlign w:val="center"/>
          </w:tcPr>
          <w:p w14:paraId="2CFE91EA">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1DD65F80">
            <w:pPr>
              <w:widowControl/>
              <w:spacing w:line="360" w:lineRule="auto"/>
              <w:contextualSpacing/>
              <w:jc w:val="left"/>
              <w:rPr>
                <w:rFonts w:ascii="仿宋" w:hAnsi="仿宋" w:eastAsia="仿宋" w:cs="宋体"/>
                <w:kern w:val="0"/>
                <w:sz w:val="24"/>
                <w:highlight w:val="none"/>
              </w:rPr>
            </w:pPr>
          </w:p>
        </w:tc>
        <w:tc>
          <w:tcPr>
            <w:tcW w:w="581" w:type="pct"/>
            <w:vAlign w:val="center"/>
          </w:tcPr>
          <w:p w14:paraId="74777A57">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2</w:t>
            </w:r>
          </w:p>
        </w:tc>
        <w:tc>
          <w:tcPr>
            <w:tcW w:w="1397" w:type="pct"/>
            <w:shd w:val="clear" w:color="000000" w:fill="FFFFFF"/>
            <w:vAlign w:val="center"/>
          </w:tcPr>
          <w:p w14:paraId="6C511421">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核心交换机</w:t>
            </w:r>
          </w:p>
        </w:tc>
        <w:tc>
          <w:tcPr>
            <w:tcW w:w="722" w:type="pct"/>
            <w:shd w:val="clear" w:color="000000" w:fill="FFFFFF"/>
            <w:vAlign w:val="center"/>
          </w:tcPr>
          <w:p w14:paraId="4A590F1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2台</w:t>
            </w:r>
          </w:p>
        </w:tc>
        <w:tc>
          <w:tcPr>
            <w:tcW w:w="962" w:type="pct"/>
            <w:shd w:val="clear" w:color="000000" w:fill="FFFFFF"/>
            <w:vAlign w:val="center"/>
          </w:tcPr>
          <w:p w14:paraId="46C5E271">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3613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28E19F52">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24C4B583">
            <w:pPr>
              <w:widowControl/>
              <w:spacing w:line="360" w:lineRule="auto"/>
              <w:contextualSpacing/>
              <w:jc w:val="left"/>
              <w:rPr>
                <w:rFonts w:ascii="仿宋" w:hAnsi="仿宋" w:eastAsia="仿宋" w:cs="宋体"/>
                <w:kern w:val="0"/>
                <w:sz w:val="24"/>
                <w:highlight w:val="none"/>
              </w:rPr>
            </w:pPr>
          </w:p>
        </w:tc>
        <w:tc>
          <w:tcPr>
            <w:tcW w:w="581" w:type="pct"/>
            <w:vAlign w:val="center"/>
          </w:tcPr>
          <w:p w14:paraId="4BE13370">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3</w:t>
            </w:r>
          </w:p>
        </w:tc>
        <w:tc>
          <w:tcPr>
            <w:tcW w:w="1397" w:type="pct"/>
            <w:shd w:val="clear" w:color="000000" w:fill="FFFFFF"/>
            <w:vAlign w:val="center"/>
          </w:tcPr>
          <w:p w14:paraId="559A99AA">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交换机</w:t>
            </w:r>
          </w:p>
        </w:tc>
        <w:tc>
          <w:tcPr>
            <w:tcW w:w="722" w:type="pct"/>
            <w:shd w:val="clear" w:color="000000" w:fill="FFFFFF"/>
            <w:vAlign w:val="center"/>
          </w:tcPr>
          <w:p w14:paraId="6580156E">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6台</w:t>
            </w:r>
          </w:p>
        </w:tc>
        <w:tc>
          <w:tcPr>
            <w:tcW w:w="962" w:type="pct"/>
            <w:shd w:val="clear" w:color="000000" w:fill="FFFFFF"/>
            <w:vAlign w:val="center"/>
          </w:tcPr>
          <w:p w14:paraId="1023384A">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09A2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3EBCD41B">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3ED52CBB">
            <w:pPr>
              <w:widowControl/>
              <w:spacing w:line="360" w:lineRule="auto"/>
              <w:contextualSpacing/>
              <w:jc w:val="left"/>
              <w:rPr>
                <w:rFonts w:ascii="仿宋" w:hAnsi="仿宋" w:eastAsia="仿宋" w:cs="宋体"/>
                <w:kern w:val="0"/>
                <w:sz w:val="24"/>
                <w:highlight w:val="none"/>
              </w:rPr>
            </w:pPr>
          </w:p>
        </w:tc>
        <w:tc>
          <w:tcPr>
            <w:tcW w:w="581" w:type="pct"/>
            <w:vAlign w:val="center"/>
          </w:tcPr>
          <w:p w14:paraId="4051C4BC">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4</w:t>
            </w:r>
          </w:p>
        </w:tc>
        <w:tc>
          <w:tcPr>
            <w:tcW w:w="1397" w:type="pct"/>
            <w:shd w:val="clear" w:color="000000" w:fill="FFFFFF"/>
            <w:vAlign w:val="center"/>
          </w:tcPr>
          <w:p w14:paraId="52D1F357">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接入层交换机</w:t>
            </w:r>
          </w:p>
        </w:tc>
        <w:tc>
          <w:tcPr>
            <w:tcW w:w="722" w:type="pct"/>
            <w:shd w:val="clear" w:color="000000" w:fill="FFFFFF"/>
            <w:vAlign w:val="center"/>
          </w:tcPr>
          <w:p w14:paraId="5C59887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6台</w:t>
            </w:r>
          </w:p>
        </w:tc>
        <w:tc>
          <w:tcPr>
            <w:tcW w:w="962" w:type="pct"/>
            <w:shd w:val="clear" w:color="000000" w:fill="FFFFFF"/>
            <w:vAlign w:val="center"/>
          </w:tcPr>
          <w:p w14:paraId="6F7ACA7D">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0929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286E4F89">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4A5C8627">
            <w:pPr>
              <w:widowControl/>
              <w:spacing w:line="360" w:lineRule="auto"/>
              <w:contextualSpacing/>
              <w:jc w:val="left"/>
              <w:rPr>
                <w:rFonts w:ascii="仿宋" w:hAnsi="仿宋" w:eastAsia="仿宋" w:cs="宋体"/>
                <w:kern w:val="0"/>
                <w:sz w:val="24"/>
                <w:highlight w:val="none"/>
              </w:rPr>
            </w:pPr>
          </w:p>
        </w:tc>
        <w:tc>
          <w:tcPr>
            <w:tcW w:w="581" w:type="pct"/>
            <w:vAlign w:val="center"/>
          </w:tcPr>
          <w:p w14:paraId="4C953C6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5</w:t>
            </w:r>
          </w:p>
        </w:tc>
        <w:tc>
          <w:tcPr>
            <w:tcW w:w="1397" w:type="pct"/>
            <w:shd w:val="clear" w:color="000000" w:fill="FFFFFF"/>
            <w:vAlign w:val="center"/>
          </w:tcPr>
          <w:p w14:paraId="41BCDD40">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网络管理系统</w:t>
            </w:r>
          </w:p>
        </w:tc>
        <w:tc>
          <w:tcPr>
            <w:tcW w:w="722" w:type="pct"/>
            <w:shd w:val="clear" w:color="000000" w:fill="FFFFFF"/>
            <w:vAlign w:val="center"/>
          </w:tcPr>
          <w:p w14:paraId="0A91E672">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1套</w:t>
            </w:r>
          </w:p>
        </w:tc>
        <w:tc>
          <w:tcPr>
            <w:tcW w:w="962" w:type="pct"/>
            <w:shd w:val="clear" w:color="000000" w:fill="FFFFFF"/>
            <w:vAlign w:val="center"/>
          </w:tcPr>
          <w:p w14:paraId="33537CE2">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02F2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48523CB3">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131B8D99">
            <w:pPr>
              <w:widowControl/>
              <w:spacing w:line="360" w:lineRule="auto"/>
              <w:contextualSpacing/>
              <w:jc w:val="left"/>
              <w:rPr>
                <w:rFonts w:ascii="仿宋" w:hAnsi="仿宋" w:eastAsia="仿宋" w:cs="宋体"/>
                <w:kern w:val="0"/>
                <w:sz w:val="24"/>
                <w:highlight w:val="none"/>
              </w:rPr>
            </w:pPr>
          </w:p>
        </w:tc>
        <w:tc>
          <w:tcPr>
            <w:tcW w:w="581" w:type="pct"/>
            <w:vAlign w:val="center"/>
          </w:tcPr>
          <w:p w14:paraId="62091CA6">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6</w:t>
            </w:r>
          </w:p>
        </w:tc>
        <w:tc>
          <w:tcPr>
            <w:tcW w:w="1397" w:type="pct"/>
            <w:shd w:val="clear" w:color="000000" w:fill="FFFFFF"/>
            <w:vAlign w:val="center"/>
          </w:tcPr>
          <w:p w14:paraId="4E56DA7B">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终端安全系统</w:t>
            </w:r>
          </w:p>
        </w:tc>
        <w:tc>
          <w:tcPr>
            <w:tcW w:w="722" w:type="pct"/>
            <w:shd w:val="clear" w:color="000000" w:fill="FFFFFF"/>
            <w:vAlign w:val="center"/>
          </w:tcPr>
          <w:p w14:paraId="0B0811F8">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1套</w:t>
            </w:r>
          </w:p>
        </w:tc>
        <w:tc>
          <w:tcPr>
            <w:tcW w:w="962" w:type="pct"/>
            <w:shd w:val="clear" w:color="000000" w:fill="FFFFFF"/>
            <w:vAlign w:val="center"/>
          </w:tcPr>
          <w:p w14:paraId="6976372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0884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059C4296">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51E032B6">
            <w:pPr>
              <w:widowControl/>
              <w:spacing w:line="360" w:lineRule="auto"/>
              <w:contextualSpacing/>
              <w:jc w:val="left"/>
              <w:rPr>
                <w:rFonts w:ascii="仿宋" w:hAnsi="仿宋" w:eastAsia="仿宋" w:cs="宋体"/>
                <w:kern w:val="0"/>
                <w:sz w:val="24"/>
                <w:highlight w:val="none"/>
              </w:rPr>
            </w:pPr>
          </w:p>
        </w:tc>
        <w:tc>
          <w:tcPr>
            <w:tcW w:w="581" w:type="pct"/>
            <w:vAlign w:val="center"/>
          </w:tcPr>
          <w:p w14:paraId="623EB11B">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7</w:t>
            </w:r>
          </w:p>
        </w:tc>
        <w:tc>
          <w:tcPr>
            <w:tcW w:w="1397" w:type="pct"/>
            <w:shd w:val="clear" w:color="000000" w:fill="FFFFFF"/>
            <w:vAlign w:val="center"/>
          </w:tcPr>
          <w:p w14:paraId="43787297">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防火墙</w:t>
            </w:r>
          </w:p>
        </w:tc>
        <w:tc>
          <w:tcPr>
            <w:tcW w:w="722" w:type="pct"/>
            <w:shd w:val="clear" w:color="000000" w:fill="FFFFFF"/>
            <w:vAlign w:val="center"/>
          </w:tcPr>
          <w:p w14:paraId="46CBC436">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2台</w:t>
            </w:r>
          </w:p>
        </w:tc>
        <w:tc>
          <w:tcPr>
            <w:tcW w:w="962" w:type="pct"/>
            <w:shd w:val="clear" w:color="000000" w:fill="FFFFFF"/>
            <w:vAlign w:val="center"/>
          </w:tcPr>
          <w:p w14:paraId="201D480B">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4ABF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3C3F7A8D">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1FAF0EE2">
            <w:pPr>
              <w:widowControl/>
              <w:spacing w:line="360" w:lineRule="auto"/>
              <w:contextualSpacing/>
              <w:jc w:val="left"/>
              <w:rPr>
                <w:rFonts w:ascii="仿宋" w:hAnsi="仿宋" w:eastAsia="仿宋" w:cs="宋体"/>
                <w:kern w:val="0"/>
                <w:sz w:val="24"/>
                <w:highlight w:val="none"/>
              </w:rPr>
            </w:pPr>
          </w:p>
        </w:tc>
        <w:tc>
          <w:tcPr>
            <w:tcW w:w="581" w:type="pct"/>
            <w:vAlign w:val="center"/>
          </w:tcPr>
          <w:p w14:paraId="468F5E0E">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8</w:t>
            </w:r>
          </w:p>
        </w:tc>
        <w:tc>
          <w:tcPr>
            <w:tcW w:w="1397" w:type="pct"/>
            <w:shd w:val="clear" w:color="000000" w:fill="FFFFFF"/>
            <w:vAlign w:val="center"/>
          </w:tcPr>
          <w:p w14:paraId="422E2EE5">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下一代-防火墙</w:t>
            </w:r>
          </w:p>
        </w:tc>
        <w:tc>
          <w:tcPr>
            <w:tcW w:w="722" w:type="pct"/>
            <w:shd w:val="clear" w:color="000000" w:fill="FFFFFF"/>
            <w:vAlign w:val="center"/>
          </w:tcPr>
          <w:p w14:paraId="05F5098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2台</w:t>
            </w:r>
          </w:p>
        </w:tc>
        <w:tc>
          <w:tcPr>
            <w:tcW w:w="962" w:type="pct"/>
            <w:shd w:val="clear" w:color="000000" w:fill="FFFFFF"/>
            <w:vAlign w:val="center"/>
          </w:tcPr>
          <w:p w14:paraId="516A19BD">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34DB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53BD9159">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25FF4730">
            <w:pPr>
              <w:widowControl/>
              <w:spacing w:line="360" w:lineRule="auto"/>
              <w:contextualSpacing/>
              <w:jc w:val="left"/>
              <w:rPr>
                <w:rFonts w:ascii="仿宋" w:hAnsi="仿宋" w:eastAsia="仿宋" w:cs="宋体"/>
                <w:kern w:val="0"/>
                <w:sz w:val="24"/>
                <w:highlight w:val="none"/>
              </w:rPr>
            </w:pPr>
          </w:p>
        </w:tc>
        <w:tc>
          <w:tcPr>
            <w:tcW w:w="581" w:type="pct"/>
            <w:vAlign w:val="center"/>
          </w:tcPr>
          <w:p w14:paraId="54FCADFF">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9</w:t>
            </w:r>
          </w:p>
        </w:tc>
        <w:tc>
          <w:tcPr>
            <w:tcW w:w="1397" w:type="pct"/>
            <w:shd w:val="clear" w:color="000000" w:fill="FFFFFF"/>
            <w:vAlign w:val="center"/>
          </w:tcPr>
          <w:p w14:paraId="4B6D2D50">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WEB应用防火墙</w:t>
            </w:r>
          </w:p>
        </w:tc>
        <w:tc>
          <w:tcPr>
            <w:tcW w:w="722" w:type="pct"/>
            <w:shd w:val="clear" w:color="000000" w:fill="FFFFFF"/>
            <w:vAlign w:val="center"/>
          </w:tcPr>
          <w:p w14:paraId="320623F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2套</w:t>
            </w:r>
          </w:p>
        </w:tc>
        <w:tc>
          <w:tcPr>
            <w:tcW w:w="962" w:type="pct"/>
            <w:shd w:val="clear" w:color="000000" w:fill="FFFFFF"/>
            <w:vAlign w:val="center"/>
          </w:tcPr>
          <w:p w14:paraId="3179DB8C">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31B2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1A4F3644">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2E0DB0D4">
            <w:pPr>
              <w:widowControl/>
              <w:spacing w:line="360" w:lineRule="auto"/>
              <w:contextualSpacing/>
              <w:jc w:val="left"/>
              <w:rPr>
                <w:rFonts w:ascii="仿宋" w:hAnsi="仿宋" w:eastAsia="仿宋" w:cs="宋体"/>
                <w:kern w:val="0"/>
                <w:sz w:val="24"/>
                <w:highlight w:val="none"/>
              </w:rPr>
            </w:pPr>
          </w:p>
        </w:tc>
        <w:tc>
          <w:tcPr>
            <w:tcW w:w="581" w:type="pct"/>
            <w:vAlign w:val="center"/>
          </w:tcPr>
          <w:p w14:paraId="66B0DED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10</w:t>
            </w:r>
          </w:p>
        </w:tc>
        <w:tc>
          <w:tcPr>
            <w:tcW w:w="1397" w:type="pct"/>
            <w:shd w:val="clear" w:color="000000" w:fill="FFFFFF"/>
            <w:vAlign w:val="center"/>
          </w:tcPr>
          <w:p w14:paraId="415E7069">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数据库审计</w:t>
            </w:r>
          </w:p>
        </w:tc>
        <w:tc>
          <w:tcPr>
            <w:tcW w:w="722" w:type="pct"/>
            <w:shd w:val="clear" w:color="000000" w:fill="FFFFFF"/>
            <w:vAlign w:val="center"/>
          </w:tcPr>
          <w:p w14:paraId="220CCC62">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1台</w:t>
            </w:r>
          </w:p>
        </w:tc>
        <w:tc>
          <w:tcPr>
            <w:tcW w:w="962" w:type="pct"/>
            <w:shd w:val="clear" w:color="000000" w:fill="FFFFFF"/>
            <w:vAlign w:val="center"/>
          </w:tcPr>
          <w:p w14:paraId="07DCB340">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1986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2D2F317B">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20925ACB">
            <w:pPr>
              <w:widowControl/>
              <w:spacing w:line="360" w:lineRule="auto"/>
              <w:contextualSpacing/>
              <w:jc w:val="left"/>
              <w:rPr>
                <w:rFonts w:ascii="仿宋" w:hAnsi="仿宋" w:eastAsia="仿宋" w:cs="宋体"/>
                <w:kern w:val="0"/>
                <w:sz w:val="24"/>
                <w:highlight w:val="none"/>
              </w:rPr>
            </w:pPr>
          </w:p>
        </w:tc>
        <w:tc>
          <w:tcPr>
            <w:tcW w:w="581" w:type="pct"/>
            <w:vAlign w:val="center"/>
          </w:tcPr>
          <w:p w14:paraId="011FAC69">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11</w:t>
            </w:r>
          </w:p>
        </w:tc>
        <w:tc>
          <w:tcPr>
            <w:tcW w:w="1397" w:type="pct"/>
            <w:shd w:val="clear" w:color="000000" w:fill="FFFFFF"/>
            <w:vAlign w:val="center"/>
          </w:tcPr>
          <w:p w14:paraId="5FD7FC50">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日志审计</w:t>
            </w:r>
          </w:p>
        </w:tc>
        <w:tc>
          <w:tcPr>
            <w:tcW w:w="722" w:type="pct"/>
            <w:shd w:val="clear" w:color="000000" w:fill="FFFFFF"/>
            <w:vAlign w:val="center"/>
          </w:tcPr>
          <w:p w14:paraId="022F08A4">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1台</w:t>
            </w:r>
          </w:p>
        </w:tc>
        <w:tc>
          <w:tcPr>
            <w:tcW w:w="962" w:type="pct"/>
            <w:shd w:val="clear" w:color="000000" w:fill="FFFFFF"/>
            <w:vAlign w:val="center"/>
          </w:tcPr>
          <w:p w14:paraId="05B6410C">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1F76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7DD65353">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5A320607">
            <w:pPr>
              <w:widowControl/>
              <w:spacing w:line="360" w:lineRule="auto"/>
              <w:contextualSpacing/>
              <w:jc w:val="left"/>
              <w:rPr>
                <w:rFonts w:ascii="仿宋" w:hAnsi="仿宋" w:eastAsia="仿宋" w:cs="宋体"/>
                <w:kern w:val="0"/>
                <w:sz w:val="24"/>
                <w:highlight w:val="none"/>
              </w:rPr>
            </w:pPr>
          </w:p>
        </w:tc>
        <w:tc>
          <w:tcPr>
            <w:tcW w:w="581" w:type="pct"/>
            <w:vAlign w:val="center"/>
          </w:tcPr>
          <w:p w14:paraId="2270017B">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12</w:t>
            </w:r>
          </w:p>
        </w:tc>
        <w:tc>
          <w:tcPr>
            <w:tcW w:w="1397" w:type="pct"/>
            <w:shd w:val="clear" w:color="000000" w:fill="FFFFFF"/>
            <w:vAlign w:val="center"/>
          </w:tcPr>
          <w:p w14:paraId="372DB489">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漏扫</w:t>
            </w:r>
          </w:p>
        </w:tc>
        <w:tc>
          <w:tcPr>
            <w:tcW w:w="722" w:type="pct"/>
            <w:shd w:val="clear" w:color="000000" w:fill="FFFFFF"/>
            <w:vAlign w:val="center"/>
          </w:tcPr>
          <w:p w14:paraId="6BC3233E">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1台</w:t>
            </w:r>
          </w:p>
        </w:tc>
        <w:tc>
          <w:tcPr>
            <w:tcW w:w="962" w:type="pct"/>
            <w:shd w:val="clear" w:color="000000" w:fill="FFFFFF"/>
            <w:vAlign w:val="center"/>
          </w:tcPr>
          <w:p w14:paraId="55460EE6">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3F25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6D60620D">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37460B26">
            <w:pPr>
              <w:widowControl/>
              <w:spacing w:line="360" w:lineRule="auto"/>
              <w:contextualSpacing/>
              <w:jc w:val="left"/>
              <w:rPr>
                <w:rFonts w:ascii="仿宋" w:hAnsi="仿宋" w:eastAsia="仿宋" w:cs="宋体"/>
                <w:kern w:val="0"/>
                <w:sz w:val="24"/>
                <w:highlight w:val="none"/>
              </w:rPr>
            </w:pPr>
          </w:p>
        </w:tc>
        <w:tc>
          <w:tcPr>
            <w:tcW w:w="581" w:type="pct"/>
            <w:vAlign w:val="center"/>
          </w:tcPr>
          <w:p w14:paraId="36A27CB2">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13</w:t>
            </w:r>
          </w:p>
        </w:tc>
        <w:tc>
          <w:tcPr>
            <w:tcW w:w="1397" w:type="pct"/>
            <w:shd w:val="clear" w:color="000000" w:fill="FFFFFF"/>
            <w:vAlign w:val="center"/>
          </w:tcPr>
          <w:p w14:paraId="2FA165E3">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堡垒机</w:t>
            </w:r>
          </w:p>
        </w:tc>
        <w:tc>
          <w:tcPr>
            <w:tcW w:w="722" w:type="pct"/>
            <w:shd w:val="clear" w:color="000000" w:fill="FFFFFF"/>
            <w:vAlign w:val="center"/>
          </w:tcPr>
          <w:p w14:paraId="6FAC9526">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1台</w:t>
            </w:r>
          </w:p>
        </w:tc>
        <w:tc>
          <w:tcPr>
            <w:tcW w:w="962" w:type="pct"/>
            <w:shd w:val="clear" w:color="000000" w:fill="FFFFFF"/>
            <w:vAlign w:val="center"/>
          </w:tcPr>
          <w:p w14:paraId="6B974666">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7858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0A04A549">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3191CD70">
            <w:pPr>
              <w:widowControl/>
              <w:spacing w:line="360" w:lineRule="auto"/>
              <w:contextualSpacing/>
              <w:jc w:val="left"/>
              <w:rPr>
                <w:rFonts w:ascii="仿宋" w:hAnsi="仿宋" w:eastAsia="仿宋" w:cs="宋体"/>
                <w:kern w:val="0"/>
                <w:sz w:val="24"/>
                <w:highlight w:val="none"/>
              </w:rPr>
            </w:pPr>
          </w:p>
        </w:tc>
        <w:tc>
          <w:tcPr>
            <w:tcW w:w="581" w:type="pct"/>
            <w:vAlign w:val="center"/>
          </w:tcPr>
          <w:p w14:paraId="50641EAB">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14</w:t>
            </w:r>
          </w:p>
        </w:tc>
        <w:tc>
          <w:tcPr>
            <w:tcW w:w="1397" w:type="pct"/>
            <w:shd w:val="clear" w:color="000000" w:fill="FFFFFF"/>
            <w:vAlign w:val="center"/>
          </w:tcPr>
          <w:p w14:paraId="3647A681">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动态防御以及内网安全感知平台</w:t>
            </w:r>
          </w:p>
        </w:tc>
        <w:tc>
          <w:tcPr>
            <w:tcW w:w="722" w:type="pct"/>
            <w:shd w:val="clear" w:color="000000" w:fill="FFFFFF"/>
            <w:vAlign w:val="center"/>
          </w:tcPr>
          <w:p w14:paraId="2D105142">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1台</w:t>
            </w:r>
          </w:p>
        </w:tc>
        <w:tc>
          <w:tcPr>
            <w:tcW w:w="962" w:type="pct"/>
            <w:shd w:val="clear" w:color="000000" w:fill="FFFFFF"/>
            <w:vAlign w:val="center"/>
          </w:tcPr>
          <w:p w14:paraId="681E205E">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r w14:paraId="488C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50" w:type="pct"/>
            <w:vMerge w:val="continue"/>
            <w:vAlign w:val="center"/>
          </w:tcPr>
          <w:p w14:paraId="4FCCDDD4">
            <w:pPr>
              <w:widowControl/>
              <w:spacing w:line="360" w:lineRule="auto"/>
              <w:contextualSpacing/>
              <w:jc w:val="left"/>
              <w:rPr>
                <w:rFonts w:ascii="仿宋" w:hAnsi="仿宋" w:eastAsia="仿宋" w:cs="宋体"/>
                <w:kern w:val="0"/>
                <w:sz w:val="24"/>
                <w:highlight w:val="none"/>
              </w:rPr>
            </w:pPr>
          </w:p>
        </w:tc>
        <w:tc>
          <w:tcPr>
            <w:tcW w:w="785" w:type="pct"/>
            <w:vMerge w:val="continue"/>
            <w:vAlign w:val="center"/>
          </w:tcPr>
          <w:p w14:paraId="39CED75B">
            <w:pPr>
              <w:widowControl/>
              <w:spacing w:line="360" w:lineRule="auto"/>
              <w:contextualSpacing/>
              <w:jc w:val="left"/>
              <w:rPr>
                <w:rFonts w:ascii="仿宋" w:hAnsi="仿宋" w:eastAsia="仿宋" w:cs="宋体"/>
                <w:kern w:val="0"/>
                <w:sz w:val="24"/>
                <w:highlight w:val="none"/>
              </w:rPr>
            </w:pPr>
          </w:p>
        </w:tc>
        <w:tc>
          <w:tcPr>
            <w:tcW w:w="581" w:type="pct"/>
            <w:vAlign w:val="center"/>
          </w:tcPr>
          <w:p w14:paraId="050A6D0E">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15</w:t>
            </w:r>
          </w:p>
        </w:tc>
        <w:tc>
          <w:tcPr>
            <w:tcW w:w="1397" w:type="pct"/>
            <w:shd w:val="clear" w:color="000000" w:fill="FFFFFF"/>
            <w:vAlign w:val="center"/>
          </w:tcPr>
          <w:p w14:paraId="24DD4D6F">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负载均衡 ‎</w:t>
            </w:r>
          </w:p>
        </w:tc>
        <w:tc>
          <w:tcPr>
            <w:tcW w:w="722" w:type="pct"/>
            <w:shd w:val="clear" w:color="000000" w:fill="FFFFFF"/>
            <w:vAlign w:val="center"/>
          </w:tcPr>
          <w:p w14:paraId="7221ACF0">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rPr>
              <w:t>2台</w:t>
            </w:r>
          </w:p>
        </w:tc>
        <w:tc>
          <w:tcPr>
            <w:tcW w:w="962" w:type="pct"/>
            <w:shd w:val="clear" w:color="000000" w:fill="FFFFFF"/>
            <w:vAlign w:val="center"/>
          </w:tcPr>
          <w:p w14:paraId="78C12B61">
            <w:pPr>
              <w:widowControl/>
              <w:spacing w:line="360" w:lineRule="auto"/>
              <w:contextualSpacing/>
              <w:jc w:val="center"/>
              <w:rPr>
                <w:rFonts w:hint="eastAsia" w:ascii="仿宋" w:hAnsi="仿宋" w:eastAsia="仿宋" w:cs="宋体"/>
                <w:kern w:val="0"/>
                <w:sz w:val="24"/>
                <w:highlight w:val="none"/>
              </w:rPr>
            </w:pPr>
            <w:r>
              <w:rPr>
                <w:rFonts w:hint="eastAsia" w:ascii="仿宋" w:hAnsi="仿宋" w:eastAsia="仿宋" w:cs="宋体"/>
                <w:kern w:val="0"/>
                <w:sz w:val="24"/>
                <w:highlight w:val="none"/>
                <w:lang w:val="en-US" w:eastAsia="zh-CN"/>
              </w:rPr>
              <w:t>否</w:t>
            </w:r>
          </w:p>
        </w:tc>
      </w:tr>
    </w:tbl>
    <w:p w14:paraId="7E294BE8">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（二）项目背景/项目概述</w:t>
      </w:r>
    </w:p>
    <w:p w14:paraId="6EEF7DB7">
      <w:pPr>
        <w:tabs>
          <w:tab w:val="left" w:pos="5456"/>
        </w:tabs>
        <w:snapToGrid w:val="0"/>
        <w:spacing w:line="360" w:lineRule="auto"/>
        <w:ind w:firstLine="480" w:firstLineChars="200"/>
        <w:jc w:val="left"/>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过敏性疾病创新药物国家工程研究中心旨在研发生物治疗药物、分子诊断器械及慢病规范诊疗新技术，推动相关产品转化和临床应用。本项目为过敏性疾病创新药物国家工程研究中心创新能力建设。</w:t>
      </w:r>
    </w:p>
    <w:p w14:paraId="7FF4F5C2">
      <w:pPr>
        <w:tabs>
          <w:tab w:val="left" w:pos="5456"/>
        </w:tabs>
        <w:snapToGrid w:val="0"/>
        <w:spacing w:line="360" w:lineRule="auto"/>
        <w:ind w:firstLine="480" w:firstLineChars="200"/>
        <w:jc w:val="left"/>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该项目拟采用高性能基础设施和先进技术满足工程研究中心当前及未来五年信息化和业务需求，涵盖医疗信息化基础服务、科学研究创新、临床研究创新、医药多模态大数据应用、人工智能医药研发、医药数据安全共享及医药产研成果转化等方面的建设需求；拟构建集信息化基础设施、医药研究服务、医药研发服务、高性能计算服务、医药多模态大数据存储服务、网络信息和数据安全防护、医药可信应用协同于一体的医药大数据协同应用服务体系，形成覆盖“采、治、管、存、用、算、安全”的综合能力底座。</w:t>
      </w:r>
    </w:p>
    <w:p w14:paraId="11A4B290">
      <w:pPr>
        <w:tabs>
          <w:tab w:val="left" w:pos="5456"/>
        </w:tabs>
        <w:snapToGrid w:val="0"/>
        <w:spacing w:line="360" w:lineRule="auto"/>
        <w:ind w:firstLine="480" w:firstLineChars="200"/>
        <w:jc w:val="left"/>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项目拟建设安全合规、高性能、兼容信创适配的基础设施和服务应用一体化平台，平台产品成熟、功能齐全、赋能医药研究和产研转化实践创新、具有自主知识产权，具备高灵活性、扩展性、示范性、先进性、前沿性，在保障医药数据安全合规前提下，推动跨域医药协同应用，为国家工程研究中心持续开展科研攻关、医药研发、医药转化创新提供高效稳定且长久支撑。</w:t>
      </w:r>
    </w:p>
    <w:p w14:paraId="0473485B">
      <w:pPr>
        <w:tabs>
          <w:tab w:val="left" w:pos="5456"/>
        </w:tabs>
        <w:snapToGrid w:val="0"/>
        <w:spacing w:line="360" w:lineRule="auto"/>
        <w:ind w:firstLine="480" w:firstLineChars="200"/>
        <w:jc w:val="left"/>
        <w:rPr>
          <w:rFonts w:ascii="仿宋" w:hAnsi="仿宋" w:eastAsia="仿宋" w:cs="仿宋"/>
          <w:b w:val="0"/>
          <w:bCs w:val="0"/>
          <w:sz w:val="24"/>
          <w:highlight w:val="none"/>
        </w:rPr>
      </w:pPr>
      <w:r>
        <w:rPr>
          <w:rFonts w:hint="eastAsia" w:ascii="仿宋" w:hAnsi="仿宋" w:eastAsia="仿宋" w:cs="仿宋"/>
          <w:b w:val="0"/>
          <w:bCs w:val="0"/>
          <w:sz w:val="24"/>
          <w:highlight w:val="none"/>
        </w:rPr>
        <w:t>二、商务要求</w:t>
      </w:r>
      <w:r>
        <w:rPr>
          <w:rFonts w:ascii="仿宋" w:hAnsi="仿宋" w:eastAsia="仿宋" w:cs="仿宋"/>
          <w:b w:val="0"/>
          <w:bCs w:val="0"/>
          <w:sz w:val="24"/>
          <w:highlight w:val="none"/>
        </w:rPr>
        <w:tab/>
      </w:r>
    </w:p>
    <w:p w14:paraId="41933AC7">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（一）交付（实施）的时间（期限）和地点（范围）</w:t>
      </w:r>
    </w:p>
    <w:p w14:paraId="2BEE8D46">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1、交付时间：自合同签订后</w:t>
      </w:r>
      <w:r>
        <w:rPr>
          <w:rFonts w:hint="eastAsia" w:ascii="仿宋" w:hAnsi="仿宋" w:eastAsia="仿宋" w:cs="仿宋"/>
          <w:bCs/>
          <w:sz w:val="24"/>
          <w:highlight w:val="none"/>
          <w:lang w:val="en-US" w:eastAsia="zh-CN"/>
        </w:rPr>
        <w:t>9</w:t>
      </w:r>
      <w:r>
        <w:rPr>
          <w:rFonts w:hint="eastAsia" w:ascii="仿宋" w:hAnsi="仿宋" w:eastAsia="仿宋" w:cs="仿宋"/>
          <w:bCs/>
          <w:sz w:val="24"/>
          <w:highlight w:val="none"/>
        </w:rPr>
        <w:t>0日内</w:t>
      </w:r>
      <w:r>
        <w:rPr>
          <w:rFonts w:hint="eastAsia" w:ascii="仿宋" w:hAnsi="仿宋" w:eastAsia="仿宋"/>
          <w:sz w:val="24"/>
          <w:highlight w:val="none"/>
        </w:rPr>
        <w:t>。</w:t>
      </w:r>
    </w:p>
    <w:p w14:paraId="7206ED3E">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2、交付地点：</w:t>
      </w:r>
      <w:r>
        <w:rPr>
          <w:rFonts w:hint="eastAsia" w:ascii="仿宋" w:hAnsi="仿宋" w:eastAsia="仿宋" w:cs="宋体"/>
          <w:sz w:val="24"/>
          <w:highlight w:val="none"/>
          <w:lang w:eastAsia="zh-CN"/>
        </w:rPr>
        <w:t>首都医科大学附属北京同仁医院</w:t>
      </w:r>
      <w:r>
        <w:rPr>
          <w:rFonts w:hint="eastAsia" w:ascii="仿宋" w:hAnsi="仿宋" w:eastAsia="仿宋" w:cs="宋体"/>
          <w:sz w:val="24"/>
          <w:highlight w:val="none"/>
        </w:rPr>
        <w:t>指定地点。</w:t>
      </w:r>
    </w:p>
    <w:p w14:paraId="5D35C426">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（二）付款条件（进度和方式）</w:t>
      </w:r>
    </w:p>
    <w:p w14:paraId="2EFB07EA">
      <w:pPr>
        <w:snapToGrid w:val="0"/>
        <w:spacing w:line="360" w:lineRule="auto"/>
        <w:ind w:firstLine="480" w:firstLineChars="200"/>
        <w:jc w:val="left"/>
        <w:rPr>
          <w:rFonts w:ascii="仿宋" w:hAnsi="仿宋" w:eastAsia="仿宋" w:cs="宋体"/>
          <w:sz w:val="24"/>
          <w:highlight w:val="none"/>
        </w:rPr>
      </w:pPr>
      <w:r>
        <w:rPr>
          <w:rFonts w:hint="eastAsia" w:ascii="仿宋" w:hAnsi="仿宋" w:eastAsia="仿宋" w:cs="宋体"/>
          <w:sz w:val="24"/>
          <w:highlight w:val="none"/>
        </w:rPr>
        <w:t>详见第六章拟签订的合同文本</w:t>
      </w:r>
    </w:p>
    <w:p w14:paraId="7FD12578">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（三）包装和运输</w:t>
      </w:r>
    </w:p>
    <w:p w14:paraId="1A4E2844">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投标产品的包装应符合《财政部等三部门联合印发商品包装和快递包装政府采购需求标准（试行）》（财办库〔2020〕123号）的规定。</w:t>
      </w:r>
    </w:p>
    <w:p w14:paraId="7BB01323">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（四）售后服务（质保期）</w:t>
      </w:r>
    </w:p>
    <w:p w14:paraId="07AD4BBC">
      <w:pPr>
        <w:snapToGrid w:val="0"/>
        <w:spacing w:line="360" w:lineRule="auto"/>
        <w:ind w:firstLine="480" w:firstLineChars="200"/>
        <w:jc w:val="left"/>
        <w:rPr>
          <w:rFonts w:hint="eastAsia" w:ascii="仿宋" w:hAnsi="仿宋" w:eastAsia="仿宋" w:cs="仿宋"/>
          <w:bCs/>
          <w:sz w:val="24"/>
          <w:highlight w:val="none"/>
          <w:lang w:val="en-US" w:eastAsia="zh-CN"/>
        </w:rPr>
      </w:pPr>
      <w:r>
        <w:rPr>
          <w:rFonts w:hint="eastAsia" w:ascii="仿宋" w:hAnsi="仿宋" w:eastAsia="仿宋" w:cs="仿宋"/>
          <w:bCs/>
          <w:sz w:val="24"/>
          <w:highlight w:val="none"/>
        </w:rPr>
        <w:t>原厂3年免费保修（包括特征库、病毒库、情报库升级）服务</w:t>
      </w:r>
      <w:r>
        <w:rPr>
          <w:rFonts w:hint="eastAsia" w:ascii="仿宋" w:hAnsi="仿宋" w:eastAsia="仿宋" w:cs="仿宋"/>
          <w:bCs/>
          <w:sz w:val="24"/>
          <w:highlight w:val="none"/>
          <w:lang w:val="en-US" w:eastAsia="zh-CN"/>
        </w:rPr>
        <w:t>,售后服务要求</w:t>
      </w:r>
      <w:r>
        <w:rPr>
          <w:rFonts w:hint="eastAsia" w:ascii="仿宋" w:hAnsi="仿宋" w:eastAsia="仿宋" w:cs="仿宋"/>
          <w:bCs/>
          <w:sz w:val="24"/>
          <w:highlight w:val="none"/>
        </w:rPr>
        <w:t>详见</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三、技术要求</w:t>
      </w:r>
      <w:r>
        <w:rPr>
          <w:rFonts w:hint="eastAsia" w:ascii="仿宋" w:hAnsi="仿宋" w:eastAsia="仿宋" w:cs="仿宋"/>
          <w:bCs/>
          <w:sz w:val="24"/>
          <w:highlight w:val="none"/>
          <w:lang w:val="en-US" w:eastAsia="zh-CN"/>
        </w:rPr>
        <w:t xml:space="preserve"> 1、采购标的需满足的性能、材料、结构、外观、质量、安全、技术规格、物理特性等要求： 二、</w:t>
      </w:r>
      <w:r>
        <w:rPr>
          <w:rFonts w:hint="eastAsia" w:ascii="仿宋" w:hAnsi="仿宋" w:eastAsia="仿宋" w:cs="仿宋"/>
          <w:bCs/>
          <w:sz w:val="24"/>
          <w:highlight w:val="none"/>
        </w:rPr>
        <w:t>服务要求</w:t>
      </w:r>
      <w:r>
        <w:rPr>
          <w:rFonts w:hint="eastAsia" w:ascii="仿宋" w:hAnsi="仿宋" w:eastAsia="仿宋" w:cs="仿宋"/>
          <w:bCs/>
          <w:sz w:val="24"/>
          <w:highlight w:val="none"/>
          <w:lang w:eastAsia="zh-CN"/>
        </w:rPr>
        <w:t>”</w:t>
      </w:r>
      <w:r>
        <w:rPr>
          <w:rFonts w:hint="eastAsia" w:ascii="仿宋" w:hAnsi="仿宋" w:eastAsia="仿宋" w:cs="仿宋"/>
          <w:bCs/>
          <w:sz w:val="24"/>
          <w:highlight w:val="none"/>
          <w:lang w:val="en-US" w:eastAsia="zh-CN"/>
        </w:rPr>
        <w:t>中的“售后服务”的相关要求。</w:t>
      </w:r>
    </w:p>
    <w:p w14:paraId="5AFDBA6D">
      <w:pPr>
        <w:snapToGrid w:val="0"/>
        <w:spacing w:line="360" w:lineRule="auto"/>
        <w:ind w:firstLine="482" w:firstLineChars="200"/>
        <w:jc w:val="left"/>
        <w:rPr>
          <w:rFonts w:ascii="仿宋" w:hAnsi="仿宋" w:eastAsia="仿宋" w:cs="仿宋"/>
          <w:b/>
          <w:bCs/>
          <w:sz w:val="24"/>
          <w:highlight w:val="none"/>
        </w:rPr>
      </w:pPr>
      <w:r>
        <w:rPr>
          <w:rFonts w:hint="eastAsia" w:ascii="仿宋" w:hAnsi="仿宋" w:eastAsia="仿宋" w:cs="仿宋"/>
          <w:b/>
          <w:bCs/>
          <w:sz w:val="24"/>
          <w:highlight w:val="none"/>
        </w:rPr>
        <w:t>三、技术要求</w:t>
      </w:r>
    </w:p>
    <w:p w14:paraId="4926609D">
      <w:pPr>
        <w:snapToGrid w:val="0"/>
        <w:spacing w:line="360" w:lineRule="auto"/>
        <w:ind w:firstLine="482" w:firstLineChars="200"/>
        <w:jc w:val="left"/>
        <w:rPr>
          <w:rFonts w:hint="eastAsia" w:ascii="仿宋" w:hAnsi="仿宋" w:eastAsia="仿宋" w:cs="仿宋"/>
          <w:b/>
          <w:bCs/>
          <w:sz w:val="24"/>
          <w:highlight w:val="none"/>
        </w:rPr>
      </w:pPr>
      <w:r>
        <w:rPr>
          <w:rFonts w:hint="eastAsia" w:ascii="仿宋" w:hAnsi="仿宋" w:eastAsia="仿宋" w:cs="仿宋"/>
          <w:b/>
          <w:bCs/>
          <w:sz w:val="24"/>
          <w:highlight w:val="none"/>
        </w:rPr>
        <w:t>（一）基本要求</w:t>
      </w:r>
    </w:p>
    <w:p w14:paraId="4B716DFD">
      <w:pPr>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采购标的需实现的功能或者目标</w:t>
      </w:r>
    </w:p>
    <w:p w14:paraId="3F347692">
      <w:pPr>
        <w:snapToGrid w:val="0"/>
        <w:spacing w:line="360" w:lineRule="auto"/>
        <w:ind w:firstLine="480" w:firstLineChars="200"/>
        <w:jc w:val="left"/>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本次招标为提升网络安全防护能力与数据安全合规应用水平，切实落实国家《“数据要素×”三年行动计划》明确将医疗健康数据作为重要领域，旨在推动医药数据从单纯的“资源”向具有高价值的“战略资产”转化，赋能医药产业高质量发展，保障信息化基础设施和业务系统稳定运行，确保医药等敏感数据合规管理和服务应用并基于国家网络信息化安全要求，实现中心网络信息化建设能力达到国家规范，构建覆盖网络、数据、应用、服务、终端等层面的综合防护体系，供应商应根据招标文件所提出的技术规格和服务要求，综合考虑所投货物和软件系统的适用性，选择需要最佳性能价格比的货物和软件系统前来投标。供应商应以先进的技术、优良的服务和优惠的价格，充分显示自己的竞争实力。</w:t>
      </w:r>
    </w:p>
    <w:p w14:paraId="5C152489">
      <w:pPr>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1、需执行的国家相关标准、行业标准、地方标准或者其他标准、规范</w:t>
      </w:r>
    </w:p>
    <w:p w14:paraId="130C1B99">
      <w:pPr>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1.1投标产品的包装应符合《财政部等三部门联合印发商品包装和快递包装政府采购需求标准（试行）》（财办库〔2020〕123号）的规定。</w:t>
      </w:r>
    </w:p>
    <w:p w14:paraId="0C2F6FEF">
      <w:pPr>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1.2符合已颁布的现行中华人民共和国认可的国家标准、地方标准和行业标准。如果这些标准内容有矛盾时，应按最高标准的条款执行。</w:t>
      </w:r>
    </w:p>
    <w:p w14:paraId="555499A9">
      <w:pPr>
        <w:numPr>
          <w:ilvl w:val="0"/>
          <w:numId w:val="1"/>
        </w:numPr>
        <w:snapToGrid w:val="0"/>
        <w:spacing w:line="360" w:lineRule="auto"/>
        <w:ind w:firstLine="482" w:firstLineChars="200"/>
        <w:jc w:val="left"/>
        <w:rPr>
          <w:rFonts w:ascii="仿宋" w:hAnsi="仿宋" w:eastAsia="仿宋" w:cs="仿宋"/>
          <w:b/>
          <w:bCs/>
          <w:sz w:val="24"/>
          <w:highlight w:val="none"/>
        </w:rPr>
      </w:pPr>
      <w:r>
        <w:rPr>
          <w:rFonts w:hint="eastAsia" w:ascii="仿宋" w:hAnsi="仿宋" w:eastAsia="仿宋" w:cs="仿宋"/>
          <w:b/>
          <w:bCs/>
          <w:sz w:val="24"/>
          <w:highlight w:val="none"/>
        </w:rPr>
        <w:t>服务内容及要求/货物技术要求</w:t>
      </w:r>
    </w:p>
    <w:p w14:paraId="49942195">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4A27BD33">
      <w:pPr>
        <w:snapToGrid w:val="0"/>
        <w:spacing w:line="360" w:lineRule="auto"/>
        <w:ind w:firstLine="480" w:firstLineChars="200"/>
        <w:jc w:val="left"/>
        <w:rPr>
          <w:rFonts w:hint="eastAsia" w:ascii="仿宋" w:hAnsi="仿宋" w:eastAsia="仿宋" w:cs="仿宋"/>
          <w:bCs/>
          <w:sz w:val="24"/>
          <w:lang w:val="en-US" w:eastAsia="zh-CN"/>
        </w:rPr>
      </w:pPr>
      <w:r>
        <w:rPr>
          <w:rFonts w:hint="eastAsia" w:ascii="仿宋" w:hAnsi="仿宋" w:eastAsia="仿宋" w:cs="仿宋"/>
          <w:bCs/>
          <w:sz w:val="24"/>
          <w:lang w:val="en-US" w:eastAsia="zh-CN"/>
        </w:rPr>
        <w:t>详见下文。</w:t>
      </w:r>
    </w:p>
    <w:p w14:paraId="07FFFE76">
      <w:pPr>
        <w:rPr>
          <w:rFonts w:hint="eastAsia" w:ascii="仿宋" w:hAnsi="仿宋" w:eastAsia="仿宋" w:cs="仿宋"/>
          <w:bCs/>
          <w:sz w:val="24"/>
          <w:lang w:val="en-US" w:eastAsia="zh-CN"/>
        </w:rPr>
      </w:pPr>
      <w:r>
        <w:rPr>
          <w:rFonts w:hint="eastAsia" w:ascii="仿宋" w:hAnsi="仿宋" w:eastAsia="仿宋" w:cs="仿宋"/>
          <w:bCs/>
          <w:sz w:val="24"/>
          <w:lang w:val="en-US" w:eastAsia="zh-CN"/>
        </w:rPr>
        <w:br w:type="page"/>
      </w:r>
    </w:p>
    <w:p w14:paraId="7645BFF6">
      <w:pPr>
        <w:pStyle w:val="3"/>
        <w:pageBreakBefore w:val="0"/>
        <w:numPr>
          <w:ilvl w:val="0"/>
          <w:numId w:val="2"/>
        </w:numPr>
        <w:kinsoku/>
        <w:wordWrap/>
        <w:overflowPunct/>
        <w:topLinePunct w:val="0"/>
        <w:autoSpaceDE/>
        <w:autoSpaceDN/>
        <w:bidi w:val="0"/>
        <w:spacing w:before="0" w:after="0" w:line="360" w:lineRule="auto"/>
        <w:jc w:val="left"/>
        <w:rPr>
          <w:rFonts w:hint="eastAsia" w:ascii="仿宋" w:hAnsi="仿宋" w:eastAsia="仿宋" w:cs="仿宋"/>
          <w:b w:val="0"/>
          <w:bCs/>
          <w:color w:val="auto"/>
          <w:kern w:val="0"/>
          <w:sz w:val="21"/>
          <w:szCs w:val="21"/>
          <w:lang w:val="en-US" w:eastAsia="zh-CN"/>
        </w:rPr>
      </w:pPr>
      <w:r>
        <w:rPr>
          <w:rFonts w:hint="eastAsia" w:ascii="仿宋" w:hAnsi="仿宋" w:eastAsia="仿宋" w:cs="仿宋"/>
          <w:b w:val="0"/>
          <w:bCs/>
          <w:color w:val="auto"/>
          <w:kern w:val="0"/>
          <w:sz w:val="21"/>
          <w:szCs w:val="21"/>
          <w:lang w:val="en-US" w:eastAsia="zh-CN"/>
        </w:rPr>
        <w:t>技术要求</w:t>
      </w:r>
    </w:p>
    <w:p w14:paraId="0285A1A8">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1</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rPr>
        <w:t>光纤交换机</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849"/>
        <w:gridCol w:w="1441"/>
        <w:gridCol w:w="3691"/>
        <w:gridCol w:w="1903"/>
      </w:tblGrid>
      <w:tr w14:paraId="5D58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ign w:val="center"/>
          </w:tcPr>
          <w:p w14:paraId="0AA5BE06">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序号</w:t>
            </w:r>
          </w:p>
        </w:tc>
        <w:tc>
          <w:tcPr>
            <w:tcW w:w="0" w:type="auto"/>
            <w:noWrap/>
            <w:vAlign w:val="center"/>
          </w:tcPr>
          <w:p w14:paraId="6D373A3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重要性</w:t>
            </w:r>
          </w:p>
        </w:tc>
        <w:tc>
          <w:tcPr>
            <w:tcW w:w="1441" w:type="dxa"/>
            <w:noWrap/>
            <w:vAlign w:val="center"/>
          </w:tcPr>
          <w:p w14:paraId="41E4208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指标项</w:t>
            </w:r>
          </w:p>
        </w:tc>
        <w:tc>
          <w:tcPr>
            <w:tcW w:w="3691" w:type="dxa"/>
            <w:noWrap/>
            <w:vAlign w:val="center"/>
          </w:tcPr>
          <w:p w14:paraId="6F7EE31C">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指标要求</w:t>
            </w:r>
          </w:p>
        </w:tc>
        <w:tc>
          <w:tcPr>
            <w:tcW w:w="1903" w:type="dxa"/>
            <w:noWrap/>
            <w:vAlign w:val="center"/>
          </w:tcPr>
          <w:p w14:paraId="5D12913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是否提供证明材料</w:t>
            </w:r>
          </w:p>
        </w:tc>
      </w:tr>
      <w:tr w14:paraId="79FA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D88497C">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w:t>
            </w:r>
          </w:p>
        </w:tc>
        <w:tc>
          <w:tcPr>
            <w:tcW w:w="0" w:type="auto"/>
            <w:noWrap w:val="0"/>
            <w:vAlign w:val="center"/>
          </w:tcPr>
          <w:p w14:paraId="677F56F6">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441" w:type="dxa"/>
            <w:noWrap w:val="0"/>
            <w:vAlign w:val="center"/>
          </w:tcPr>
          <w:p w14:paraId="6066ECF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硬件配置</w:t>
            </w:r>
          </w:p>
        </w:tc>
        <w:tc>
          <w:tcPr>
            <w:tcW w:w="3691" w:type="dxa"/>
            <w:noWrap w:val="0"/>
            <w:vAlign w:val="center"/>
          </w:tcPr>
          <w:p w14:paraId="718288D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整机配置</w:t>
            </w:r>
            <w:r>
              <w:rPr>
                <w:rFonts w:hint="eastAsia" w:ascii="仿宋" w:hAnsi="仿宋" w:eastAsia="仿宋" w:cs="仿宋"/>
                <w:color w:val="auto"/>
                <w:kern w:val="0"/>
                <w:sz w:val="21"/>
                <w:szCs w:val="21"/>
                <w:lang w:val="en-US" w:eastAsia="zh-CN"/>
              </w:rPr>
              <w:t>≥48个</w:t>
            </w:r>
            <w:r>
              <w:rPr>
                <w:rFonts w:hint="eastAsia" w:ascii="仿宋" w:hAnsi="仿宋" w:eastAsia="仿宋" w:cs="仿宋"/>
                <w:color w:val="auto"/>
                <w:kern w:val="0"/>
                <w:sz w:val="21"/>
                <w:szCs w:val="21"/>
              </w:rPr>
              <w:t>FC光纤端口激活</w:t>
            </w:r>
            <w:r>
              <w:rPr>
                <w:rFonts w:hint="eastAsia" w:ascii="仿宋" w:hAnsi="仿宋" w:eastAsia="仿宋" w:cs="仿宋"/>
                <w:color w:val="auto"/>
                <w:kern w:val="0"/>
                <w:sz w:val="21"/>
                <w:szCs w:val="21"/>
                <w:lang w:val="en-US" w:eastAsia="zh-CN"/>
              </w:rPr>
              <w:t>≥</w:t>
            </w:r>
            <w:r>
              <w:rPr>
                <w:rFonts w:hint="eastAsia" w:ascii="仿宋" w:hAnsi="仿宋" w:eastAsia="仿宋" w:cs="仿宋"/>
                <w:color w:val="auto"/>
                <w:kern w:val="0"/>
                <w:sz w:val="21"/>
                <w:szCs w:val="21"/>
              </w:rPr>
              <w:t>24个，端口自适应支持8Gbps、16Gbps、32Gbps光纤通道速率，向下兼容多代FC存储设备</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冗余</w:t>
            </w:r>
            <w:r>
              <w:rPr>
                <w:rFonts w:hint="eastAsia" w:ascii="仿宋" w:hAnsi="仿宋" w:eastAsia="仿宋" w:cs="仿宋"/>
                <w:color w:val="auto"/>
                <w:kern w:val="0"/>
                <w:sz w:val="21"/>
                <w:szCs w:val="21"/>
              </w:rPr>
              <w:t>电源，</w:t>
            </w:r>
            <w:r>
              <w:rPr>
                <w:rFonts w:hint="eastAsia" w:ascii="仿宋" w:hAnsi="仿宋" w:eastAsia="仿宋" w:cs="仿宋"/>
                <w:color w:val="auto"/>
                <w:kern w:val="0"/>
                <w:sz w:val="21"/>
                <w:szCs w:val="21"/>
                <w:lang w:val="en-US" w:eastAsia="zh-CN"/>
              </w:rPr>
              <w:t>冗余</w:t>
            </w:r>
            <w:r>
              <w:rPr>
                <w:rFonts w:hint="eastAsia" w:ascii="仿宋" w:hAnsi="仿宋" w:eastAsia="仿宋" w:cs="仿宋"/>
                <w:color w:val="auto"/>
                <w:kern w:val="0"/>
                <w:sz w:val="21"/>
                <w:szCs w:val="21"/>
              </w:rPr>
              <w:t>风扇</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rPr>
              <w:t>实配</w:t>
            </w:r>
            <w:r>
              <w:rPr>
                <w:rFonts w:hint="eastAsia" w:ascii="仿宋" w:hAnsi="仿宋" w:eastAsia="仿宋" w:cs="仿宋"/>
                <w:color w:val="auto"/>
                <w:kern w:val="0"/>
                <w:sz w:val="21"/>
                <w:szCs w:val="21"/>
                <w:lang w:val="en-US" w:eastAsia="zh-CN"/>
              </w:rPr>
              <w:t>≥</w:t>
            </w:r>
            <w:r>
              <w:rPr>
                <w:rFonts w:hint="eastAsia" w:ascii="仿宋" w:hAnsi="仿宋" w:eastAsia="仿宋" w:cs="仿宋"/>
                <w:color w:val="auto"/>
                <w:kern w:val="0"/>
                <w:sz w:val="21"/>
                <w:szCs w:val="21"/>
              </w:rPr>
              <w:t>24个32Gbps</w:t>
            </w:r>
            <w:r>
              <w:rPr>
                <w:rFonts w:hint="eastAsia" w:ascii="仿宋" w:hAnsi="仿宋" w:eastAsia="仿宋" w:cs="仿宋"/>
                <w:color w:val="auto"/>
                <w:kern w:val="0"/>
                <w:sz w:val="21"/>
                <w:szCs w:val="21"/>
                <w:lang w:val="en-US" w:eastAsia="zh-CN"/>
              </w:rPr>
              <w:t>多模</w:t>
            </w:r>
            <w:r>
              <w:rPr>
                <w:rFonts w:hint="eastAsia" w:ascii="仿宋" w:hAnsi="仿宋" w:eastAsia="仿宋" w:cs="仿宋"/>
                <w:color w:val="auto"/>
                <w:kern w:val="0"/>
                <w:sz w:val="21"/>
                <w:szCs w:val="21"/>
              </w:rPr>
              <w:t>模块</w:t>
            </w:r>
          </w:p>
        </w:tc>
        <w:tc>
          <w:tcPr>
            <w:tcW w:w="1903" w:type="dxa"/>
            <w:noWrap w:val="0"/>
            <w:vAlign w:val="center"/>
          </w:tcPr>
          <w:p w14:paraId="41DF4A5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BE4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C91A66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w:t>
            </w:r>
          </w:p>
        </w:tc>
        <w:tc>
          <w:tcPr>
            <w:tcW w:w="0" w:type="auto"/>
            <w:noWrap w:val="0"/>
            <w:vAlign w:val="center"/>
          </w:tcPr>
          <w:p w14:paraId="7C645C37">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441" w:type="dxa"/>
            <w:noWrap w:val="0"/>
            <w:vAlign w:val="center"/>
          </w:tcPr>
          <w:p w14:paraId="31F3BE9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管理与授权</w:t>
            </w:r>
          </w:p>
        </w:tc>
        <w:tc>
          <w:tcPr>
            <w:tcW w:w="3691" w:type="dxa"/>
            <w:noWrap w:val="0"/>
            <w:vAlign w:val="center"/>
          </w:tcPr>
          <w:p w14:paraId="571C7DB1">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搭载Web Tools可视化管理平台，支持Zoning分区管理、EGM增强网关软件授权，支持多台交换机全光纤级联组网，可构建大规模SAN存储架构</w:t>
            </w:r>
          </w:p>
        </w:tc>
        <w:tc>
          <w:tcPr>
            <w:tcW w:w="1903" w:type="dxa"/>
            <w:noWrap w:val="0"/>
            <w:vAlign w:val="center"/>
          </w:tcPr>
          <w:p w14:paraId="621C7E3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19B2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FA143F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3</w:t>
            </w:r>
          </w:p>
        </w:tc>
        <w:tc>
          <w:tcPr>
            <w:tcW w:w="0" w:type="auto"/>
            <w:noWrap w:val="0"/>
            <w:vAlign w:val="center"/>
          </w:tcPr>
          <w:p w14:paraId="4E099504">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441" w:type="dxa"/>
            <w:noWrap w:val="0"/>
            <w:vAlign w:val="center"/>
          </w:tcPr>
          <w:p w14:paraId="1EC51283">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运维管理</w:t>
            </w:r>
          </w:p>
        </w:tc>
        <w:tc>
          <w:tcPr>
            <w:tcW w:w="3691" w:type="dxa"/>
            <w:noWrap w:val="0"/>
            <w:vAlign w:val="center"/>
          </w:tcPr>
          <w:p w14:paraId="30C474D2">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支持SSH、Telnet、SNMP、串口Console多种管理方式，支持日志审计、端口监控、性能统计、故障告警上报</w:t>
            </w:r>
          </w:p>
        </w:tc>
        <w:tc>
          <w:tcPr>
            <w:tcW w:w="1903" w:type="dxa"/>
            <w:noWrap w:val="0"/>
            <w:vAlign w:val="center"/>
          </w:tcPr>
          <w:p w14:paraId="5FC9BCFC">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810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20CD3B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4</w:t>
            </w:r>
          </w:p>
        </w:tc>
        <w:tc>
          <w:tcPr>
            <w:tcW w:w="0" w:type="auto"/>
            <w:noWrap w:val="0"/>
            <w:vAlign w:val="center"/>
          </w:tcPr>
          <w:p w14:paraId="0074ABA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441" w:type="dxa"/>
            <w:noWrap w:val="0"/>
            <w:vAlign w:val="center"/>
          </w:tcPr>
          <w:p w14:paraId="69712B8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兼容性适配</w:t>
            </w:r>
          </w:p>
        </w:tc>
        <w:tc>
          <w:tcPr>
            <w:tcW w:w="3691" w:type="dxa"/>
            <w:noWrap w:val="0"/>
            <w:vAlign w:val="center"/>
          </w:tcPr>
          <w:p w14:paraId="3E9B5E61">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兼容主流服务器HBA卡、国产及主流品牌存储阵列、磁带库设备，可对接虚拟化平台、Ceph分布式存储、数据库集群场景</w:t>
            </w:r>
          </w:p>
        </w:tc>
        <w:tc>
          <w:tcPr>
            <w:tcW w:w="1903" w:type="dxa"/>
            <w:noWrap w:val="0"/>
            <w:vAlign w:val="center"/>
          </w:tcPr>
          <w:p w14:paraId="33312150">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6A60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8" w:type="dxa"/>
            <w:noWrap w:val="0"/>
            <w:vAlign w:val="center"/>
          </w:tcPr>
          <w:p w14:paraId="37A30BC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5</w:t>
            </w:r>
          </w:p>
        </w:tc>
        <w:tc>
          <w:tcPr>
            <w:tcW w:w="849" w:type="dxa"/>
            <w:noWrap w:val="0"/>
            <w:vAlign w:val="center"/>
          </w:tcPr>
          <w:p w14:paraId="563226F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441" w:type="dxa"/>
            <w:noWrap w:val="0"/>
            <w:vAlign w:val="center"/>
          </w:tcPr>
          <w:p w14:paraId="1E2FCF0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安全机制</w:t>
            </w:r>
          </w:p>
        </w:tc>
        <w:tc>
          <w:tcPr>
            <w:tcW w:w="3691" w:type="dxa"/>
            <w:noWrap w:val="0"/>
            <w:vAlign w:val="center"/>
          </w:tcPr>
          <w:p w14:paraId="3299F104">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支持端口绑定、访问权限控制、账号分级管理、端口隔离、非法接入拦截，满足等保、机房安全管控要求</w:t>
            </w:r>
          </w:p>
        </w:tc>
        <w:tc>
          <w:tcPr>
            <w:tcW w:w="1903" w:type="dxa"/>
            <w:noWrap w:val="0"/>
            <w:vAlign w:val="center"/>
          </w:tcPr>
          <w:p w14:paraId="400AD44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bl>
    <w:p w14:paraId="32E42909">
      <w:pPr>
        <w:pageBreakBefore w:val="0"/>
        <w:kinsoku/>
        <w:wordWrap/>
        <w:overflowPunct/>
        <w:topLinePunct w:val="0"/>
        <w:autoSpaceDE/>
        <w:autoSpaceDN/>
        <w:bidi w:val="0"/>
        <w:spacing w:line="360" w:lineRule="auto"/>
        <w:rPr>
          <w:rFonts w:hint="eastAsia" w:ascii="仿宋" w:hAnsi="仿宋" w:eastAsia="仿宋" w:cs="仿宋"/>
          <w:color w:val="auto"/>
          <w:sz w:val="21"/>
          <w:szCs w:val="21"/>
        </w:rPr>
      </w:pPr>
    </w:p>
    <w:p w14:paraId="6DF50F21">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lang w:eastAsia="zh-CN"/>
        </w:rPr>
      </w:pPr>
      <w:r>
        <w:rPr>
          <w:rFonts w:hint="eastAsia" w:ascii="仿宋" w:hAnsi="仿宋" w:eastAsia="仿宋" w:cs="仿宋"/>
          <w:color w:val="auto"/>
          <w:kern w:val="0"/>
          <w:sz w:val="21"/>
          <w:szCs w:val="21"/>
        </w:rPr>
        <w:t>2</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rPr>
        <w:t>核心交换机</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711"/>
        <w:gridCol w:w="1238"/>
        <w:gridCol w:w="4518"/>
        <w:gridCol w:w="1236"/>
      </w:tblGrid>
      <w:tr w14:paraId="3278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9" w:type="dxa"/>
            <w:noWrap w:val="0"/>
            <w:vAlign w:val="center"/>
          </w:tcPr>
          <w:p w14:paraId="4385FB8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序号</w:t>
            </w:r>
          </w:p>
        </w:tc>
        <w:tc>
          <w:tcPr>
            <w:tcW w:w="0" w:type="auto"/>
            <w:noWrap w:val="0"/>
            <w:vAlign w:val="center"/>
          </w:tcPr>
          <w:p w14:paraId="7A5C446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重要性</w:t>
            </w:r>
          </w:p>
        </w:tc>
        <w:tc>
          <w:tcPr>
            <w:tcW w:w="1238" w:type="dxa"/>
            <w:noWrap w:val="0"/>
            <w:vAlign w:val="center"/>
          </w:tcPr>
          <w:p w14:paraId="308CA32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指标项</w:t>
            </w:r>
          </w:p>
        </w:tc>
        <w:tc>
          <w:tcPr>
            <w:tcW w:w="4518" w:type="dxa"/>
            <w:noWrap w:val="0"/>
            <w:vAlign w:val="center"/>
          </w:tcPr>
          <w:p w14:paraId="3085DC9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技术规格要求</w:t>
            </w:r>
          </w:p>
        </w:tc>
        <w:tc>
          <w:tcPr>
            <w:tcW w:w="1236" w:type="dxa"/>
            <w:noWrap w:val="0"/>
            <w:vAlign w:val="center"/>
          </w:tcPr>
          <w:p w14:paraId="544FC414">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是否提供证明材料</w:t>
            </w:r>
          </w:p>
        </w:tc>
      </w:tr>
      <w:tr w14:paraId="0D36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2B85878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w:t>
            </w:r>
          </w:p>
        </w:tc>
        <w:tc>
          <w:tcPr>
            <w:tcW w:w="0" w:type="auto"/>
            <w:noWrap w:val="0"/>
            <w:vAlign w:val="center"/>
          </w:tcPr>
          <w:p w14:paraId="1F16EDF8">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238" w:type="dxa"/>
            <w:noWrap w:val="0"/>
            <w:vAlign w:val="center"/>
          </w:tcPr>
          <w:p w14:paraId="44B2215D">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性能要求</w:t>
            </w:r>
          </w:p>
        </w:tc>
        <w:tc>
          <w:tcPr>
            <w:tcW w:w="4518" w:type="dxa"/>
            <w:noWrap w:val="0"/>
            <w:vAlign w:val="center"/>
          </w:tcPr>
          <w:p w14:paraId="200E2AA2">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交换容量≥2.56Tbps，</w:t>
            </w:r>
            <w:r>
              <w:rPr>
                <w:rFonts w:hint="eastAsia" w:ascii="仿宋" w:hAnsi="仿宋" w:eastAsia="仿宋" w:cs="仿宋"/>
                <w:color w:val="auto"/>
                <w:sz w:val="21"/>
                <w:szCs w:val="21"/>
              </w:rPr>
              <w:t>包转发率≥1000Mpps，</w:t>
            </w:r>
            <w:r>
              <w:rPr>
                <w:rFonts w:hint="eastAsia" w:ascii="仿宋" w:hAnsi="仿宋" w:eastAsia="仿宋" w:cs="仿宋"/>
                <w:color w:val="auto"/>
                <w:kern w:val="0"/>
                <w:sz w:val="21"/>
                <w:szCs w:val="21"/>
              </w:rPr>
              <w:t>官网有双重值时以最小值为准；设备实配包含≥24个10G光口，≥2个40G光口，支持≥2个扩展插槽，</w:t>
            </w:r>
            <w:r>
              <w:rPr>
                <w:rFonts w:hint="eastAsia" w:ascii="仿宋" w:hAnsi="仿宋" w:eastAsia="仿宋" w:cs="仿宋"/>
                <w:color w:val="auto"/>
                <w:sz w:val="21"/>
                <w:szCs w:val="21"/>
              </w:rPr>
              <w:t>提供官网截图</w:t>
            </w:r>
          </w:p>
        </w:tc>
        <w:tc>
          <w:tcPr>
            <w:tcW w:w="1236" w:type="dxa"/>
            <w:noWrap w:val="0"/>
            <w:vAlign w:val="center"/>
          </w:tcPr>
          <w:p w14:paraId="42AE4E3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1F79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78D7190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w:t>
            </w:r>
          </w:p>
        </w:tc>
        <w:tc>
          <w:tcPr>
            <w:tcW w:w="0" w:type="auto"/>
            <w:noWrap w:val="0"/>
            <w:vAlign w:val="center"/>
          </w:tcPr>
          <w:p w14:paraId="64AE6B8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1238" w:type="dxa"/>
            <w:noWrap w:val="0"/>
            <w:vAlign w:val="center"/>
          </w:tcPr>
          <w:p w14:paraId="60205B0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扩展性</w:t>
            </w:r>
          </w:p>
        </w:tc>
        <w:tc>
          <w:tcPr>
            <w:tcW w:w="4518" w:type="dxa"/>
            <w:noWrap w:val="0"/>
            <w:vAlign w:val="center"/>
          </w:tcPr>
          <w:p w14:paraId="18065A7A">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设备支持扩展100G光接口板卡及防火墙插卡，提供官网截图</w:t>
            </w:r>
          </w:p>
        </w:tc>
        <w:tc>
          <w:tcPr>
            <w:tcW w:w="1236" w:type="dxa"/>
            <w:noWrap w:val="0"/>
            <w:vAlign w:val="center"/>
          </w:tcPr>
          <w:p w14:paraId="441A507C">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68D8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6677D0CB">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w:t>
            </w:r>
          </w:p>
        </w:tc>
        <w:tc>
          <w:tcPr>
            <w:tcW w:w="0" w:type="auto"/>
            <w:noWrap w:val="0"/>
            <w:vAlign w:val="center"/>
          </w:tcPr>
          <w:p w14:paraId="7ABC2732">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1238" w:type="dxa"/>
            <w:noWrap w:val="0"/>
            <w:vAlign w:val="center"/>
          </w:tcPr>
          <w:p w14:paraId="119B043D">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运维管理</w:t>
            </w:r>
          </w:p>
        </w:tc>
        <w:tc>
          <w:tcPr>
            <w:tcW w:w="4518" w:type="dxa"/>
            <w:noWrap w:val="0"/>
            <w:vAlign w:val="center"/>
          </w:tcPr>
          <w:p w14:paraId="6EA580AF">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设备支持≥1个Type-C的Console口，提供官网截图</w:t>
            </w:r>
          </w:p>
        </w:tc>
        <w:tc>
          <w:tcPr>
            <w:tcW w:w="1236" w:type="dxa"/>
            <w:noWrap w:val="0"/>
            <w:vAlign w:val="center"/>
          </w:tcPr>
          <w:p w14:paraId="461A6E9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4F73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422C90AC">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4</w:t>
            </w:r>
          </w:p>
        </w:tc>
        <w:tc>
          <w:tcPr>
            <w:tcW w:w="0" w:type="auto"/>
            <w:noWrap w:val="0"/>
            <w:vAlign w:val="center"/>
          </w:tcPr>
          <w:p w14:paraId="39A2A234">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8" w:type="dxa"/>
            <w:noWrap w:val="0"/>
            <w:vAlign w:val="center"/>
          </w:tcPr>
          <w:p w14:paraId="3B9F0D35">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IPv6</w:t>
            </w:r>
          </w:p>
        </w:tc>
        <w:tc>
          <w:tcPr>
            <w:tcW w:w="4518" w:type="dxa"/>
            <w:noWrap w:val="0"/>
            <w:vAlign w:val="center"/>
          </w:tcPr>
          <w:p w14:paraId="7ABFC32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支持IPv6</w:t>
            </w:r>
          </w:p>
        </w:tc>
        <w:tc>
          <w:tcPr>
            <w:tcW w:w="1236" w:type="dxa"/>
            <w:noWrap w:val="0"/>
            <w:vAlign w:val="center"/>
          </w:tcPr>
          <w:p w14:paraId="045B29A7">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1295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58FFCBF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5</w:t>
            </w:r>
          </w:p>
        </w:tc>
        <w:tc>
          <w:tcPr>
            <w:tcW w:w="0" w:type="auto"/>
            <w:noWrap w:val="0"/>
            <w:vAlign w:val="center"/>
          </w:tcPr>
          <w:p w14:paraId="42471AA8">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8" w:type="dxa"/>
            <w:noWrap w:val="0"/>
            <w:vAlign w:val="center"/>
          </w:tcPr>
          <w:p w14:paraId="593F436A">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可靠性</w:t>
            </w:r>
          </w:p>
        </w:tc>
        <w:tc>
          <w:tcPr>
            <w:tcW w:w="4518" w:type="dxa"/>
            <w:noWrap w:val="0"/>
            <w:vAlign w:val="center"/>
          </w:tcPr>
          <w:p w14:paraId="5DDADB33">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支持跨设备链路聚合（M-LAG）</w:t>
            </w:r>
          </w:p>
        </w:tc>
        <w:tc>
          <w:tcPr>
            <w:tcW w:w="1236" w:type="dxa"/>
            <w:noWrap w:val="0"/>
            <w:vAlign w:val="center"/>
          </w:tcPr>
          <w:p w14:paraId="58164E5B">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1067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309FA1B7">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6</w:t>
            </w:r>
          </w:p>
        </w:tc>
        <w:tc>
          <w:tcPr>
            <w:tcW w:w="0" w:type="auto"/>
            <w:noWrap w:val="0"/>
            <w:vAlign w:val="center"/>
          </w:tcPr>
          <w:p w14:paraId="60575040">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8" w:type="dxa"/>
            <w:noWrap w:val="0"/>
            <w:vAlign w:val="center"/>
          </w:tcPr>
          <w:p w14:paraId="09B84341">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SDN</w:t>
            </w:r>
          </w:p>
        </w:tc>
        <w:tc>
          <w:tcPr>
            <w:tcW w:w="4518" w:type="dxa"/>
            <w:noWrap w:val="0"/>
            <w:vAlign w:val="center"/>
          </w:tcPr>
          <w:p w14:paraId="5DBC0BA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支持SDN管理</w:t>
            </w:r>
          </w:p>
        </w:tc>
        <w:tc>
          <w:tcPr>
            <w:tcW w:w="1236" w:type="dxa"/>
            <w:noWrap w:val="0"/>
            <w:vAlign w:val="center"/>
          </w:tcPr>
          <w:p w14:paraId="152BCF62">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r>
      <w:tr w14:paraId="5ED6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636429F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7</w:t>
            </w:r>
          </w:p>
        </w:tc>
        <w:tc>
          <w:tcPr>
            <w:tcW w:w="0" w:type="auto"/>
            <w:noWrap w:val="0"/>
            <w:vAlign w:val="center"/>
          </w:tcPr>
          <w:p w14:paraId="6F0D98D4">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8" w:type="dxa"/>
            <w:noWrap w:val="0"/>
            <w:vAlign w:val="center"/>
          </w:tcPr>
          <w:p w14:paraId="7709DA4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VXLAN</w:t>
            </w:r>
          </w:p>
        </w:tc>
        <w:tc>
          <w:tcPr>
            <w:tcW w:w="4518" w:type="dxa"/>
            <w:noWrap w:val="0"/>
            <w:vAlign w:val="center"/>
          </w:tcPr>
          <w:p w14:paraId="17C25102">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支持VXLAN</w:t>
            </w:r>
          </w:p>
        </w:tc>
        <w:tc>
          <w:tcPr>
            <w:tcW w:w="1236" w:type="dxa"/>
            <w:noWrap w:val="0"/>
            <w:vAlign w:val="center"/>
          </w:tcPr>
          <w:p w14:paraId="2EF23FD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78BC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noWrap w:val="0"/>
            <w:vAlign w:val="center"/>
          </w:tcPr>
          <w:p w14:paraId="02323158">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8</w:t>
            </w:r>
          </w:p>
        </w:tc>
        <w:tc>
          <w:tcPr>
            <w:tcW w:w="711" w:type="dxa"/>
            <w:noWrap w:val="0"/>
            <w:vAlign w:val="center"/>
          </w:tcPr>
          <w:p w14:paraId="5EE5E15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238" w:type="dxa"/>
            <w:noWrap w:val="0"/>
            <w:vAlign w:val="center"/>
          </w:tcPr>
          <w:p w14:paraId="5D4D10DC">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实配</w:t>
            </w:r>
          </w:p>
        </w:tc>
        <w:tc>
          <w:tcPr>
            <w:tcW w:w="4518" w:type="dxa"/>
            <w:noWrap w:val="0"/>
            <w:vAlign w:val="center"/>
          </w:tcPr>
          <w:p w14:paraId="2724B93B">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满配电源风扇，实配≥24块万兆多模光模块，≥2块40G多模光模块</w:t>
            </w:r>
          </w:p>
        </w:tc>
        <w:tc>
          <w:tcPr>
            <w:tcW w:w="1236" w:type="dxa"/>
            <w:noWrap w:val="0"/>
            <w:vAlign w:val="center"/>
          </w:tcPr>
          <w:p w14:paraId="21C82D6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bl>
    <w:p w14:paraId="4D8E2204">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交换机</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711"/>
        <w:gridCol w:w="1242"/>
        <w:gridCol w:w="4511"/>
        <w:gridCol w:w="1236"/>
      </w:tblGrid>
      <w:tr w14:paraId="0178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22" w:type="dxa"/>
            <w:noWrap w:val="0"/>
            <w:vAlign w:val="center"/>
          </w:tcPr>
          <w:p w14:paraId="3B7A291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序号</w:t>
            </w:r>
          </w:p>
        </w:tc>
        <w:tc>
          <w:tcPr>
            <w:tcW w:w="0" w:type="auto"/>
            <w:noWrap w:val="0"/>
            <w:vAlign w:val="center"/>
          </w:tcPr>
          <w:p w14:paraId="5698F20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重要性</w:t>
            </w:r>
          </w:p>
        </w:tc>
        <w:tc>
          <w:tcPr>
            <w:tcW w:w="1242" w:type="dxa"/>
            <w:noWrap w:val="0"/>
            <w:vAlign w:val="center"/>
          </w:tcPr>
          <w:p w14:paraId="15317FE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指标项</w:t>
            </w:r>
          </w:p>
        </w:tc>
        <w:tc>
          <w:tcPr>
            <w:tcW w:w="4511" w:type="dxa"/>
            <w:noWrap w:val="0"/>
            <w:vAlign w:val="center"/>
          </w:tcPr>
          <w:p w14:paraId="3A3C8FC8">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指标要求</w:t>
            </w:r>
          </w:p>
        </w:tc>
        <w:tc>
          <w:tcPr>
            <w:tcW w:w="1236" w:type="dxa"/>
            <w:noWrap w:val="0"/>
            <w:vAlign w:val="center"/>
          </w:tcPr>
          <w:p w14:paraId="5E85D61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是否提供证明材料</w:t>
            </w:r>
          </w:p>
        </w:tc>
      </w:tr>
      <w:tr w14:paraId="282E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5F350B5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w:t>
            </w:r>
          </w:p>
        </w:tc>
        <w:tc>
          <w:tcPr>
            <w:tcW w:w="0" w:type="auto"/>
            <w:noWrap w:val="0"/>
            <w:vAlign w:val="center"/>
          </w:tcPr>
          <w:p w14:paraId="2B4DF54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242" w:type="dxa"/>
            <w:noWrap w:val="0"/>
            <w:vAlign w:val="center"/>
          </w:tcPr>
          <w:p w14:paraId="45BC7C66">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性能要求</w:t>
            </w:r>
          </w:p>
        </w:tc>
        <w:tc>
          <w:tcPr>
            <w:tcW w:w="4511" w:type="dxa"/>
            <w:noWrap w:val="0"/>
            <w:vAlign w:val="center"/>
          </w:tcPr>
          <w:p w14:paraId="5F4AFA0D">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交换容量≥4.8Tbps，包转发率≥2000Mpps，官网有双重值时以最小值为准；设备包含≥48个25G光口，≥8个100G光口，提供官网截图</w:t>
            </w:r>
          </w:p>
        </w:tc>
        <w:tc>
          <w:tcPr>
            <w:tcW w:w="1236" w:type="dxa"/>
            <w:noWrap w:val="0"/>
            <w:vAlign w:val="center"/>
          </w:tcPr>
          <w:p w14:paraId="6840E2B8">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5E59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6841763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w:t>
            </w:r>
          </w:p>
        </w:tc>
        <w:tc>
          <w:tcPr>
            <w:tcW w:w="0" w:type="auto"/>
            <w:noWrap w:val="0"/>
            <w:vAlign w:val="center"/>
          </w:tcPr>
          <w:p w14:paraId="1B21C132">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42" w:type="dxa"/>
            <w:noWrap w:val="0"/>
            <w:vAlign w:val="center"/>
          </w:tcPr>
          <w:p w14:paraId="740685EE">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可靠性</w:t>
            </w:r>
          </w:p>
        </w:tc>
        <w:tc>
          <w:tcPr>
            <w:tcW w:w="4511" w:type="dxa"/>
            <w:noWrap w:val="0"/>
            <w:vAlign w:val="center"/>
          </w:tcPr>
          <w:p w14:paraId="0FC79201">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sz w:val="21"/>
                <w:szCs w:val="21"/>
              </w:rPr>
              <w:t>支持STP、RSTP、MSTP，支持PVST</w:t>
            </w:r>
          </w:p>
        </w:tc>
        <w:tc>
          <w:tcPr>
            <w:tcW w:w="1236" w:type="dxa"/>
            <w:noWrap w:val="0"/>
            <w:vAlign w:val="center"/>
          </w:tcPr>
          <w:p w14:paraId="06BD20C6">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10D7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517A3D27">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4</w:t>
            </w:r>
          </w:p>
        </w:tc>
        <w:tc>
          <w:tcPr>
            <w:tcW w:w="0" w:type="auto"/>
            <w:noWrap w:val="0"/>
            <w:vAlign w:val="center"/>
          </w:tcPr>
          <w:p w14:paraId="6E460A0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42" w:type="dxa"/>
            <w:noWrap w:val="0"/>
            <w:vAlign w:val="center"/>
          </w:tcPr>
          <w:p w14:paraId="2DC1CF4D">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可视化</w:t>
            </w:r>
          </w:p>
        </w:tc>
        <w:tc>
          <w:tcPr>
            <w:tcW w:w="4511" w:type="dxa"/>
            <w:noWrap w:val="0"/>
            <w:vAlign w:val="center"/>
          </w:tcPr>
          <w:p w14:paraId="06A5BFD0">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sz w:val="21"/>
                <w:szCs w:val="21"/>
              </w:rPr>
              <w:t>支持Telemetry 功能</w:t>
            </w:r>
          </w:p>
        </w:tc>
        <w:tc>
          <w:tcPr>
            <w:tcW w:w="1236" w:type="dxa"/>
            <w:noWrap w:val="0"/>
            <w:vAlign w:val="center"/>
          </w:tcPr>
          <w:p w14:paraId="35F60E72">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20A0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1B574DC7">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5</w:t>
            </w:r>
          </w:p>
        </w:tc>
        <w:tc>
          <w:tcPr>
            <w:tcW w:w="0" w:type="auto"/>
            <w:noWrap w:val="0"/>
            <w:vAlign w:val="center"/>
          </w:tcPr>
          <w:p w14:paraId="4A514AD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42" w:type="dxa"/>
            <w:noWrap w:val="0"/>
            <w:vAlign w:val="center"/>
          </w:tcPr>
          <w:p w14:paraId="75AB9A56">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QoS</w:t>
            </w:r>
          </w:p>
        </w:tc>
        <w:tc>
          <w:tcPr>
            <w:tcW w:w="4511" w:type="dxa"/>
            <w:noWrap w:val="0"/>
            <w:vAlign w:val="center"/>
          </w:tcPr>
          <w:p w14:paraId="059171BB">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支持QoS</w:t>
            </w:r>
          </w:p>
        </w:tc>
        <w:tc>
          <w:tcPr>
            <w:tcW w:w="1236" w:type="dxa"/>
            <w:noWrap w:val="0"/>
            <w:vAlign w:val="center"/>
          </w:tcPr>
          <w:p w14:paraId="6088319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5243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7F9DE6D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6</w:t>
            </w:r>
          </w:p>
        </w:tc>
        <w:tc>
          <w:tcPr>
            <w:tcW w:w="0" w:type="auto"/>
            <w:noWrap w:val="0"/>
            <w:vAlign w:val="center"/>
          </w:tcPr>
          <w:p w14:paraId="5F73F81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42" w:type="dxa"/>
            <w:noWrap w:val="0"/>
            <w:vAlign w:val="center"/>
          </w:tcPr>
          <w:p w14:paraId="67E06D88">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端口镜像</w:t>
            </w:r>
          </w:p>
        </w:tc>
        <w:tc>
          <w:tcPr>
            <w:tcW w:w="4511" w:type="dxa"/>
            <w:noWrap w:val="0"/>
            <w:vAlign w:val="center"/>
          </w:tcPr>
          <w:p w14:paraId="36432FA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支持端口镜像及流镜像</w:t>
            </w:r>
          </w:p>
        </w:tc>
        <w:tc>
          <w:tcPr>
            <w:tcW w:w="1236" w:type="dxa"/>
            <w:noWrap w:val="0"/>
            <w:vAlign w:val="center"/>
          </w:tcPr>
          <w:p w14:paraId="3A3BA1A3">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85E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3DE45E6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7</w:t>
            </w:r>
          </w:p>
        </w:tc>
        <w:tc>
          <w:tcPr>
            <w:tcW w:w="0" w:type="auto"/>
            <w:noWrap w:val="0"/>
            <w:vAlign w:val="center"/>
          </w:tcPr>
          <w:p w14:paraId="11E0224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42" w:type="dxa"/>
            <w:noWrap w:val="0"/>
            <w:vAlign w:val="center"/>
          </w:tcPr>
          <w:p w14:paraId="1E5E8A05">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认证</w:t>
            </w:r>
          </w:p>
        </w:tc>
        <w:tc>
          <w:tcPr>
            <w:tcW w:w="4511" w:type="dxa"/>
            <w:noWrap w:val="0"/>
            <w:vAlign w:val="center"/>
          </w:tcPr>
          <w:p w14:paraId="19D8A2B1">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支持802.1X、Portal、MAC认证</w:t>
            </w:r>
          </w:p>
        </w:tc>
        <w:tc>
          <w:tcPr>
            <w:tcW w:w="1236" w:type="dxa"/>
            <w:noWrap w:val="0"/>
            <w:vAlign w:val="center"/>
          </w:tcPr>
          <w:p w14:paraId="05EEC1F7">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B99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5A76FFA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8</w:t>
            </w:r>
          </w:p>
        </w:tc>
        <w:tc>
          <w:tcPr>
            <w:tcW w:w="0" w:type="auto"/>
            <w:noWrap w:val="0"/>
            <w:vAlign w:val="center"/>
          </w:tcPr>
          <w:p w14:paraId="1D623A73">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42" w:type="dxa"/>
            <w:noWrap w:val="0"/>
            <w:vAlign w:val="center"/>
          </w:tcPr>
          <w:p w14:paraId="307D4C24">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M-Lag</w:t>
            </w:r>
          </w:p>
        </w:tc>
        <w:tc>
          <w:tcPr>
            <w:tcW w:w="4511" w:type="dxa"/>
            <w:noWrap w:val="0"/>
            <w:vAlign w:val="center"/>
          </w:tcPr>
          <w:p w14:paraId="17E11619">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支持跨设备链路聚合（M-LAG）</w:t>
            </w:r>
          </w:p>
        </w:tc>
        <w:tc>
          <w:tcPr>
            <w:tcW w:w="1236" w:type="dxa"/>
            <w:noWrap w:val="0"/>
            <w:vAlign w:val="center"/>
          </w:tcPr>
          <w:p w14:paraId="066F78B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A19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6B50D2A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9</w:t>
            </w:r>
          </w:p>
        </w:tc>
        <w:tc>
          <w:tcPr>
            <w:tcW w:w="0" w:type="auto"/>
            <w:noWrap w:val="0"/>
            <w:vAlign w:val="center"/>
          </w:tcPr>
          <w:p w14:paraId="41EDD934">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42" w:type="dxa"/>
            <w:noWrap w:val="0"/>
            <w:vAlign w:val="center"/>
          </w:tcPr>
          <w:p w14:paraId="0913AA59">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VXLAN</w:t>
            </w:r>
          </w:p>
        </w:tc>
        <w:tc>
          <w:tcPr>
            <w:tcW w:w="4511" w:type="dxa"/>
            <w:noWrap w:val="0"/>
            <w:vAlign w:val="center"/>
          </w:tcPr>
          <w:p w14:paraId="04B5DFF4">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支持VXLAN特性</w:t>
            </w:r>
          </w:p>
        </w:tc>
        <w:tc>
          <w:tcPr>
            <w:tcW w:w="1236" w:type="dxa"/>
            <w:noWrap w:val="0"/>
            <w:vAlign w:val="center"/>
          </w:tcPr>
          <w:p w14:paraId="2A97D360">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E08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2" w:type="dxa"/>
            <w:noWrap w:val="0"/>
            <w:vAlign w:val="center"/>
          </w:tcPr>
          <w:p w14:paraId="20598DA8">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1</w:t>
            </w:r>
            <w:r>
              <w:rPr>
                <w:rFonts w:hint="eastAsia" w:ascii="仿宋" w:hAnsi="仿宋" w:eastAsia="仿宋" w:cs="仿宋"/>
                <w:color w:val="auto"/>
                <w:kern w:val="0"/>
                <w:sz w:val="21"/>
                <w:szCs w:val="21"/>
                <w:lang w:val="en-US" w:eastAsia="zh-CN"/>
              </w:rPr>
              <w:t>0</w:t>
            </w:r>
          </w:p>
        </w:tc>
        <w:tc>
          <w:tcPr>
            <w:tcW w:w="711" w:type="dxa"/>
            <w:noWrap w:val="0"/>
            <w:vAlign w:val="center"/>
          </w:tcPr>
          <w:p w14:paraId="1F8716E3">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242" w:type="dxa"/>
            <w:noWrap w:val="0"/>
            <w:vAlign w:val="center"/>
          </w:tcPr>
          <w:p w14:paraId="3905EFC0">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实配</w:t>
            </w:r>
          </w:p>
        </w:tc>
        <w:tc>
          <w:tcPr>
            <w:tcW w:w="4511" w:type="dxa"/>
            <w:noWrap w:val="0"/>
            <w:vAlign w:val="center"/>
          </w:tcPr>
          <w:p w14:paraId="3658DA66">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满配电源风扇，实配≥</w:t>
            </w:r>
            <w:r>
              <w:rPr>
                <w:rFonts w:hint="eastAsia" w:ascii="仿宋" w:hAnsi="仿宋" w:eastAsia="仿宋" w:cs="仿宋"/>
                <w:color w:val="auto"/>
                <w:kern w:val="0"/>
                <w:sz w:val="21"/>
                <w:szCs w:val="21"/>
                <w:lang w:val="en-US" w:eastAsia="zh-CN"/>
              </w:rPr>
              <w:t>24</w:t>
            </w:r>
            <w:r>
              <w:rPr>
                <w:rFonts w:hint="eastAsia" w:ascii="仿宋" w:hAnsi="仿宋" w:eastAsia="仿宋" w:cs="仿宋"/>
                <w:color w:val="auto"/>
                <w:kern w:val="0"/>
                <w:sz w:val="21"/>
                <w:szCs w:val="21"/>
              </w:rPr>
              <w:t>块25G多模光模块，≥12块万兆多模光模块。</w:t>
            </w:r>
          </w:p>
        </w:tc>
        <w:tc>
          <w:tcPr>
            <w:tcW w:w="1236" w:type="dxa"/>
            <w:noWrap w:val="0"/>
            <w:vAlign w:val="center"/>
          </w:tcPr>
          <w:p w14:paraId="0FB1C52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bl>
    <w:p w14:paraId="69EC93A8">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4</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接入层交换机</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711"/>
        <w:gridCol w:w="1236"/>
        <w:gridCol w:w="4520"/>
        <w:gridCol w:w="1238"/>
      </w:tblGrid>
      <w:tr w14:paraId="44CF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7" w:type="dxa"/>
            <w:noWrap w:val="0"/>
            <w:vAlign w:val="center"/>
          </w:tcPr>
          <w:p w14:paraId="20B870E4">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序号</w:t>
            </w:r>
          </w:p>
        </w:tc>
        <w:tc>
          <w:tcPr>
            <w:tcW w:w="0" w:type="auto"/>
            <w:noWrap w:val="0"/>
            <w:vAlign w:val="center"/>
          </w:tcPr>
          <w:p w14:paraId="5A5F1257">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重要性</w:t>
            </w:r>
          </w:p>
        </w:tc>
        <w:tc>
          <w:tcPr>
            <w:tcW w:w="1236" w:type="dxa"/>
            <w:noWrap w:val="0"/>
            <w:vAlign w:val="center"/>
          </w:tcPr>
          <w:p w14:paraId="25537953">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指标项</w:t>
            </w:r>
          </w:p>
        </w:tc>
        <w:tc>
          <w:tcPr>
            <w:tcW w:w="4520" w:type="dxa"/>
            <w:noWrap w:val="0"/>
            <w:vAlign w:val="center"/>
          </w:tcPr>
          <w:p w14:paraId="637C7EE1">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指标要求</w:t>
            </w:r>
          </w:p>
        </w:tc>
        <w:tc>
          <w:tcPr>
            <w:tcW w:w="1238" w:type="dxa"/>
            <w:noWrap w:val="0"/>
            <w:vAlign w:val="center"/>
          </w:tcPr>
          <w:p w14:paraId="1197ECB6">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是否提供证明材料</w:t>
            </w:r>
          </w:p>
        </w:tc>
      </w:tr>
      <w:tr w14:paraId="4742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10798B23">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w:t>
            </w:r>
          </w:p>
        </w:tc>
        <w:tc>
          <w:tcPr>
            <w:tcW w:w="0" w:type="auto"/>
            <w:noWrap w:val="0"/>
            <w:vAlign w:val="center"/>
          </w:tcPr>
          <w:p w14:paraId="496F6BE2">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236" w:type="dxa"/>
            <w:noWrap w:val="0"/>
            <w:vAlign w:val="center"/>
          </w:tcPr>
          <w:p w14:paraId="5F0662E9">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性能要求</w:t>
            </w:r>
          </w:p>
        </w:tc>
        <w:tc>
          <w:tcPr>
            <w:tcW w:w="4520" w:type="dxa"/>
            <w:noWrap w:val="0"/>
            <w:vAlign w:val="center"/>
          </w:tcPr>
          <w:p w14:paraId="7EB30593">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交换容量≥670Gbps，包转发率≥200Mpps，官网有重值时以最小值为准；设备包含≥48个千兆电口，≥</w:t>
            </w:r>
            <w:r>
              <w:rPr>
                <w:rFonts w:hint="eastAsia" w:ascii="仿宋" w:hAnsi="仿宋" w:eastAsia="仿宋" w:cs="仿宋"/>
                <w:color w:val="auto"/>
                <w:kern w:val="0"/>
                <w:sz w:val="21"/>
                <w:szCs w:val="21"/>
                <w:lang w:val="en-US" w:eastAsia="zh-CN"/>
              </w:rPr>
              <w:t>6</w:t>
            </w:r>
            <w:r>
              <w:rPr>
                <w:rFonts w:hint="eastAsia" w:ascii="仿宋" w:hAnsi="仿宋" w:eastAsia="仿宋" w:cs="仿宋"/>
                <w:color w:val="auto"/>
                <w:kern w:val="0"/>
                <w:sz w:val="21"/>
                <w:szCs w:val="21"/>
              </w:rPr>
              <w:t>个10G光口；支持跨设备链路聚合（M-LAG），提供官网截图</w:t>
            </w:r>
          </w:p>
        </w:tc>
        <w:tc>
          <w:tcPr>
            <w:tcW w:w="1238" w:type="dxa"/>
            <w:noWrap w:val="0"/>
            <w:vAlign w:val="center"/>
          </w:tcPr>
          <w:p w14:paraId="30542FEC">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2D81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674B1A2F">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2</w:t>
            </w:r>
          </w:p>
        </w:tc>
        <w:tc>
          <w:tcPr>
            <w:tcW w:w="0" w:type="auto"/>
            <w:noWrap w:val="0"/>
            <w:vAlign w:val="center"/>
          </w:tcPr>
          <w:p w14:paraId="2D08701F">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6" w:type="dxa"/>
            <w:noWrap w:val="0"/>
            <w:vAlign w:val="center"/>
          </w:tcPr>
          <w:p w14:paraId="51BE2368">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认证</w:t>
            </w:r>
          </w:p>
        </w:tc>
        <w:tc>
          <w:tcPr>
            <w:tcW w:w="4520" w:type="dxa"/>
            <w:noWrap w:val="0"/>
            <w:vAlign w:val="center"/>
          </w:tcPr>
          <w:p w14:paraId="50537C98">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支持802.1X、Portal、MAC认证</w:t>
            </w:r>
          </w:p>
        </w:tc>
        <w:tc>
          <w:tcPr>
            <w:tcW w:w="1238" w:type="dxa"/>
            <w:noWrap w:val="0"/>
            <w:vAlign w:val="center"/>
          </w:tcPr>
          <w:p w14:paraId="1F9AB2AA">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4CA3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481B3B65">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3</w:t>
            </w:r>
          </w:p>
        </w:tc>
        <w:tc>
          <w:tcPr>
            <w:tcW w:w="0" w:type="auto"/>
            <w:noWrap w:val="0"/>
            <w:vAlign w:val="center"/>
          </w:tcPr>
          <w:p w14:paraId="0ED0F0B1">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6" w:type="dxa"/>
            <w:noWrap w:val="0"/>
            <w:vAlign w:val="center"/>
          </w:tcPr>
          <w:p w14:paraId="4B592462">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高可靠</w:t>
            </w:r>
          </w:p>
        </w:tc>
        <w:tc>
          <w:tcPr>
            <w:tcW w:w="4520" w:type="dxa"/>
            <w:noWrap w:val="0"/>
            <w:vAlign w:val="center"/>
          </w:tcPr>
          <w:p w14:paraId="0AF2EECA">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支持堆叠</w:t>
            </w:r>
          </w:p>
        </w:tc>
        <w:tc>
          <w:tcPr>
            <w:tcW w:w="1238" w:type="dxa"/>
            <w:noWrap w:val="0"/>
            <w:vAlign w:val="center"/>
          </w:tcPr>
          <w:p w14:paraId="2A674E46">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CDE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5C8313D3">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4</w:t>
            </w:r>
          </w:p>
        </w:tc>
        <w:tc>
          <w:tcPr>
            <w:tcW w:w="0" w:type="auto"/>
            <w:noWrap w:val="0"/>
            <w:vAlign w:val="center"/>
          </w:tcPr>
          <w:p w14:paraId="4F0C47B3">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6" w:type="dxa"/>
            <w:noWrap w:val="0"/>
            <w:vAlign w:val="center"/>
          </w:tcPr>
          <w:p w14:paraId="33589266">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DHCP</w:t>
            </w:r>
          </w:p>
        </w:tc>
        <w:tc>
          <w:tcPr>
            <w:tcW w:w="4520" w:type="dxa"/>
            <w:noWrap w:val="0"/>
            <w:vAlign w:val="center"/>
          </w:tcPr>
          <w:p w14:paraId="2C5B9F1F">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支持DHCP</w:t>
            </w:r>
          </w:p>
        </w:tc>
        <w:tc>
          <w:tcPr>
            <w:tcW w:w="1238" w:type="dxa"/>
            <w:noWrap w:val="0"/>
            <w:vAlign w:val="center"/>
          </w:tcPr>
          <w:p w14:paraId="35802BD3">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5CDA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143B6889">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5</w:t>
            </w:r>
          </w:p>
        </w:tc>
        <w:tc>
          <w:tcPr>
            <w:tcW w:w="0" w:type="auto"/>
            <w:noWrap w:val="0"/>
            <w:vAlign w:val="center"/>
          </w:tcPr>
          <w:p w14:paraId="066E981E">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6" w:type="dxa"/>
            <w:noWrap w:val="0"/>
            <w:vAlign w:val="center"/>
          </w:tcPr>
          <w:p w14:paraId="3ABC49F6">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VLAN</w:t>
            </w:r>
          </w:p>
        </w:tc>
        <w:tc>
          <w:tcPr>
            <w:tcW w:w="4520" w:type="dxa"/>
            <w:noWrap w:val="0"/>
            <w:vAlign w:val="center"/>
          </w:tcPr>
          <w:p w14:paraId="38A41FD7">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支持4K VLAN</w:t>
            </w:r>
          </w:p>
        </w:tc>
        <w:tc>
          <w:tcPr>
            <w:tcW w:w="1238" w:type="dxa"/>
            <w:noWrap w:val="0"/>
            <w:vAlign w:val="center"/>
          </w:tcPr>
          <w:p w14:paraId="01970C6E">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219E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3EBD5BDC">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6</w:t>
            </w:r>
          </w:p>
        </w:tc>
        <w:tc>
          <w:tcPr>
            <w:tcW w:w="0" w:type="auto"/>
            <w:noWrap w:val="0"/>
            <w:vAlign w:val="center"/>
          </w:tcPr>
          <w:p w14:paraId="77F6F385">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36" w:type="dxa"/>
            <w:noWrap w:val="0"/>
            <w:vAlign w:val="center"/>
          </w:tcPr>
          <w:p w14:paraId="16B0A810">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SDN</w:t>
            </w:r>
          </w:p>
        </w:tc>
        <w:tc>
          <w:tcPr>
            <w:tcW w:w="4520" w:type="dxa"/>
            <w:noWrap w:val="0"/>
            <w:vAlign w:val="center"/>
          </w:tcPr>
          <w:p w14:paraId="6FAA301A">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支持SDN管理</w:t>
            </w:r>
          </w:p>
        </w:tc>
        <w:tc>
          <w:tcPr>
            <w:tcW w:w="1238" w:type="dxa"/>
            <w:noWrap w:val="0"/>
            <w:vAlign w:val="center"/>
          </w:tcPr>
          <w:p w14:paraId="22C8CEE5">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5F22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7" w:type="dxa"/>
            <w:noWrap w:val="0"/>
            <w:vAlign w:val="center"/>
          </w:tcPr>
          <w:p w14:paraId="229BB1E5">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7</w:t>
            </w:r>
          </w:p>
        </w:tc>
        <w:tc>
          <w:tcPr>
            <w:tcW w:w="711" w:type="dxa"/>
            <w:noWrap w:val="0"/>
            <w:vAlign w:val="center"/>
          </w:tcPr>
          <w:p w14:paraId="73411B62">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236" w:type="dxa"/>
            <w:noWrap w:val="0"/>
            <w:vAlign w:val="center"/>
          </w:tcPr>
          <w:p w14:paraId="19185DBD">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实配</w:t>
            </w:r>
          </w:p>
        </w:tc>
        <w:tc>
          <w:tcPr>
            <w:tcW w:w="4520" w:type="dxa"/>
            <w:noWrap w:val="0"/>
            <w:vAlign w:val="center"/>
          </w:tcPr>
          <w:p w14:paraId="0034DE76">
            <w:pPr>
              <w:keepNext/>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rPr>
              <w:t>实配≥</w:t>
            </w:r>
            <w:r>
              <w:rPr>
                <w:rFonts w:hint="eastAsia" w:ascii="仿宋" w:hAnsi="仿宋" w:eastAsia="仿宋" w:cs="仿宋"/>
                <w:color w:val="auto"/>
                <w:kern w:val="0"/>
                <w:sz w:val="21"/>
                <w:szCs w:val="21"/>
                <w:lang w:val="en-US" w:eastAsia="zh-CN"/>
              </w:rPr>
              <w:t>6</w:t>
            </w:r>
            <w:r>
              <w:rPr>
                <w:rFonts w:hint="eastAsia" w:ascii="仿宋" w:hAnsi="仿宋" w:eastAsia="仿宋" w:cs="仿宋"/>
                <w:color w:val="auto"/>
                <w:kern w:val="0"/>
                <w:sz w:val="21"/>
                <w:szCs w:val="21"/>
              </w:rPr>
              <w:t>个万兆多模光模块</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模块化冗余双电源</w:t>
            </w:r>
          </w:p>
        </w:tc>
        <w:tc>
          <w:tcPr>
            <w:tcW w:w="1238" w:type="dxa"/>
            <w:noWrap w:val="0"/>
            <w:vAlign w:val="center"/>
          </w:tcPr>
          <w:p w14:paraId="5151C9FA">
            <w:pPr>
              <w:keepNext/>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bl>
    <w:p w14:paraId="46689EF1">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5</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网络管理系统</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711"/>
        <w:gridCol w:w="1253"/>
        <w:gridCol w:w="4529"/>
        <w:gridCol w:w="1238"/>
      </w:tblGrid>
      <w:tr w14:paraId="2848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91" w:type="dxa"/>
            <w:noWrap w:val="0"/>
            <w:vAlign w:val="center"/>
          </w:tcPr>
          <w:p w14:paraId="2CB5622B">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序号</w:t>
            </w:r>
          </w:p>
        </w:tc>
        <w:tc>
          <w:tcPr>
            <w:tcW w:w="711" w:type="dxa"/>
            <w:noWrap w:val="0"/>
            <w:vAlign w:val="center"/>
          </w:tcPr>
          <w:p w14:paraId="7E38A38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重要性</w:t>
            </w:r>
          </w:p>
        </w:tc>
        <w:tc>
          <w:tcPr>
            <w:tcW w:w="1253" w:type="dxa"/>
            <w:noWrap w:val="0"/>
            <w:vAlign w:val="center"/>
          </w:tcPr>
          <w:p w14:paraId="4C1CE5D6">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指标项</w:t>
            </w:r>
          </w:p>
        </w:tc>
        <w:tc>
          <w:tcPr>
            <w:tcW w:w="4529" w:type="dxa"/>
            <w:noWrap w:val="0"/>
            <w:vAlign w:val="center"/>
          </w:tcPr>
          <w:p w14:paraId="1F315EE1">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详细要求</w:t>
            </w:r>
          </w:p>
        </w:tc>
        <w:tc>
          <w:tcPr>
            <w:tcW w:w="1238" w:type="dxa"/>
            <w:noWrap w:val="0"/>
            <w:vAlign w:val="center"/>
          </w:tcPr>
          <w:p w14:paraId="69983685">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是否提供证明材料</w:t>
            </w:r>
          </w:p>
        </w:tc>
      </w:tr>
      <w:tr w14:paraId="31B9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06CAB83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w:t>
            </w:r>
          </w:p>
        </w:tc>
        <w:tc>
          <w:tcPr>
            <w:tcW w:w="711" w:type="dxa"/>
            <w:noWrap w:val="0"/>
            <w:vAlign w:val="center"/>
          </w:tcPr>
          <w:p w14:paraId="1281D464">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5BD6644D">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系统架构</w:t>
            </w:r>
          </w:p>
        </w:tc>
        <w:tc>
          <w:tcPr>
            <w:tcW w:w="4529" w:type="dxa"/>
            <w:noWrap w:val="0"/>
            <w:vAlign w:val="center"/>
          </w:tcPr>
          <w:p w14:paraId="5B82DF70">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采用微服务架构，容器底座，具备横向和纵向灵活扩展能力。全中文界面，提供友好、直观、易懂的图形呈现。系统能够自监控操作系统、核心服务和组件，并将监控信息在一个页面统一呈现。支持自监控信息一键导出。</w:t>
            </w:r>
          </w:p>
        </w:tc>
        <w:tc>
          <w:tcPr>
            <w:tcW w:w="1238" w:type="dxa"/>
            <w:noWrap w:val="0"/>
            <w:vAlign w:val="center"/>
          </w:tcPr>
          <w:p w14:paraId="238A44C1">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11E8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06D78100">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w:t>
            </w:r>
          </w:p>
        </w:tc>
        <w:tc>
          <w:tcPr>
            <w:tcW w:w="711" w:type="dxa"/>
            <w:noWrap w:val="0"/>
            <w:vAlign w:val="center"/>
          </w:tcPr>
          <w:p w14:paraId="1EC97964">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253" w:type="dxa"/>
            <w:noWrap w:val="0"/>
            <w:vAlign w:val="center"/>
          </w:tcPr>
          <w:p w14:paraId="7B0454A1">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功能模块配置</w:t>
            </w:r>
          </w:p>
        </w:tc>
        <w:tc>
          <w:tcPr>
            <w:tcW w:w="4529" w:type="dxa"/>
            <w:noWrap w:val="0"/>
            <w:vAlign w:val="center"/>
          </w:tcPr>
          <w:p w14:paraId="17BC1FEA">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提供基本的资源监控管理、拓扑管理、告警中心、数据仓库、发现管理、策略管理、采控管理、通知管理、权限认证管理等产品配套基础功能，实配资源节点授权≥70个，满足对网络设备、安全设备、云/虚拟化主机、存储、操作系统、中间件、数据库的资源监控。实配网络设备、安全设备监控授权≥50个，满足对网络和安全设备监控。实配数据看板模块授权，满足可视化大屏看板展示。实配自动巡检模块授权，满足基于监控指标的巡检，提供健康检查报告，支持创建50个健康检查任务项。</w:t>
            </w:r>
          </w:p>
        </w:tc>
        <w:tc>
          <w:tcPr>
            <w:tcW w:w="1238" w:type="dxa"/>
            <w:noWrap w:val="0"/>
            <w:vAlign w:val="center"/>
          </w:tcPr>
          <w:p w14:paraId="4934D56C">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3128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1052FB38">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w:t>
            </w:r>
          </w:p>
        </w:tc>
        <w:tc>
          <w:tcPr>
            <w:tcW w:w="711" w:type="dxa"/>
            <w:noWrap w:val="0"/>
            <w:vAlign w:val="center"/>
          </w:tcPr>
          <w:p w14:paraId="557528C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1F8F693A">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资源监控</w:t>
            </w:r>
          </w:p>
        </w:tc>
        <w:tc>
          <w:tcPr>
            <w:tcW w:w="4529" w:type="dxa"/>
            <w:noWrap w:val="0"/>
            <w:vAlign w:val="center"/>
          </w:tcPr>
          <w:p w14:paraId="28B9B133">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支持按资源的管理维度查看当前已监控的设备，包括资源的告警状态、属性数据以及监控指标数据。（2）支持根据不同用户、不同资源配置显示内容并能够保存。（3）支持按资源组维度查看已监控的设备，包括资源的告警状态、属性数据以及监控指标数据。（4）支持将监控资源导出文件。</w:t>
            </w:r>
          </w:p>
        </w:tc>
        <w:tc>
          <w:tcPr>
            <w:tcW w:w="1238" w:type="dxa"/>
            <w:noWrap w:val="0"/>
            <w:vAlign w:val="center"/>
          </w:tcPr>
          <w:p w14:paraId="724C0195">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497C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36400E9E">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4</w:t>
            </w:r>
          </w:p>
        </w:tc>
        <w:tc>
          <w:tcPr>
            <w:tcW w:w="711" w:type="dxa"/>
            <w:noWrap w:val="0"/>
            <w:vAlign w:val="center"/>
          </w:tcPr>
          <w:p w14:paraId="5DE389BC">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1253" w:type="dxa"/>
            <w:noWrap w:val="0"/>
            <w:vAlign w:val="center"/>
          </w:tcPr>
          <w:p w14:paraId="2EB49DE3">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资源自动发现能力</w:t>
            </w:r>
          </w:p>
        </w:tc>
        <w:tc>
          <w:tcPr>
            <w:tcW w:w="4529" w:type="dxa"/>
            <w:noWrap w:val="0"/>
            <w:vAlign w:val="center"/>
          </w:tcPr>
          <w:p w14:paraId="7662CD95">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自动识别能力，能基于操作系统的进程监听端口和命令行，通过匹配规则，自动识别出中间件与数据库；能支持自定义匹配规则，增加识别的准确度和多样性；能根据识别出可监控资源的结果，来查看识别对象。以上功能需提供系统功能截图或提供第三方权威机构出具的检测报告复印件证明并加盖原厂公章。</w:t>
            </w:r>
          </w:p>
        </w:tc>
        <w:tc>
          <w:tcPr>
            <w:tcW w:w="1238" w:type="dxa"/>
            <w:noWrap w:val="0"/>
            <w:vAlign w:val="center"/>
          </w:tcPr>
          <w:p w14:paraId="4E68412E">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6495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40FA3AB6">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5</w:t>
            </w:r>
          </w:p>
        </w:tc>
        <w:tc>
          <w:tcPr>
            <w:tcW w:w="711" w:type="dxa"/>
            <w:noWrap w:val="0"/>
            <w:vAlign w:val="center"/>
          </w:tcPr>
          <w:p w14:paraId="48DAF308">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1253" w:type="dxa"/>
            <w:noWrap w:val="0"/>
            <w:vAlign w:val="center"/>
          </w:tcPr>
          <w:p w14:paraId="4CD0B0D5">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资源分组管理</w:t>
            </w:r>
          </w:p>
        </w:tc>
        <w:tc>
          <w:tcPr>
            <w:tcW w:w="4529" w:type="dxa"/>
            <w:noWrap w:val="0"/>
            <w:vAlign w:val="center"/>
          </w:tcPr>
          <w:p w14:paraId="3C62E00F">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（1）应能按多种运维管理维度对资源进行分组划分，分组可按实际管理诉进行创建，如按区域、</w:t>
            </w:r>
            <w:r>
              <w:rPr>
                <w:rFonts w:hint="eastAsia" w:ascii="仿宋" w:hAnsi="仿宋" w:eastAsia="仿宋" w:cs="仿宋"/>
                <w:color w:val="auto"/>
                <w:kern w:val="0"/>
                <w:sz w:val="21"/>
                <w:szCs w:val="21"/>
                <w:lang w:val="en-US" w:eastAsia="zh-CN"/>
              </w:rPr>
              <w:t>院</w:t>
            </w:r>
            <w:r>
              <w:rPr>
                <w:rFonts w:hint="eastAsia" w:ascii="仿宋" w:hAnsi="仿宋" w:eastAsia="仿宋" w:cs="仿宋"/>
                <w:color w:val="auto"/>
                <w:kern w:val="0"/>
                <w:sz w:val="21"/>
                <w:szCs w:val="21"/>
              </w:rPr>
              <w:t>区、组织结构、管理级别等维度进行划分。（2）应能支持多层级的分组管理能力，最多支持5层，同时实现上层包含下层资源的管理诉求。（3）每个资源分组应能手工关联多种资源类型的资源，或按动态条件自动关联符合条件的资源，同时支持一个资源属于多个资源分组。（4）应能按资源分组的维度对资源进行管理，如按资源分组设置资源权限、设置资源监控粒度和告警规则、选择报表统计资源范围，提高维护效率。（5）应能按资源分组的维度查看资源运行情况和告警情况。以上功能需提供系统功能截图或提供第三方权威机构出具的检测报告复印件证明并加盖原厂公章。</w:t>
            </w:r>
          </w:p>
        </w:tc>
        <w:tc>
          <w:tcPr>
            <w:tcW w:w="1238" w:type="dxa"/>
            <w:noWrap w:val="0"/>
            <w:vAlign w:val="center"/>
          </w:tcPr>
          <w:p w14:paraId="6AE3750B">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7EFE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6BC031F6">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6</w:t>
            </w:r>
          </w:p>
        </w:tc>
        <w:tc>
          <w:tcPr>
            <w:tcW w:w="711" w:type="dxa"/>
            <w:noWrap w:val="0"/>
            <w:vAlign w:val="center"/>
          </w:tcPr>
          <w:p w14:paraId="60A8BE93">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2C492206">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展示大屏</w:t>
            </w:r>
          </w:p>
        </w:tc>
        <w:tc>
          <w:tcPr>
            <w:tcW w:w="4529" w:type="dxa"/>
            <w:noWrap w:val="0"/>
            <w:vAlign w:val="center"/>
          </w:tcPr>
          <w:p w14:paraId="460AAF51">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可以通过多种方式进行可视化视图查看，应支持大屏展示、轮播等，在查看功能下应支持分辨率自适应、</w:t>
            </w:r>
            <w:r>
              <w:rPr>
                <w:rFonts w:hint="eastAsia" w:ascii="仿宋" w:hAnsi="仿宋" w:eastAsia="仿宋" w:cs="仿宋"/>
                <w:color w:val="auto"/>
                <w:kern w:val="0"/>
                <w:sz w:val="21"/>
                <w:szCs w:val="21"/>
              </w:rPr>
              <w:t>编辑功能</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rPr>
              <w:t>动画刷新频率以及数据配置</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lang w:val="en-US" w:eastAsia="zh-CN"/>
              </w:rPr>
              <w:t>轮播功能支持手动和自动；</w:t>
            </w:r>
          </w:p>
        </w:tc>
        <w:tc>
          <w:tcPr>
            <w:tcW w:w="1238" w:type="dxa"/>
            <w:noWrap w:val="0"/>
            <w:vAlign w:val="center"/>
          </w:tcPr>
          <w:p w14:paraId="7A98BA3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02CB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14829ED6">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7</w:t>
            </w:r>
          </w:p>
        </w:tc>
        <w:tc>
          <w:tcPr>
            <w:tcW w:w="711" w:type="dxa"/>
            <w:noWrap w:val="0"/>
            <w:vAlign w:val="center"/>
          </w:tcPr>
          <w:p w14:paraId="7275B2A9">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32FCF4B2">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拓扑管理</w:t>
            </w:r>
          </w:p>
        </w:tc>
        <w:tc>
          <w:tcPr>
            <w:tcW w:w="4529" w:type="dxa"/>
            <w:noWrap w:val="0"/>
            <w:vAlign w:val="center"/>
          </w:tcPr>
          <w:p w14:paraId="4A97E47F">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通过SNMP协议自动发现、识别包括路由器、交换机等各类网络设备或组件，自动绘制完整的网络拓扑结构图。支持通过多种模板创建多样化、层次化的拓扑图，其中需包括分层拓扑、分区拓扑和空白拓扑，且不同模板之间能够方便快速的进行切换；支持通过设备添加与其连接的所有不高于5层的设备。支持将资源节点放于区域中展示；支持将区域和区域中的资源节点一并收起展示，区域收起展开时，区域外资源节点在拓扑图上的展示位置不变。</w:t>
            </w:r>
          </w:p>
        </w:tc>
        <w:tc>
          <w:tcPr>
            <w:tcW w:w="1238" w:type="dxa"/>
            <w:noWrap w:val="0"/>
            <w:vAlign w:val="center"/>
          </w:tcPr>
          <w:p w14:paraId="1335217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78AB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7BF7CE64">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8</w:t>
            </w:r>
          </w:p>
        </w:tc>
        <w:tc>
          <w:tcPr>
            <w:tcW w:w="711" w:type="dxa"/>
            <w:noWrap w:val="0"/>
            <w:vAlign w:val="center"/>
          </w:tcPr>
          <w:p w14:paraId="6E96B04F">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1253" w:type="dxa"/>
            <w:noWrap w:val="0"/>
            <w:vAlign w:val="center"/>
          </w:tcPr>
          <w:p w14:paraId="56A6A690">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告警分析管理</w:t>
            </w:r>
          </w:p>
        </w:tc>
        <w:tc>
          <w:tcPr>
            <w:tcW w:w="4529" w:type="dxa"/>
            <w:noWrap w:val="0"/>
            <w:vAlign w:val="center"/>
          </w:tcPr>
          <w:p w14:paraId="6F6C03FE">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应能基于故障资源的CMDB关系，自动分析引起当前故障的关联告警作为可能的原因，也可基于经验值，自定义可能原因的分析说明。（2）应能基于故障资源的CMDB关系，自动分析当前故障影响的其他资源范围，也可基于经验值，自定义影响范围的说明信息。（3）应能支持自动显示故障资源上下层关系图，默认显示一层，可基于该资源展开到最多5层的关系图，可查看1~5层内与当前故障资源有关联的其他资源是否存在异常。（4）应能支持根据故障的不同原因，自动显示处理建议，同时支持自定义处理建议的内容。以上功能需提供系统功能截图或提供第三方权威机构出具的检测报告复印件证明并加盖原厂公章。</w:t>
            </w:r>
          </w:p>
        </w:tc>
        <w:tc>
          <w:tcPr>
            <w:tcW w:w="1238" w:type="dxa"/>
            <w:noWrap w:val="0"/>
            <w:vAlign w:val="center"/>
          </w:tcPr>
          <w:p w14:paraId="5B097DC6">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715D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7E4B0E3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9</w:t>
            </w:r>
          </w:p>
        </w:tc>
        <w:tc>
          <w:tcPr>
            <w:tcW w:w="711" w:type="dxa"/>
            <w:noWrap w:val="0"/>
            <w:vAlign w:val="center"/>
          </w:tcPr>
          <w:p w14:paraId="4AD08DEC">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63E171A8">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自动巡检</w:t>
            </w:r>
          </w:p>
        </w:tc>
        <w:tc>
          <w:tcPr>
            <w:tcW w:w="4529" w:type="dxa"/>
            <w:noWrap w:val="0"/>
            <w:vAlign w:val="center"/>
          </w:tcPr>
          <w:p w14:paraId="34037DE1">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巡检内容包括服务器、网络设备、无线、虚拟化、存储等所有管理对象；巡检的计算方式应包括：符合条件的次数达到设定的阈值、连续的值符合设置的阈值、最后一次值符合设定的阈值、最后一次值与上一次值是否相同；巡检应支持自定义多个巡检任务面向不同的管理对象，设定巡检时间。巡检结束后应生成巡检报告。</w:t>
            </w:r>
          </w:p>
        </w:tc>
        <w:tc>
          <w:tcPr>
            <w:tcW w:w="1238" w:type="dxa"/>
            <w:noWrap w:val="0"/>
            <w:vAlign w:val="center"/>
          </w:tcPr>
          <w:p w14:paraId="3359D97E">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1EEF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6FCC704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10</w:t>
            </w:r>
          </w:p>
        </w:tc>
        <w:tc>
          <w:tcPr>
            <w:tcW w:w="711" w:type="dxa"/>
            <w:noWrap w:val="0"/>
            <w:vAlign w:val="center"/>
          </w:tcPr>
          <w:p w14:paraId="3C181231">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6EEA838E">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rPr>
              <w:t>工单管理</w:t>
            </w:r>
          </w:p>
        </w:tc>
        <w:tc>
          <w:tcPr>
            <w:tcW w:w="4529" w:type="dxa"/>
            <w:noWrap w:val="0"/>
            <w:vAlign w:val="center"/>
          </w:tcPr>
          <w:p w14:paraId="61BDEBC0">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支持发布管理的增、删、改、查功能。支持发布的流程跟踪。</w:t>
            </w:r>
          </w:p>
          <w:p w14:paraId="07B016C1">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sz w:val="21"/>
                <w:szCs w:val="21"/>
              </w:rPr>
              <w:t>支持事件的增删改查功能。支持多种的事件录入方式，web录入、手机录入等。（需提供产品功能截图，并加盖公章）</w:t>
            </w:r>
          </w:p>
        </w:tc>
        <w:tc>
          <w:tcPr>
            <w:tcW w:w="1238" w:type="dxa"/>
            <w:noWrap w:val="0"/>
            <w:vAlign w:val="center"/>
          </w:tcPr>
          <w:p w14:paraId="3756AF77">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sz w:val="21"/>
                <w:szCs w:val="21"/>
              </w:rPr>
              <w:t>是</w:t>
            </w:r>
          </w:p>
        </w:tc>
      </w:tr>
      <w:tr w14:paraId="6E23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1AF91379">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11</w:t>
            </w:r>
          </w:p>
        </w:tc>
        <w:tc>
          <w:tcPr>
            <w:tcW w:w="711" w:type="dxa"/>
            <w:noWrap w:val="0"/>
            <w:vAlign w:val="center"/>
          </w:tcPr>
          <w:p w14:paraId="147305C7">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49AF7D72">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rPr>
              <w:t>资产管理</w:t>
            </w:r>
          </w:p>
        </w:tc>
        <w:tc>
          <w:tcPr>
            <w:tcW w:w="4529" w:type="dxa"/>
            <w:noWrap w:val="0"/>
            <w:vAlign w:val="center"/>
          </w:tcPr>
          <w:p w14:paraId="261591AA">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支持监控系统设备同步到资产库。</w:t>
            </w:r>
          </w:p>
          <w:p w14:paraId="72DC65B1">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支持手动录入、批量导入导出、数据同步等采集方式。</w:t>
            </w:r>
          </w:p>
          <w:p w14:paraId="67881999">
            <w:pPr>
              <w:keepNext/>
              <w:keepLines w:val="0"/>
              <w:pageBreakBefore w:val="0"/>
              <w:widowControl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sz w:val="21"/>
                <w:szCs w:val="21"/>
              </w:rPr>
              <w:t>（需提供资产同步功能的功能截图，并加盖公章）</w:t>
            </w:r>
          </w:p>
        </w:tc>
        <w:tc>
          <w:tcPr>
            <w:tcW w:w="1238" w:type="dxa"/>
            <w:noWrap w:val="0"/>
            <w:vAlign w:val="center"/>
          </w:tcPr>
          <w:p w14:paraId="7265C9A2">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rPr>
              <w:t>是</w:t>
            </w:r>
          </w:p>
        </w:tc>
      </w:tr>
      <w:tr w14:paraId="0194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2EE87345">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1</w:t>
            </w:r>
            <w:r>
              <w:rPr>
                <w:rFonts w:hint="eastAsia" w:ascii="仿宋" w:hAnsi="仿宋" w:eastAsia="仿宋" w:cs="仿宋"/>
                <w:color w:val="auto"/>
                <w:kern w:val="0"/>
                <w:sz w:val="21"/>
                <w:szCs w:val="21"/>
                <w:lang w:val="en-US" w:eastAsia="zh-CN"/>
              </w:rPr>
              <w:t>2</w:t>
            </w:r>
          </w:p>
        </w:tc>
        <w:tc>
          <w:tcPr>
            <w:tcW w:w="711" w:type="dxa"/>
            <w:noWrap w:val="0"/>
            <w:vAlign w:val="center"/>
          </w:tcPr>
          <w:p w14:paraId="21B7A8C3">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1253" w:type="dxa"/>
            <w:noWrap w:val="0"/>
            <w:vAlign w:val="center"/>
          </w:tcPr>
          <w:p w14:paraId="53996E0A">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灵活定制页面</w:t>
            </w:r>
          </w:p>
        </w:tc>
        <w:tc>
          <w:tcPr>
            <w:tcW w:w="4529" w:type="dxa"/>
            <w:noWrap w:val="0"/>
            <w:vAlign w:val="center"/>
          </w:tcPr>
          <w:p w14:paraId="6ED16C0D">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具备灵活的详情自定义能力，能提供资源详情定制工具，并可将页面发布到任意关注的资源类型中，实现不同资源可关注到不同的内容</w:t>
            </w:r>
            <w:r>
              <w:rPr>
                <w:rFonts w:hint="eastAsia" w:ascii="仿宋" w:hAnsi="仿宋" w:eastAsia="仿宋" w:cs="仿宋"/>
                <w:color w:val="auto"/>
                <w:kern w:val="0"/>
                <w:sz w:val="21"/>
                <w:szCs w:val="21"/>
                <w:lang w:eastAsia="zh-CN"/>
              </w:rPr>
              <w:t>，</w:t>
            </w:r>
            <w:r>
              <w:rPr>
                <w:rFonts w:hint="eastAsia" w:ascii="仿宋" w:hAnsi="仿宋" w:eastAsia="仿宋" w:cs="仿宋"/>
                <w:color w:val="auto"/>
                <w:kern w:val="0"/>
                <w:sz w:val="21"/>
                <w:szCs w:val="21"/>
              </w:rPr>
              <w:t>以上功能需提供系统功能截图或提供第三方权威机构出具的检测报告复印件证明并加盖原厂公章。</w:t>
            </w:r>
          </w:p>
        </w:tc>
        <w:tc>
          <w:tcPr>
            <w:tcW w:w="1238" w:type="dxa"/>
            <w:noWrap w:val="0"/>
            <w:vAlign w:val="center"/>
          </w:tcPr>
          <w:p w14:paraId="54D035BE">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42FD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3D2E207E">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1</w:t>
            </w:r>
            <w:r>
              <w:rPr>
                <w:rFonts w:hint="eastAsia" w:ascii="仿宋" w:hAnsi="仿宋" w:eastAsia="仿宋" w:cs="仿宋"/>
                <w:color w:val="auto"/>
                <w:kern w:val="0"/>
                <w:sz w:val="21"/>
                <w:szCs w:val="21"/>
                <w:lang w:val="en-US" w:eastAsia="zh-CN"/>
              </w:rPr>
              <w:t>3</w:t>
            </w:r>
          </w:p>
        </w:tc>
        <w:tc>
          <w:tcPr>
            <w:tcW w:w="711" w:type="dxa"/>
            <w:noWrap w:val="0"/>
            <w:vAlign w:val="center"/>
          </w:tcPr>
          <w:p w14:paraId="2AEB7B27">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253" w:type="dxa"/>
            <w:noWrap w:val="0"/>
            <w:vAlign w:val="center"/>
          </w:tcPr>
          <w:p w14:paraId="5B8523E1">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组织和用户权限</w:t>
            </w:r>
          </w:p>
        </w:tc>
        <w:tc>
          <w:tcPr>
            <w:tcW w:w="4529" w:type="dxa"/>
            <w:noWrap w:val="0"/>
            <w:vAlign w:val="center"/>
          </w:tcPr>
          <w:p w14:paraId="5B2C8C46">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系统应具备控制子管理员管理用户范围的能力。系统管理员为子管理员分配可以管理的组织和用户范围，子管理员登录系统后，应能够在自己权限范围内对组织和用户进行管理，应能够创建角色，为用户分配权限。（2）系统应具备控制子管理员功能和资源范围的能力。系统管理员可以为子管理员分配功能权限，通过资源组、单个资源或动态匹配条件为子管理员分配资源权限，子管理员只能在权限范围内，为下级角色赋权。（3）子管理员应该能够有自建资源的权限，且对添加或发现后的资源有最高操作权限和分配权限。</w:t>
            </w:r>
          </w:p>
        </w:tc>
        <w:tc>
          <w:tcPr>
            <w:tcW w:w="1238" w:type="dxa"/>
            <w:noWrap w:val="0"/>
            <w:vAlign w:val="center"/>
          </w:tcPr>
          <w:p w14:paraId="1B982BB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否</w:t>
            </w:r>
          </w:p>
        </w:tc>
      </w:tr>
      <w:tr w14:paraId="6D48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1" w:type="dxa"/>
            <w:noWrap w:val="0"/>
            <w:vAlign w:val="center"/>
          </w:tcPr>
          <w:p w14:paraId="4B24DA6A">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rPr>
              <w:t>1</w:t>
            </w:r>
            <w:r>
              <w:rPr>
                <w:rFonts w:hint="eastAsia" w:ascii="仿宋" w:hAnsi="仿宋" w:eastAsia="仿宋" w:cs="仿宋"/>
                <w:color w:val="auto"/>
                <w:kern w:val="0"/>
                <w:sz w:val="21"/>
                <w:szCs w:val="21"/>
                <w:lang w:val="en-US" w:eastAsia="zh-CN"/>
              </w:rPr>
              <w:t>4</w:t>
            </w:r>
          </w:p>
        </w:tc>
        <w:tc>
          <w:tcPr>
            <w:tcW w:w="711" w:type="dxa"/>
            <w:noWrap w:val="0"/>
            <w:vAlign w:val="center"/>
          </w:tcPr>
          <w:p w14:paraId="73298119">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1253" w:type="dxa"/>
            <w:noWrap w:val="0"/>
            <w:vAlign w:val="center"/>
          </w:tcPr>
          <w:p w14:paraId="3BEF2D90">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统一管理</w:t>
            </w:r>
          </w:p>
        </w:tc>
        <w:tc>
          <w:tcPr>
            <w:tcW w:w="4529" w:type="dxa"/>
            <w:noWrap w:val="0"/>
            <w:vAlign w:val="center"/>
          </w:tcPr>
          <w:p w14:paraId="4FDAD422">
            <w:pPr>
              <w:keepNext/>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本次采购的网络管理系统须支持通过扩展授权或定制开发的方式，与院区已部署的网络管理系统进行资源数据打通，实现IT资源统一管理。提供原厂对接方案承诺函并加盖原厂公章。</w:t>
            </w:r>
          </w:p>
        </w:tc>
        <w:tc>
          <w:tcPr>
            <w:tcW w:w="1238" w:type="dxa"/>
            <w:noWrap w:val="0"/>
            <w:vAlign w:val="center"/>
          </w:tcPr>
          <w:p w14:paraId="315B3C55">
            <w:pPr>
              <w:keepNext/>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val="en-US" w:eastAsia="zh-CN"/>
              </w:rPr>
              <w:t>是</w:t>
            </w:r>
          </w:p>
        </w:tc>
      </w:tr>
    </w:tbl>
    <w:p w14:paraId="08451279">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6</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终端安全系统</w:t>
      </w:r>
    </w:p>
    <w:tbl>
      <w:tblPr>
        <w:tblStyle w:val="5"/>
        <w:tblW w:w="5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20"/>
        <w:gridCol w:w="950"/>
        <w:gridCol w:w="5103"/>
        <w:gridCol w:w="1221"/>
      </w:tblGrid>
      <w:tr w14:paraId="35F1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21" w:type="pct"/>
            <w:noWrap w:val="0"/>
            <w:vAlign w:val="center"/>
          </w:tcPr>
          <w:p w14:paraId="6AF19793">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序号</w:t>
            </w:r>
          </w:p>
        </w:tc>
        <w:tc>
          <w:tcPr>
            <w:tcW w:w="473" w:type="pct"/>
            <w:noWrap w:val="0"/>
            <w:vAlign w:val="center"/>
          </w:tcPr>
          <w:p w14:paraId="2B3845A8">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重要性</w:t>
            </w:r>
          </w:p>
        </w:tc>
        <w:tc>
          <w:tcPr>
            <w:tcW w:w="548" w:type="pct"/>
            <w:noWrap w:val="0"/>
            <w:vAlign w:val="center"/>
          </w:tcPr>
          <w:p w14:paraId="3C3963B9">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指标项</w:t>
            </w:r>
          </w:p>
        </w:tc>
        <w:tc>
          <w:tcPr>
            <w:tcW w:w="2950" w:type="pct"/>
            <w:noWrap w:val="0"/>
            <w:vAlign w:val="center"/>
          </w:tcPr>
          <w:p w14:paraId="6D453A59">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详细要求</w:t>
            </w:r>
          </w:p>
        </w:tc>
        <w:tc>
          <w:tcPr>
            <w:tcW w:w="706" w:type="pct"/>
            <w:noWrap w:val="0"/>
            <w:vAlign w:val="center"/>
          </w:tcPr>
          <w:p w14:paraId="7DCFD270">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b/>
                <w:bCs/>
                <w:color w:val="auto"/>
                <w:kern w:val="0"/>
                <w:sz w:val="21"/>
                <w:szCs w:val="21"/>
              </w:rPr>
            </w:pPr>
            <w:r>
              <w:rPr>
                <w:rFonts w:hint="eastAsia" w:ascii="仿宋" w:hAnsi="仿宋" w:eastAsia="仿宋" w:cs="仿宋"/>
                <w:b/>
                <w:bCs/>
                <w:color w:val="auto"/>
                <w:kern w:val="0"/>
                <w:sz w:val="21"/>
                <w:szCs w:val="21"/>
              </w:rPr>
              <w:t>是否提供证明材料</w:t>
            </w:r>
          </w:p>
        </w:tc>
      </w:tr>
      <w:tr w14:paraId="35FB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3F3C10B9">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53202981">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w:t>
            </w:r>
          </w:p>
        </w:tc>
        <w:tc>
          <w:tcPr>
            <w:tcW w:w="548" w:type="pct"/>
            <w:noWrap w:val="0"/>
            <w:vAlign w:val="center"/>
          </w:tcPr>
          <w:p w14:paraId="2522D7B0">
            <w:pPr>
              <w:pageBreakBefore w:val="0"/>
              <w:widowControl/>
              <w:kinsoku/>
              <w:wordWrap/>
              <w:overflowPunct/>
              <w:topLinePunct w:val="0"/>
              <w:autoSpaceDE/>
              <w:autoSpaceDN/>
              <w:bidi w:val="0"/>
              <w:snapToGrid w:val="0"/>
              <w:spacing w:line="360" w:lineRule="auto"/>
              <w:jc w:val="center"/>
              <w:rPr>
                <w:rFonts w:hint="default"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基本要求</w:t>
            </w:r>
          </w:p>
        </w:tc>
        <w:tc>
          <w:tcPr>
            <w:tcW w:w="2950" w:type="pct"/>
            <w:noWrap w:val="0"/>
            <w:vAlign w:val="center"/>
          </w:tcPr>
          <w:p w14:paraId="1F5E6964">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管理控制中心1套，提供对客户端的统一管控，对客户端报送的日志事件进行统一存储分析和展示等管理能力；</w:t>
            </w:r>
          </w:p>
          <w:p w14:paraId="0EC9C9C6">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国产化终端客户端授权不少于</w:t>
            </w:r>
            <w:r>
              <w:rPr>
                <w:rFonts w:hint="eastAsia" w:ascii="仿宋" w:hAnsi="仿宋" w:eastAsia="仿宋" w:cs="仿宋"/>
                <w:color w:val="auto"/>
                <w:sz w:val="21"/>
                <w:szCs w:val="21"/>
                <w:lang w:val="en-US" w:eastAsia="zh-CN"/>
              </w:rPr>
              <w:t>50</w:t>
            </w:r>
            <w:r>
              <w:rPr>
                <w:rFonts w:hint="eastAsia" w:ascii="仿宋" w:hAnsi="仿宋" w:eastAsia="仿宋" w:cs="仿宋"/>
                <w:color w:val="auto"/>
                <w:sz w:val="21"/>
                <w:szCs w:val="21"/>
              </w:rPr>
              <w:t>点；</w:t>
            </w:r>
          </w:p>
          <w:p w14:paraId="034E9F3F">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国产化服务器客户端授权不少于40点；</w:t>
            </w:r>
          </w:p>
          <w:p w14:paraId="6F6CFC26">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提供三年软件、特征库升级服务；</w:t>
            </w:r>
          </w:p>
          <w:p w14:paraId="42D7706E">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控制中心部署最低配置需求：8核CPU，16GB内存，500GB磁盘。</w:t>
            </w:r>
          </w:p>
        </w:tc>
        <w:tc>
          <w:tcPr>
            <w:tcW w:w="706" w:type="pct"/>
            <w:noWrap w:val="0"/>
            <w:vAlign w:val="center"/>
          </w:tcPr>
          <w:p w14:paraId="5540635A">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7FC7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31C44BE3">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2AA46AA7">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noWrap w:val="0"/>
            <w:vAlign w:val="center"/>
          </w:tcPr>
          <w:p w14:paraId="76732856">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客户端兼容性</w:t>
            </w:r>
          </w:p>
        </w:tc>
        <w:tc>
          <w:tcPr>
            <w:tcW w:w="2950" w:type="pct"/>
            <w:noWrap w:val="0"/>
            <w:vAlign w:val="center"/>
          </w:tcPr>
          <w:p w14:paraId="79C3CACA">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支持常见类型客户端，包含但不限于以下类型：</w:t>
            </w:r>
          </w:p>
          <w:p w14:paraId="0D55775C">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winPC客户端可支持Windows XP_SP3及以上/Windows 7/Windows 8/Windows 10/windows 11；</w:t>
            </w:r>
          </w:p>
          <w:p w14:paraId="3E7B8CB7">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国产化终端和服务器客户端可支持中标麒麟、银河麒麟、麒麟V10、统信UOS v20。</w:t>
            </w:r>
          </w:p>
        </w:tc>
        <w:tc>
          <w:tcPr>
            <w:tcW w:w="706" w:type="pct"/>
            <w:noWrap w:val="0"/>
            <w:vAlign w:val="center"/>
          </w:tcPr>
          <w:p w14:paraId="4AC28E98">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705C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1B14A0BA">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444D6D09">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noWrap w:val="0"/>
            <w:vAlign w:val="center"/>
          </w:tcPr>
          <w:p w14:paraId="0C199F1E">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账号管理</w:t>
            </w:r>
          </w:p>
        </w:tc>
        <w:tc>
          <w:tcPr>
            <w:tcW w:w="2950" w:type="pct"/>
            <w:noWrap w:val="0"/>
            <w:vAlign w:val="center"/>
          </w:tcPr>
          <w:p w14:paraId="45EA3E92">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支持管理控制中心账号输入密码错误次数超过阈值自动锁定，支持锁定时间设置。支持终端“防退出”、“防卸载”密码保护。支持双因子认证登录方式。</w:t>
            </w:r>
          </w:p>
        </w:tc>
        <w:tc>
          <w:tcPr>
            <w:tcW w:w="706" w:type="pct"/>
            <w:noWrap w:val="0"/>
            <w:vAlign w:val="center"/>
          </w:tcPr>
          <w:p w14:paraId="62761027">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56BC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0A9E6EDF">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73124DA2">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noWrap w:val="0"/>
            <w:vAlign w:val="center"/>
          </w:tcPr>
          <w:p w14:paraId="49A5CEEB">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灰度更新</w:t>
            </w:r>
          </w:p>
        </w:tc>
        <w:tc>
          <w:tcPr>
            <w:tcW w:w="2950" w:type="pct"/>
            <w:noWrap w:val="0"/>
            <w:vAlign w:val="center"/>
          </w:tcPr>
          <w:p w14:paraId="37FA8C02">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支持客户端主程序、病毒库按分组和多批次灰度更新。</w:t>
            </w:r>
          </w:p>
        </w:tc>
        <w:tc>
          <w:tcPr>
            <w:tcW w:w="706" w:type="pct"/>
            <w:noWrap w:val="0"/>
            <w:vAlign w:val="center"/>
          </w:tcPr>
          <w:p w14:paraId="7FABF475">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14D1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500DCF27">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7A804123">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548" w:type="pct"/>
            <w:noWrap w:val="0"/>
            <w:vAlign w:val="center"/>
          </w:tcPr>
          <w:p w14:paraId="5C34EFC3">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轻量化</w:t>
            </w:r>
          </w:p>
        </w:tc>
        <w:tc>
          <w:tcPr>
            <w:tcW w:w="2950" w:type="pct"/>
            <w:noWrap w:val="0"/>
            <w:vAlign w:val="center"/>
          </w:tcPr>
          <w:p w14:paraId="23E09AD5">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支持根据分组进行客户端轻量化一键切换。</w:t>
            </w:r>
          </w:p>
        </w:tc>
        <w:tc>
          <w:tcPr>
            <w:tcW w:w="706" w:type="pct"/>
            <w:noWrap w:val="0"/>
            <w:vAlign w:val="center"/>
          </w:tcPr>
          <w:p w14:paraId="140938BD">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是</w:t>
            </w:r>
          </w:p>
        </w:tc>
      </w:tr>
      <w:tr w14:paraId="087A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6C4CF852">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1C8AA124">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noWrap w:val="0"/>
            <w:vAlign w:val="center"/>
          </w:tcPr>
          <w:p w14:paraId="1499482D">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远程协助</w:t>
            </w:r>
          </w:p>
        </w:tc>
        <w:tc>
          <w:tcPr>
            <w:tcW w:w="2950" w:type="pct"/>
            <w:noWrap w:val="0"/>
            <w:vAlign w:val="center"/>
          </w:tcPr>
          <w:p w14:paraId="77711144">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支持Windows、信创终端远程协助。</w:t>
            </w:r>
          </w:p>
        </w:tc>
        <w:tc>
          <w:tcPr>
            <w:tcW w:w="706" w:type="pct"/>
            <w:noWrap w:val="0"/>
            <w:vAlign w:val="center"/>
          </w:tcPr>
          <w:p w14:paraId="3E8BE132">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65CF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581C3A5E">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55CA4FF0">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vMerge w:val="restart"/>
            <w:noWrap w:val="0"/>
            <w:vAlign w:val="center"/>
          </w:tcPr>
          <w:p w14:paraId="028A73F9">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病毒防护</w:t>
            </w:r>
          </w:p>
        </w:tc>
        <w:tc>
          <w:tcPr>
            <w:tcW w:w="2950" w:type="pct"/>
            <w:noWrap w:val="0"/>
            <w:vAlign w:val="center"/>
          </w:tcPr>
          <w:p w14:paraId="309F03E6">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支持实时防护拦截病毒的完整分析，包含但不限于实时防护概况趋势、处理结果分布、病毒类型TOP10、检出终端TOP10、病毒名称TOP10、病毒文件TOP10、病毒路径TOP10、勒索程序TOP10、挖矿木马TOP10、WebShell木马TOP10。</w:t>
            </w:r>
          </w:p>
        </w:tc>
        <w:tc>
          <w:tcPr>
            <w:tcW w:w="706" w:type="pct"/>
            <w:noWrap w:val="0"/>
            <w:vAlign w:val="center"/>
          </w:tcPr>
          <w:p w14:paraId="21FA937D">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5CAB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6C4850AC">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36F39EF2">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vMerge w:val="continue"/>
            <w:noWrap w:val="0"/>
            <w:vAlign w:val="center"/>
          </w:tcPr>
          <w:p w14:paraId="4D846C0C">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2950" w:type="pct"/>
            <w:noWrap w:val="0"/>
            <w:vAlign w:val="center"/>
          </w:tcPr>
          <w:p w14:paraId="40584127">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支持病毒库自动灰度更新机制，支持设置灰度观察的分组和时长，支持把全网病毒库版本一键回退到历史版本。</w:t>
            </w:r>
          </w:p>
        </w:tc>
        <w:tc>
          <w:tcPr>
            <w:tcW w:w="706" w:type="pct"/>
            <w:noWrap w:val="0"/>
            <w:vAlign w:val="center"/>
          </w:tcPr>
          <w:p w14:paraId="68C385DD">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681C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0D0CF366">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21F5DE85">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noWrap w:val="0"/>
            <w:vAlign w:val="center"/>
          </w:tcPr>
          <w:p w14:paraId="6FFAE73A">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补丁管理</w:t>
            </w:r>
          </w:p>
        </w:tc>
        <w:tc>
          <w:tcPr>
            <w:tcW w:w="2950" w:type="pct"/>
            <w:noWrap w:val="0"/>
            <w:vAlign w:val="center"/>
          </w:tcPr>
          <w:p w14:paraId="495D4937">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支持对统信和麒麟操作系统等进行补丁修复。</w:t>
            </w:r>
          </w:p>
        </w:tc>
        <w:tc>
          <w:tcPr>
            <w:tcW w:w="706" w:type="pct"/>
            <w:noWrap w:val="0"/>
            <w:vAlign w:val="center"/>
          </w:tcPr>
          <w:p w14:paraId="36B3D487">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0435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5DE1F705">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0D8F5AA2">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548" w:type="pct"/>
            <w:noWrap w:val="0"/>
            <w:vAlign w:val="center"/>
          </w:tcPr>
          <w:p w14:paraId="59CB6072">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热补丁</w:t>
            </w:r>
          </w:p>
        </w:tc>
        <w:tc>
          <w:tcPr>
            <w:tcW w:w="2950" w:type="pct"/>
            <w:noWrap w:val="0"/>
            <w:vAlign w:val="center"/>
          </w:tcPr>
          <w:p w14:paraId="76BEF844">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支持热补丁方案，解决严重漏洞无补丁时风险暴露</w:t>
            </w:r>
          </w:p>
        </w:tc>
        <w:tc>
          <w:tcPr>
            <w:tcW w:w="706" w:type="pct"/>
            <w:noWrap w:val="0"/>
            <w:vAlign w:val="center"/>
          </w:tcPr>
          <w:p w14:paraId="565EEF9A">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2646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5F3C9A13">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22929C82">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48" w:type="pct"/>
            <w:noWrap w:val="0"/>
            <w:vAlign w:val="center"/>
          </w:tcPr>
          <w:p w14:paraId="1C46E021">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网络防护</w:t>
            </w:r>
          </w:p>
        </w:tc>
        <w:tc>
          <w:tcPr>
            <w:tcW w:w="2950" w:type="pct"/>
            <w:noWrap w:val="0"/>
            <w:vAlign w:val="center"/>
          </w:tcPr>
          <w:p w14:paraId="58BBD2F6">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支持对网卡进行防护，支持阻止终端修改IP地址、热点创建和IPV6地址使用等。</w:t>
            </w:r>
          </w:p>
        </w:tc>
        <w:tc>
          <w:tcPr>
            <w:tcW w:w="706" w:type="pct"/>
            <w:noWrap w:val="0"/>
            <w:vAlign w:val="center"/>
          </w:tcPr>
          <w:p w14:paraId="50230D37">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rPr>
              <w:t>否</w:t>
            </w:r>
          </w:p>
        </w:tc>
      </w:tr>
      <w:tr w14:paraId="348D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7B94FD1B">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359046B2">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548" w:type="pct"/>
            <w:noWrap w:val="0"/>
            <w:vAlign w:val="center"/>
          </w:tcPr>
          <w:p w14:paraId="0C61AD20">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服务器资源</w:t>
            </w:r>
          </w:p>
        </w:tc>
        <w:tc>
          <w:tcPr>
            <w:tcW w:w="2950" w:type="pct"/>
            <w:noWrap w:val="0"/>
            <w:vAlign w:val="center"/>
          </w:tcPr>
          <w:p w14:paraId="6C7BE4DA">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扫描资源占用设置支持自适应，可设置CPU占用比例最大值</w:t>
            </w:r>
          </w:p>
        </w:tc>
        <w:tc>
          <w:tcPr>
            <w:tcW w:w="706" w:type="pct"/>
            <w:noWrap w:val="0"/>
            <w:vAlign w:val="center"/>
          </w:tcPr>
          <w:p w14:paraId="06669B50">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43C4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21" w:type="pct"/>
            <w:noWrap w:val="0"/>
            <w:vAlign w:val="center"/>
          </w:tcPr>
          <w:p w14:paraId="373D9E7F">
            <w:pPr>
              <w:pStyle w:val="8"/>
              <w:pageBreakBefore w:val="0"/>
              <w:widowControl/>
              <w:numPr>
                <w:ilvl w:val="0"/>
                <w:numId w:val="3"/>
              </w:numPr>
              <w:tabs>
                <w:tab w:val="clear" w:pos="0"/>
              </w:tabs>
              <w:kinsoku/>
              <w:wordWrap/>
              <w:overflowPunct/>
              <w:topLinePunct w:val="0"/>
              <w:autoSpaceDE/>
              <w:autoSpaceDN/>
              <w:bidi w:val="0"/>
              <w:snapToGrid w:val="0"/>
              <w:spacing w:line="360" w:lineRule="auto"/>
              <w:ind w:firstLineChars="0"/>
              <w:jc w:val="center"/>
              <w:rPr>
                <w:rFonts w:hint="eastAsia" w:ascii="仿宋" w:hAnsi="仿宋" w:eastAsia="仿宋" w:cs="仿宋"/>
                <w:color w:val="auto"/>
                <w:kern w:val="0"/>
                <w:sz w:val="21"/>
                <w:szCs w:val="21"/>
              </w:rPr>
            </w:pPr>
          </w:p>
        </w:tc>
        <w:tc>
          <w:tcPr>
            <w:tcW w:w="473" w:type="pct"/>
            <w:noWrap w:val="0"/>
            <w:vAlign w:val="center"/>
          </w:tcPr>
          <w:p w14:paraId="51313C57">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lang w:eastAsia="zh-CN"/>
              </w:rPr>
            </w:pPr>
            <w:r>
              <w:rPr>
                <w:rFonts w:hint="eastAsia" w:ascii="仿宋" w:hAnsi="仿宋" w:eastAsia="仿宋" w:cs="仿宋"/>
                <w:color w:val="auto"/>
                <w:kern w:val="0"/>
                <w:sz w:val="21"/>
                <w:szCs w:val="21"/>
                <w:lang w:eastAsia="zh-CN"/>
              </w:rPr>
              <w:t>▲</w:t>
            </w:r>
          </w:p>
        </w:tc>
        <w:tc>
          <w:tcPr>
            <w:tcW w:w="548" w:type="pct"/>
            <w:noWrap w:val="0"/>
            <w:vAlign w:val="center"/>
          </w:tcPr>
          <w:p w14:paraId="38BABA98">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联动处置</w:t>
            </w:r>
          </w:p>
        </w:tc>
        <w:tc>
          <w:tcPr>
            <w:tcW w:w="2950" w:type="pct"/>
            <w:noWrap w:val="0"/>
            <w:vAlign w:val="center"/>
          </w:tcPr>
          <w:p w14:paraId="531EEAF2">
            <w:pPr>
              <w:pageBreakBefore w:val="0"/>
              <w:widowControl/>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支持与同品牌态势感知类设备进行联动处置，对终端上的恶意病毒进行隔离操作</w:t>
            </w:r>
          </w:p>
        </w:tc>
        <w:tc>
          <w:tcPr>
            <w:tcW w:w="706" w:type="pct"/>
            <w:noWrap w:val="0"/>
            <w:vAlign w:val="center"/>
          </w:tcPr>
          <w:p w14:paraId="54CFFF37">
            <w:pPr>
              <w:pageBreakBefore w:val="0"/>
              <w:widowControl/>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bl>
    <w:p w14:paraId="11B0F02A">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7</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防火墙</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744"/>
        <w:gridCol w:w="1000"/>
        <w:gridCol w:w="5100"/>
        <w:gridCol w:w="1245"/>
      </w:tblGrid>
      <w:tr w14:paraId="03D4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33" w:type="dxa"/>
            <w:noWrap w:val="0"/>
            <w:vAlign w:val="center"/>
          </w:tcPr>
          <w:p w14:paraId="446DDB3F">
            <w:pPr>
              <w:pageBreakBefore w:val="0"/>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序号</w:t>
            </w:r>
          </w:p>
        </w:tc>
        <w:tc>
          <w:tcPr>
            <w:tcW w:w="744" w:type="dxa"/>
            <w:noWrap w:val="0"/>
            <w:vAlign w:val="center"/>
          </w:tcPr>
          <w:p w14:paraId="779A08DF">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sz w:val="21"/>
                <w:szCs w:val="21"/>
              </w:rPr>
            </w:pPr>
            <w:r>
              <w:rPr>
                <w:rFonts w:hint="eastAsia" w:ascii="仿宋" w:hAnsi="仿宋" w:eastAsia="仿宋" w:cs="仿宋"/>
                <w:b/>
                <w:bCs/>
                <w:color w:val="auto"/>
                <w:sz w:val="21"/>
                <w:szCs w:val="21"/>
              </w:rPr>
              <w:t>重要性</w:t>
            </w:r>
          </w:p>
        </w:tc>
        <w:tc>
          <w:tcPr>
            <w:tcW w:w="1000" w:type="dxa"/>
            <w:noWrap w:val="0"/>
            <w:vAlign w:val="center"/>
          </w:tcPr>
          <w:p w14:paraId="448EFB33">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指标项</w:t>
            </w:r>
          </w:p>
        </w:tc>
        <w:tc>
          <w:tcPr>
            <w:tcW w:w="5100" w:type="dxa"/>
            <w:noWrap w:val="0"/>
            <w:vAlign w:val="center"/>
          </w:tcPr>
          <w:p w14:paraId="4ADCA15B">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指标要求</w:t>
            </w:r>
          </w:p>
        </w:tc>
        <w:tc>
          <w:tcPr>
            <w:tcW w:w="1245" w:type="dxa"/>
            <w:noWrap w:val="0"/>
            <w:vAlign w:val="center"/>
          </w:tcPr>
          <w:p w14:paraId="47FC7911">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sz w:val="21"/>
                <w:szCs w:val="21"/>
              </w:rPr>
            </w:pPr>
            <w:r>
              <w:rPr>
                <w:rFonts w:hint="eastAsia" w:ascii="仿宋" w:hAnsi="仿宋" w:eastAsia="仿宋" w:cs="仿宋"/>
                <w:b/>
                <w:bCs/>
                <w:color w:val="auto"/>
                <w:sz w:val="21"/>
                <w:szCs w:val="21"/>
              </w:rPr>
              <w:t>是否提供证明材料</w:t>
            </w:r>
          </w:p>
        </w:tc>
      </w:tr>
      <w:tr w14:paraId="4052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5C052F1F">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6B2C30C0">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1000" w:type="dxa"/>
            <w:noWrap w:val="0"/>
            <w:vAlign w:val="center"/>
          </w:tcPr>
          <w:p w14:paraId="63DDBD1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硬件要求</w:t>
            </w:r>
          </w:p>
        </w:tc>
        <w:tc>
          <w:tcPr>
            <w:tcW w:w="5100" w:type="dxa"/>
            <w:noWrap w:val="0"/>
            <w:vAlign w:val="center"/>
          </w:tcPr>
          <w:p w14:paraId="730DDFB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标准</w:t>
            </w:r>
            <w:r>
              <w:rPr>
                <w:rFonts w:hint="eastAsia" w:ascii="仿宋" w:hAnsi="仿宋" w:eastAsia="仿宋" w:cs="仿宋"/>
                <w:color w:val="auto"/>
                <w:sz w:val="21"/>
                <w:szCs w:val="21"/>
              </w:rPr>
              <w:t>机架式设备，标配冗余电源，采用国产化CPU和国产操作系统；</w:t>
            </w:r>
          </w:p>
          <w:p w14:paraId="01D41116">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≥1个CON口，≥2个USB口，≥1个MGT口，≥8个千兆电口，≥8个千兆</w:t>
            </w:r>
            <w:r>
              <w:rPr>
                <w:rFonts w:hint="eastAsia" w:ascii="仿宋" w:hAnsi="仿宋" w:eastAsia="仿宋" w:cs="仿宋"/>
                <w:color w:val="auto"/>
                <w:sz w:val="21"/>
                <w:szCs w:val="21"/>
                <w:lang w:val="en-US" w:eastAsia="zh-CN"/>
              </w:rPr>
              <w:t>光</w:t>
            </w:r>
            <w:r>
              <w:rPr>
                <w:rFonts w:hint="eastAsia" w:ascii="仿宋" w:hAnsi="仿宋" w:eastAsia="仿宋" w:cs="仿宋"/>
                <w:color w:val="auto"/>
                <w:sz w:val="21"/>
                <w:szCs w:val="21"/>
              </w:rPr>
              <w:t>口，≥8个万兆光口；≥1个扩展插槽，支持扩展千兆、万兆、40G、100G接口；≥2T SSD硬盘；</w:t>
            </w:r>
          </w:p>
          <w:p w14:paraId="0894AFDF">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为了保障设备的稳定运行，要求所投产品采用前后通风的散热系统设计。</w:t>
            </w:r>
          </w:p>
        </w:tc>
        <w:tc>
          <w:tcPr>
            <w:tcW w:w="1245" w:type="dxa"/>
            <w:noWrap w:val="0"/>
            <w:vAlign w:val="center"/>
          </w:tcPr>
          <w:p w14:paraId="5BA5B4AB">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5D96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77690A1D">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6698A104">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1000" w:type="dxa"/>
            <w:noWrap w:val="0"/>
            <w:vAlign w:val="center"/>
          </w:tcPr>
          <w:p w14:paraId="7764563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性能要求</w:t>
            </w:r>
          </w:p>
        </w:tc>
        <w:tc>
          <w:tcPr>
            <w:tcW w:w="5100" w:type="dxa"/>
            <w:noWrap w:val="0"/>
            <w:vAlign w:val="center"/>
          </w:tcPr>
          <w:p w14:paraId="3C423F99">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网络层吞吐量≥40Gbps，IPS吞吐量≥21Gbp，最大并发连接数≥1600万，每秒新建连接≥35万；</w:t>
            </w:r>
          </w:p>
        </w:tc>
        <w:tc>
          <w:tcPr>
            <w:tcW w:w="1245" w:type="dxa"/>
            <w:noWrap w:val="0"/>
            <w:vAlign w:val="center"/>
          </w:tcPr>
          <w:p w14:paraId="3B325CC9">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5820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74BA6291">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07A4CCA3">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noWrap w:val="0"/>
            <w:vAlign w:val="center"/>
          </w:tcPr>
          <w:p w14:paraId="32024C40">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部署模式</w:t>
            </w:r>
          </w:p>
        </w:tc>
        <w:tc>
          <w:tcPr>
            <w:tcW w:w="5100" w:type="dxa"/>
            <w:noWrap w:val="0"/>
            <w:vAlign w:val="center"/>
          </w:tcPr>
          <w:p w14:paraId="3C2F4B7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支持透明、路由、混合、旁路四种工作模式，且支持在旁路模式下对流量进行统计、扫描、记录和会话重置；</w:t>
            </w:r>
          </w:p>
        </w:tc>
        <w:tc>
          <w:tcPr>
            <w:tcW w:w="1245" w:type="dxa"/>
            <w:noWrap w:val="0"/>
            <w:vAlign w:val="center"/>
          </w:tcPr>
          <w:p w14:paraId="1446CF83">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019E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56714079">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48F63429">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vMerge w:val="restart"/>
            <w:noWrap w:val="0"/>
            <w:vAlign w:val="center"/>
          </w:tcPr>
          <w:p w14:paraId="70E7DA51">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策略管理</w:t>
            </w:r>
          </w:p>
        </w:tc>
        <w:tc>
          <w:tcPr>
            <w:tcW w:w="5100" w:type="dxa"/>
            <w:noWrap w:val="0"/>
            <w:vAlign w:val="center"/>
          </w:tcPr>
          <w:p w14:paraId="280E3A7A">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策略自学习，能够提取命中指定策略ID的流量作为流量数据分析源，基于条目的命中数、报文数及字节数大小，过滤出有效数据，并且根据管理员设置的替换规则、聚合规则优化流量数据，最后自动生成符合管理员期望的安全策略规则。（需提供CNAS或CMA认证的第三方检测机构出具的检验检测报告复印件并加盖制造厂商公章）。</w:t>
            </w:r>
          </w:p>
        </w:tc>
        <w:tc>
          <w:tcPr>
            <w:tcW w:w="1245" w:type="dxa"/>
            <w:noWrap w:val="0"/>
            <w:vAlign w:val="center"/>
          </w:tcPr>
          <w:p w14:paraId="10C00C46">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1B50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6B8D3B3F">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6E406AA0">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lang w:eastAsia="zh-CN"/>
              </w:rPr>
            </w:pPr>
            <w:r>
              <w:rPr>
                <w:rFonts w:hint="eastAsia" w:ascii="仿宋" w:hAnsi="仿宋" w:eastAsia="仿宋" w:cs="仿宋"/>
                <w:color w:val="auto"/>
                <w:sz w:val="21"/>
                <w:szCs w:val="21"/>
                <w:lang w:eastAsia="zh-CN"/>
              </w:rPr>
              <w:t>▲</w:t>
            </w:r>
          </w:p>
        </w:tc>
        <w:tc>
          <w:tcPr>
            <w:tcW w:w="1000" w:type="dxa"/>
            <w:vMerge w:val="continue"/>
            <w:noWrap w:val="0"/>
            <w:vAlign w:val="center"/>
          </w:tcPr>
          <w:p w14:paraId="5E495312">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p>
        </w:tc>
        <w:tc>
          <w:tcPr>
            <w:tcW w:w="5100" w:type="dxa"/>
            <w:noWrap w:val="0"/>
            <w:vAlign w:val="center"/>
          </w:tcPr>
          <w:p w14:paraId="1DEB83DC">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对策略的操作进行配置审计，当对策略配置做出修改时，需要输入审计信息，便于记录用户操作，并将配置历史进行保存，策略审计支持对比两次修改记录。（需提供CNAS或CMA认证的第三方检测机构出具的检验检测报告复印件并加盖制造厂商公章）。</w:t>
            </w:r>
          </w:p>
        </w:tc>
        <w:tc>
          <w:tcPr>
            <w:tcW w:w="1245" w:type="dxa"/>
            <w:noWrap w:val="0"/>
            <w:vAlign w:val="center"/>
          </w:tcPr>
          <w:p w14:paraId="495EA4A3">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是</w:t>
            </w:r>
          </w:p>
        </w:tc>
      </w:tr>
      <w:tr w14:paraId="6D74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207BCA6B">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224C2C26">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noWrap w:val="0"/>
            <w:vAlign w:val="center"/>
          </w:tcPr>
          <w:p w14:paraId="17D4252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路由协议</w:t>
            </w:r>
          </w:p>
        </w:tc>
        <w:tc>
          <w:tcPr>
            <w:tcW w:w="5100" w:type="dxa"/>
            <w:noWrap w:val="0"/>
            <w:vAlign w:val="center"/>
          </w:tcPr>
          <w:p w14:paraId="02A86D4E">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支持IPv4以及IPv6路由能力，需要支持OSFP、BGP、RIP、ISIS等路由协议，同时支持策略路由以及ISP路由并内置多运营商路由表，支持EBGP的multipath-relax以及PIM-SSM等特性</w:t>
            </w:r>
          </w:p>
        </w:tc>
        <w:tc>
          <w:tcPr>
            <w:tcW w:w="1245" w:type="dxa"/>
            <w:noWrap w:val="0"/>
            <w:vAlign w:val="center"/>
          </w:tcPr>
          <w:p w14:paraId="160984B8">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405C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42F79151">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6FDC4FC0">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kern w:val="0"/>
                <w:sz w:val="21"/>
                <w:szCs w:val="21"/>
              </w:rPr>
            </w:pPr>
          </w:p>
        </w:tc>
        <w:tc>
          <w:tcPr>
            <w:tcW w:w="1000" w:type="dxa"/>
            <w:noWrap w:val="0"/>
            <w:vAlign w:val="center"/>
          </w:tcPr>
          <w:p w14:paraId="0B2A7F94">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NAT</w:t>
            </w:r>
          </w:p>
        </w:tc>
        <w:tc>
          <w:tcPr>
            <w:tcW w:w="5100" w:type="dxa"/>
            <w:noWrap w:val="0"/>
            <w:vAlign w:val="center"/>
          </w:tcPr>
          <w:p w14:paraId="202BF490">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SNAT/DNAT支持冗余检测分析，帮助管理员梳理冗余NAT规则。</w:t>
            </w:r>
          </w:p>
        </w:tc>
        <w:tc>
          <w:tcPr>
            <w:tcW w:w="1245" w:type="dxa"/>
            <w:noWrap w:val="0"/>
            <w:vAlign w:val="center"/>
          </w:tcPr>
          <w:p w14:paraId="07DF989F">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39B1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19CD42C2">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03782EBA">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noWrap w:val="0"/>
            <w:vAlign w:val="center"/>
          </w:tcPr>
          <w:p w14:paraId="6D85693E">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链路负载均衡</w:t>
            </w:r>
          </w:p>
        </w:tc>
        <w:tc>
          <w:tcPr>
            <w:tcW w:w="5100" w:type="dxa"/>
            <w:noWrap w:val="0"/>
            <w:vAlign w:val="center"/>
          </w:tcPr>
          <w:p w14:paraId="6787DE54">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支持智能链路负载均衡技术，可实时探测链路质量，动态调整链路转发比重，使流量在最优链路进行转发；</w:t>
            </w:r>
          </w:p>
        </w:tc>
        <w:tc>
          <w:tcPr>
            <w:tcW w:w="1245" w:type="dxa"/>
            <w:noWrap w:val="0"/>
            <w:vAlign w:val="center"/>
          </w:tcPr>
          <w:p w14:paraId="0A8C92F2">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18D3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57E973AE">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51A97E93">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noWrap w:val="0"/>
            <w:vAlign w:val="center"/>
          </w:tcPr>
          <w:p w14:paraId="26466C62">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服务器负载均衡</w:t>
            </w:r>
          </w:p>
        </w:tc>
        <w:tc>
          <w:tcPr>
            <w:tcW w:w="5100" w:type="dxa"/>
            <w:noWrap w:val="0"/>
            <w:vAlign w:val="center"/>
          </w:tcPr>
          <w:p w14:paraId="7EC62B9B">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支持服务器负载均衡，可对服务器会话状态进行监控，支持服务器健康检查和服务器会话保护，支持会话保持，支持加权哈希、加权轮训、加权最小会话数等算法；</w:t>
            </w:r>
          </w:p>
        </w:tc>
        <w:tc>
          <w:tcPr>
            <w:tcW w:w="1245" w:type="dxa"/>
            <w:noWrap w:val="0"/>
            <w:vAlign w:val="center"/>
          </w:tcPr>
          <w:p w14:paraId="19C75C8A">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5EDD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0296899F">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41094DAB">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noWrap w:val="0"/>
            <w:vAlign w:val="center"/>
          </w:tcPr>
          <w:p w14:paraId="622B1B88">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支持SmartDNS功能</w:t>
            </w:r>
          </w:p>
        </w:tc>
        <w:tc>
          <w:tcPr>
            <w:tcW w:w="5100" w:type="dxa"/>
            <w:noWrap w:val="0"/>
            <w:vAlign w:val="center"/>
          </w:tcPr>
          <w:p w14:paraId="40192CF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当外部用户访问内部服务器时，使外网访问内部服务器的流量可以在多条链路上实现智能分担；</w:t>
            </w:r>
          </w:p>
        </w:tc>
        <w:tc>
          <w:tcPr>
            <w:tcW w:w="1245" w:type="dxa"/>
            <w:noWrap w:val="0"/>
            <w:vAlign w:val="center"/>
          </w:tcPr>
          <w:p w14:paraId="63A2583C">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3BEE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35793706">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56A53170">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noWrap w:val="0"/>
            <w:vAlign w:val="center"/>
          </w:tcPr>
          <w:p w14:paraId="55B63CDE">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VPN</w:t>
            </w:r>
          </w:p>
        </w:tc>
        <w:tc>
          <w:tcPr>
            <w:tcW w:w="5100" w:type="dxa"/>
            <w:noWrap w:val="0"/>
            <w:vAlign w:val="center"/>
          </w:tcPr>
          <w:p w14:paraId="51122F98">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支持IPSec VPN\SSL VPN\L2TP VPN\GRE VPN等VPN技术，实配</w:t>
            </w:r>
            <w:r>
              <w:rPr>
                <w:rFonts w:hint="eastAsia" w:ascii="仿宋" w:hAnsi="仿宋" w:eastAsia="仿宋" w:cs="仿宋"/>
                <w:color w:val="auto"/>
                <w:sz w:val="21"/>
                <w:szCs w:val="21"/>
                <w:lang w:val="en-US" w:eastAsia="zh-CN"/>
              </w:rPr>
              <w:t>不少于</w:t>
            </w:r>
            <w:r>
              <w:rPr>
                <w:rFonts w:hint="eastAsia" w:ascii="仿宋" w:hAnsi="仿宋" w:eastAsia="仿宋" w:cs="仿宋"/>
                <w:color w:val="auto"/>
                <w:sz w:val="21"/>
                <w:szCs w:val="21"/>
              </w:rPr>
              <w:t>8个SSL VPN并发许可；</w:t>
            </w:r>
          </w:p>
        </w:tc>
        <w:tc>
          <w:tcPr>
            <w:tcW w:w="1245" w:type="dxa"/>
            <w:noWrap w:val="0"/>
            <w:vAlign w:val="center"/>
          </w:tcPr>
          <w:p w14:paraId="46DF5218">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CB1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2CC82A31">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713A61D6">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1000" w:type="dxa"/>
            <w:noWrap w:val="0"/>
            <w:vAlign w:val="center"/>
          </w:tcPr>
          <w:p w14:paraId="499704EF">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应用识别</w:t>
            </w:r>
          </w:p>
        </w:tc>
        <w:tc>
          <w:tcPr>
            <w:tcW w:w="5100" w:type="dxa"/>
            <w:noWrap w:val="0"/>
            <w:vAlign w:val="center"/>
          </w:tcPr>
          <w:p w14:paraId="60208DA0">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实配应用识别功能，支持基于应用特征、行为和关联信息进行应用识别，支持对Windows\Android\IOS等平台下的应用进行识别以及控制，要求识别的应用≥6000种， </w:t>
            </w:r>
          </w:p>
        </w:tc>
        <w:tc>
          <w:tcPr>
            <w:tcW w:w="1245" w:type="dxa"/>
            <w:noWrap w:val="0"/>
            <w:vAlign w:val="center"/>
          </w:tcPr>
          <w:p w14:paraId="0DFEF504">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151C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1F863D51">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76A68C14">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1000" w:type="dxa"/>
            <w:noWrap w:val="0"/>
            <w:vAlign w:val="center"/>
          </w:tcPr>
          <w:p w14:paraId="4ABE897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入侵防御</w:t>
            </w:r>
          </w:p>
        </w:tc>
        <w:tc>
          <w:tcPr>
            <w:tcW w:w="5100" w:type="dxa"/>
            <w:noWrap w:val="0"/>
            <w:vAlign w:val="center"/>
          </w:tcPr>
          <w:p w14:paraId="770CC6F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实配入侵防御，支持IPS入侵防御规则库，支持针对HTTP、SMTP、IMAP、POP3、VOIP、NETBIOS等20余种协议和应用的攻击检测和防御，具备超过16000种特征库规则，特征库规则列表至少支持基于协议类型、操作系统、攻击类型、严重程度、特征ID等方式的查询，支持IPS库在线/离线升级（提供设备操作界面截图证明材料）；</w:t>
            </w:r>
          </w:p>
        </w:tc>
        <w:tc>
          <w:tcPr>
            <w:tcW w:w="1245" w:type="dxa"/>
            <w:noWrap w:val="0"/>
            <w:vAlign w:val="center"/>
          </w:tcPr>
          <w:p w14:paraId="76BF9712">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4051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4D76D6AC">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345429F8">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1000" w:type="dxa"/>
            <w:noWrap w:val="0"/>
            <w:vAlign w:val="center"/>
          </w:tcPr>
          <w:p w14:paraId="031118DE">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Iot安全</w:t>
            </w:r>
          </w:p>
        </w:tc>
        <w:tc>
          <w:tcPr>
            <w:tcW w:w="5100" w:type="dxa"/>
            <w:noWrap w:val="0"/>
            <w:vAlign w:val="center"/>
          </w:tcPr>
          <w:p w14:paraId="757CAE33">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实配IoT物联网安全能力，支持IoT资产的发现，支持IoT设备的安全接入功能，支持基于协议的接入控制功能。（相关功能需提供CNAS或CMA认证的第三方检测机构出具的检验检测报告复印件并加盖制造厂商公章）。</w:t>
            </w:r>
          </w:p>
        </w:tc>
        <w:tc>
          <w:tcPr>
            <w:tcW w:w="1245" w:type="dxa"/>
            <w:noWrap w:val="0"/>
            <w:vAlign w:val="center"/>
          </w:tcPr>
          <w:p w14:paraId="2B864E7E">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18A7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5D382512">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77E0CA81">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1000" w:type="dxa"/>
            <w:noWrap w:val="0"/>
            <w:vAlign w:val="center"/>
          </w:tcPr>
          <w:p w14:paraId="354702E1">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手机app巡检</w:t>
            </w:r>
          </w:p>
        </w:tc>
        <w:tc>
          <w:tcPr>
            <w:tcW w:w="5100" w:type="dxa"/>
            <w:noWrap w:val="0"/>
            <w:vAlign w:val="center"/>
          </w:tcPr>
          <w:p w14:paraId="281B72F1">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支持手机APP监控功能，实现对设备的远程监控，支持远程监控设备信息、流量数据、威胁事件、系统日志等信息。（提供设备操作界面截图证明材料）；</w:t>
            </w:r>
          </w:p>
        </w:tc>
        <w:tc>
          <w:tcPr>
            <w:tcW w:w="1245" w:type="dxa"/>
            <w:noWrap w:val="0"/>
            <w:vAlign w:val="center"/>
          </w:tcPr>
          <w:p w14:paraId="627670BE">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4027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2DDB093E">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10E455BD">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1000" w:type="dxa"/>
            <w:noWrap w:val="0"/>
            <w:vAlign w:val="center"/>
          </w:tcPr>
          <w:p w14:paraId="1700A14D">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AI运维助手</w:t>
            </w:r>
          </w:p>
        </w:tc>
        <w:tc>
          <w:tcPr>
            <w:tcW w:w="5100" w:type="dxa"/>
            <w:noWrap w:val="0"/>
            <w:vAlign w:val="center"/>
          </w:tcPr>
          <w:p w14:paraId="62FF605B">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能够支持AI运维助手，AI运维助手功能支持进行知识问答，帮助用户理解专业术语或者协助用户进行防火墙配置。（相关功能需提供CNAS或CMA认证的第三方检测机构出具的检验检测报告复印件并加盖制造厂商公章）。</w:t>
            </w:r>
          </w:p>
        </w:tc>
        <w:tc>
          <w:tcPr>
            <w:tcW w:w="1245" w:type="dxa"/>
            <w:noWrap w:val="0"/>
            <w:vAlign w:val="center"/>
          </w:tcPr>
          <w:p w14:paraId="4314FD29">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0B1DA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35676E3A">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183EC65A">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1000" w:type="dxa"/>
            <w:noWrap w:val="0"/>
            <w:vAlign w:val="center"/>
          </w:tcPr>
          <w:p w14:paraId="62547925">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高扩展性</w:t>
            </w:r>
          </w:p>
        </w:tc>
        <w:tc>
          <w:tcPr>
            <w:tcW w:w="5100" w:type="dxa"/>
            <w:noWrap w:val="0"/>
            <w:vAlign w:val="center"/>
          </w:tcPr>
          <w:p w14:paraId="036693C3">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应支持第三方Docker镜像版本的导入和更新，应支持第三方Docker运行信息查看，应支持第三方Docker的停止、重启操作。（相关功能需提供CNAS或CMA认证的第三方检测机构出具的检验检测报告复印件并加盖制造厂商公章）</w:t>
            </w:r>
          </w:p>
        </w:tc>
        <w:tc>
          <w:tcPr>
            <w:tcW w:w="1245" w:type="dxa"/>
            <w:noWrap w:val="0"/>
            <w:vAlign w:val="center"/>
          </w:tcPr>
          <w:p w14:paraId="10265A66">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5108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3" w:type="dxa"/>
            <w:noWrap w:val="0"/>
            <w:vAlign w:val="center"/>
          </w:tcPr>
          <w:p w14:paraId="6C77BF67">
            <w:pPr>
              <w:pStyle w:val="8"/>
              <w:pageBreakBefore w:val="0"/>
              <w:numPr>
                <w:ilvl w:val="0"/>
                <w:numId w:val="4"/>
              </w:numPr>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744" w:type="dxa"/>
            <w:noWrap w:val="0"/>
            <w:vAlign w:val="center"/>
          </w:tcPr>
          <w:p w14:paraId="5A6D9B85">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1000" w:type="dxa"/>
            <w:noWrap w:val="0"/>
            <w:vAlign w:val="center"/>
          </w:tcPr>
          <w:p w14:paraId="4316061C">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资质要求</w:t>
            </w:r>
          </w:p>
        </w:tc>
        <w:tc>
          <w:tcPr>
            <w:tcW w:w="5100" w:type="dxa"/>
            <w:noWrap w:val="0"/>
            <w:vAlign w:val="center"/>
          </w:tcPr>
          <w:p w14:paraId="37F03C96">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245" w:type="dxa"/>
            <w:noWrap w:val="0"/>
            <w:vAlign w:val="center"/>
          </w:tcPr>
          <w:p w14:paraId="6D971EB7">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bl>
    <w:p w14:paraId="39555D73">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8</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下一代-防火墙</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618"/>
        <w:gridCol w:w="696"/>
        <w:gridCol w:w="5489"/>
        <w:gridCol w:w="1256"/>
      </w:tblGrid>
      <w:tr w14:paraId="5ECA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463" w:type="dxa"/>
            <w:noWrap w:val="0"/>
            <w:vAlign w:val="center"/>
          </w:tcPr>
          <w:p w14:paraId="17A24A08">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序号</w:t>
            </w:r>
          </w:p>
        </w:tc>
        <w:tc>
          <w:tcPr>
            <w:tcW w:w="618" w:type="dxa"/>
            <w:noWrap w:val="0"/>
            <w:vAlign w:val="center"/>
          </w:tcPr>
          <w:p w14:paraId="23A1E20A">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重要性</w:t>
            </w:r>
          </w:p>
        </w:tc>
        <w:tc>
          <w:tcPr>
            <w:tcW w:w="696" w:type="dxa"/>
            <w:noWrap w:val="0"/>
            <w:vAlign w:val="center"/>
          </w:tcPr>
          <w:p w14:paraId="05E9169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指标项</w:t>
            </w:r>
          </w:p>
        </w:tc>
        <w:tc>
          <w:tcPr>
            <w:tcW w:w="5489" w:type="dxa"/>
            <w:noWrap w:val="0"/>
            <w:vAlign w:val="center"/>
          </w:tcPr>
          <w:p w14:paraId="5DE8184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指标要求</w:t>
            </w:r>
          </w:p>
        </w:tc>
        <w:tc>
          <w:tcPr>
            <w:tcW w:w="1256" w:type="dxa"/>
            <w:noWrap w:val="0"/>
            <w:vAlign w:val="center"/>
          </w:tcPr>
          <w:p w14:paraId="3D10849A">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bCs/>
                <w:color w:val="auto"/>
                <w:sz w:val="21"/>
                <w:szCs w:val="21"/>
              </w:rPr>
              <w:t>是否提供证明材料</w:t>
            </w:r>
          </w:p>
        </w:tc>
      </w:tr>
      <w:tr w14:paraId="256B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63" w:type="dxa"/>
            <w:noWrap w:val="0"/>
            <w:vAlign w:val="center"/>
          </w:tcPr>
          <w:p w14:paraId="0F858F38">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3B5E852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696" w:type="dxa"/>
            <w:noWrap w:val="0"/>
            <w:vAlign w:val="center"/>
          </w:tcPr>
          <w:p w14:paraId="5C7F4A3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基本要求</w:t>
            </w:r>
          </w:p>
        </w:tc>
        <w:tc>
          <w:tcPr>
            <w:tcW w:w="5489" w:type="dxa"/>
            <w:noWrap w:val="0"/>
            <w:vAlign w:val="center"/>
          </w:tcPr>
          <w:p w14:paraId="1BD0BF69">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标准机架式设备，硬盘≥</w:t>
            </w:r>
            <w:r>
              <w:rPr>
                <w:rFonts w:hint="eastAsia" w:ascii="仿宋" w:hAnsi="仿宋" w:eastAsia="仿宋" w:cs="仿宋"/>
                <w:color w:val="auto"/>
                <w:sz w:val="21"/>
                <w:szCs w:val="21"/>
                <w:lang w:val="en-US" w:eastAsia="zh-CN"/>
              </w:rPr>
              <w:t>960</w:t>
            </w:r>
            <w:r>
              <w:rPr>
                <w:rFonts w:hint="eastAsia" w:ascii="仿宋" w:hAnsi="仿宋" w:eastAsia="仿宋" w:cs="仿宋"/>
                <w:color w:val="auto"/>
                <w:sz w:val="21"/>
                <w:szCs w:val="21"/>
              </w:rPr>
              <w:t>GSSD,实配千兆电口≥</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6个，</w:t>
            </w:r>
            <w:r>
              <w:rPr>
                <w:rFonts w:hint="eastAsia" w:ascii="仿宋" w:hAnsi="仿宋" w:eastAsia="仿宋" w:cs="仿宋"/>
                <w:color w:val="auto"/>
                <w:sz w:val="21"/>
                <w:szCs w:val="21"/>
                <w:lang w:eastAsia="zh-CN"/>
              </w:rPr>
              <w:t>万兆光口≥</w:t>
            </w:r>
            <w:r>
              <w:rPr>
                <w:rFonts w:hint="eastAsia" w:ascii="仿宋" w:hAnsi="仿宋" w:eastAsia="仿宋" w:cs="仿宋"/>
                <w:color w:val="auto"/>
                <w:sz w:val="21"/>
                <w:szCs w:val="21"/>
                <w:lang w:val="en-US" w:eastAsia="zh-CN"/>
              </w:rPr>
              <w:t>6个（满配光模块），</w:t>
            </w:r>
            <w:r>
              <w:rPr>
                <w:rFonts w:hint="eastAsia" w:ascii="仿宋" w:hAnsi="仿宋" w:eastAsia="仿宋" w:cs="仿宋"/>
                <w:color w:val="auto"/>
                <w:sz w:val="21"/>
                <w:szCs w:val="21"/>
              </w:rPr>
              <w:t>冗余电源。网络层吞吐量≥</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rPr>
              <w:t>0G，IPS吞吐量≥</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G，防病毒吞吐量≥</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G，全威胁吞吐量≥</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rPr>
              <w:t>G，并发连接数≥400万，HTTP新建连接数≥1</w:t>
            </w:r>
            <w:r>
              <w:rPr>
                <w:rFonts w:hint="eastAsia" w:ascii="仿宋" w:hAnsi="仿宋" w:eastAsia="仿宋" w:cs="仿宋"/>
                <w:color w:val="auto"/>
                <w:sz w:val="21"/>
                <w:szCs w:val="21"/>
                <w:lang w:val="en-US" w:eastAsia="zh-CN"/>
              </w:rPr>
              <w:t>8</w:t>
            </w:r>
            <w:r>
              <w:rPr>
                <w:rFonts w:hint="eastAsia" w:ascii="仿宋" w:hAnsi="仿宋" w:eastAsia="仿宋" w:cs="仿宋"/>
                <w:color w:val="auto"/>
                <w:sz w:val="21"/>
                <w:szCs w:val="21"/>
              </w:rPr>
              <w:t>万。配置入侵防御、防病毒、URL识别及威胁情报授权。产品必须是专业下一代防火墙设备，非板卡式防火墙或 UTM 设备。</w:t>
            </w:r>
          </w:p>
        </w:tc>
        <w:tc>
          <w:tcPr>
            <w:tcW w:w="1256" w:type="dxa"/>
            <w:noWrap w:val="0"/>
            <w:vAlign w:val="center"/>
          </w:tcPr>
          <w:p w14:paraId="2FCB7B5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45BA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0BDF0BA1">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4DC093D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6" w:type="dxa"/>
            <w:noWrap w:val="0"/>
            <w:vAlign w:val="center"/>
          </w:tcPr>
          <w:p w14:paraId="24BC8BC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工作模式</w:t>
            </w:r>
          </w:p>
        </w:tc>
        <w:tc>
          <w:tcPr>
            <w:tcW w:w="5489" w:type="dxa"/>
            <w:noWrap w:val="0"/>
            <w:vAlign w:val="center"/>
          </w:tcPr>
          <w:p w14:paraId="1AFCB0B3">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支持路由模式、透明模式、虚拟网线模式、旁路镜像模式等多种部署方式。</w:t>
            </w:r>
          </w:p>
        </w:tc>
        <w:tc>
          <w:tcPr>
            <w:tcW w:w="1256" w:type="dxa"/>
            <w:noWrap w:val="0"/>
            <w:vAlign w:val="center"/>
          </w:tcPr>
          <w:p w14:paraId="7172498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655B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26D9C599">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7CC726A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6" w:type="dxa"/>
            <w:noWrap w:val="0"/>
            <w:vAlign w:val="center"/>
          </w:tcPr>
          <w:p w14:paraId="2A8BF96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链路状态检测</w:t>
            </w:r>
          </w:p>
        </w:tc>
        <w:tc>
          <w:tcPr>
            <w:tcW w:w="5489" w:type="dxa"/>
            <w:noWrap w:val="0"/>
            <w:vAlign w:val="center"/>
          </w:tcPr>
          <w:p w14:paraId="2174A25B">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Style w:val="9"/>
                <w:rFonts w:hint="eastAsia" w:ascii="仿宋" w:hAnsi="仿宋" w:eastAsia="仿宋" w:cs="仿宋"/>
                <w:color w:val="auto"/>
                <w:sz w:val="21"/>
                <w:szCs w:val="21"/>
                <w:lang w:val="en-US" w:eastAsia="zh-CN" w:bidi="ar"/>
              </w:rPr>
              <w:t>支持链路连通性检查功能，支持基于3种以上协议对链路连通性进行探测，探测协议至少包括DNS解析、ARP探测、PING和BFD等方式。</w:t>
            </w:r>
          </w:p>
        </w:tc>
        <w:tc>
          <w:tcPr>
            <w:tcW w:w="1256" w:type="dxa"/>
            <w:noWrap w:val="0"/>
            <w:vAlign w:val="center"/>
          </w:tcPr>
          <w:p w14:paraId="7A6612F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3D9F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6813B829">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39C1937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696" w:type="dxa"/>
            <w:noWrap w:val="0"/>
            <w:vAlign w:val="center"/>
          </w:tcPr>
          <w:p w14:paraId="12933EC3">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IPv6</w:t>
            </w:r>
          </w:p>
        </w:tc>
        <w:tc>
          <w:tcPr>
            <w:tcW w:w="5489" w:type="dxa"/>
            <w:noWrap w:val="0"/>
            <w:vAlign w:val="center"/>
          </w:tcPr>
          <w:p w14:paraId="48D4DB7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支持IPv4/IPv6双栈工作模式，以适应IPv6发展趋势。</w:t>
            </w:r>
          </w:p>
        </w:tc>
        <w:tc>
          <w:tcPr>
            <w:tcW w:w="1256" w:type="dxa"/>
            <w:noWrap w:val="0"/>
            <w:vAlign w:val="center"/>
          </w:tcPr>
          <w:p w14:paraId="6499763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r>
              <w:rPr>
                <w:rFonts w:hint="eastAsia" w:ascii="仿宋" w:hAnsi="仿宋" w:eastAsia="仿宋" w:cs="仿宋"/>
                <w:color w:val="auto"/>
                <w:sz w:val="21"/>
                <w:szCs w:val="21"/>
                <w:lang w:eastAsia="zh-CN"/>
              </w:rPr>
              <w:t>否</w:t>
            </w:r>
          </w:p>
        </w:tc>
      </w:tr>
      <w:tr w14:paraId="7AA4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3811C72B">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4E8500C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6" w:type="dxa"/>
            <w:noWrap w:val="0"/>
            <w:vAlign w:val="center"/>
          </w:tcPr>
          <w:p w14:paraId="29D92B35">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流量控制</w:t>
            </w:r>
          </w:p>
        </w:tc>
        <w:tc>
          <w:tcPr>
            <w:tcW w:w="5489" w:type="dxa"/>
            <w:noWrap w:val="0"/>
            <w:vAlign w:val="center"/>
          </w:tcPr>
          <w:p w14:paraId="0D37E45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支持多维度流量控制功能，支持基于IP地址、用户、应用、时间设置流量控制策略，保证关键业务带宽日常需求。</w:t>
            </w:r>
          </w:p>
        </w:tc>
        <w:tc>
          <w:tcPr>
            <w:tcW w:w="1256" w:type="dxa"/>
            <w:noWrap w:val="0"/>
            <w:vAlign w:val="center"/>
          </w:tcPr>
          <w:p w14:paraId="3C8EA3C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2292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1C15A043">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62606F6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w:t>
            </w:r>
          </w:p>
        </w:tc>
        <w:tc>
          <w:tcPr>
            <w:tcW w:w="696" w:type="dxa"/>
            <w:noWrap w:val="0"/>
            <w:vAlign w:val="center"/>
          </w:tcPr>
          <w:p w14:paraId="4BBB0464">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防病毒</w:t>
            </w:r>
          </w:p>
        </w:tc>
        <w:tc>
          <w:tcPr>
            <w:tcW w:w="5489" w:type="dxa"/>
            <w:noWrap w:val="0"/>
            <w:vAlign w:val="center"/>
          </w:tcPr>
          <w:p w14:paraId="0A040F5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支持对压缩病毒文件进行检测和拦截，压缩层数支持15层及以上。</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6" w:type="dxa"/>
            <w:noWrap w:val="0"/>
            <w:vAlign w:val="center"/>
          </w:tcPr>
          <w:p w14:paraId="5A8EE0C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7288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6C2AAA2C">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558E29D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6" w:type="dxa"/>
            <w:noWrap w:val="0"/>
            <w:vAlign w:val="center"/>
          </w:tcPr>
          <w:p w14:paraId="375E8F09">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勒索防护</w:t>
            </w:r>
          </w:p>
        </w:tc>
        <w:tc>
          <w:tcPr>
            <w:tcW w:w="5489" w:type="dxa"/>
            <w:noWrap w:val="0"/>
            <w:vAlign w:val="center"/>
          </w:tcPr>
          <w:p w14:paraId="3740FC96">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应具备独立的勒索病毒防护模块，非普通防病毒功能，支持对特定的业务进行勒索风险自动化评估，并依据评估结果自动生成防护策略。</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6" w:type="dxa"/>
            <w:noWrap w:val="0"/>
            <w:vAlign w:val="center"/>
          </w:tcPr>
          <w:p w14:paraId="3A54BED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是</w:t>
            </w:r>
          </w:p>
        </w:tc>
      </w:tr>
      <w:tr w14:paraId="0CCE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29332422">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196359C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6" w:type="dxa"/>
            <w:noWrap w:val="0"/>
            <w:vAlign w:val="center"/>
          </w:tcPr>
          <w:p w14:paraId="55943E75">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僵尸主机检测</w:t>
            </w:r>
          </w:p>
        </w:tc>
        <w:tc>
          <w:tcPr>
            <w:tcW w:w="5489" w:type="dxa"/>
            <w:noWrap w:val="0"/>
            <w:vAlign w:val="center"/>
          </w:tcPr>
          <w:p w14:paraId="579C5D59">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支持僵尸主机检测功能，产品内置僵尸网络特征库超过128万种，可识别主机的异常外联行为。</w:t>
            </w:r>
          </w:p>
        </w:tc>
        <w:tc>
          <w:tcPr>
            <w:tcW w:w="1256" w:type="dxa"/>
            <w:noWrap w:val="0"/>
            <w:vAlign w:val="center"/>
          </w:tcPr>
          <w:p w14:paraId="29D318B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7458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379EDC94">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1E97CA9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6" w:type="dxa"/>
            <w:noWrap w:val="0"/>
            <w:vAlign w:val="center"/>
          </w:tcPr>
          <w:p w14:paraId="58740FD9">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账号安全防护</w:t>
            </w:r>
          </w:p>
        </w:tc>
        <w:tc>
          <w:tcPr>
            <w:tcW w:w="5489" w:type="dxa"/>
            <w:noWrap w:val="0"/>
            <w:vAlign w:val="center"/>
          </w:tcPr>
          <w:p w14:paraId="015B7AC7">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独立的账号安全防护模块，具备事前账号脆弱性、事中账号爆破、事后账号失陷的全生命周期安全防护，在设备界面可以详细展示账号安全相关信息，包括风险业务、风险等级、存在账号入口、存在弱口令、遭受口令爆破、异常登录账号登。</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6" w:type="dxa"/>
            <w:noWrap w:val="0"/>
            <w:vAlign w:val="center"/>
          </w:tcPr>
          <w:p w14:paraId="66BF608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是</w:t>
            </w:r>
          </w:p>
        </w:tc>
      </w:tr>
      <w:tr w14:paraId="385A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3F0B32A5">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04398CA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6" w:type="dxa"/>
            <w:noWrap w:val="0"/>
            <w:vAlign w:val="center"/>
          </w:tcPr>
          <w:p w14:paraId="5C645AFD">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策略防护</w:t>
            </w:r>
          </w:p>
        </w:tc>
        <w:tc>
          <w:tcPr>
            <w:tcW w:w="5489" w:type="dxa"/>
            <w:noWrap w:val="0"/>
            <w:vAlign w:val="center"/>
          </w:tcPr>
          <w:p w14:paraId="0585396E">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支持策略生命周期管理功能，支持对安全策略修改的时间、原因、变更类型进行统一管理，便于策略的运维与管理。</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6" w:type="dxa"/>
            <w:noWrap w:val="0"/>
            <w:vAlign w:val="center"/>
          </w:tcPr>
          <w:p w14:paraId="55C4933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11E3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3BA711A6">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8" w:type="dxa"/>
            <w:noWrap w:val="0"/>
            <w:vAlign w:val="center"/>
          </w:tcPr>
          <w:p w14:paraId="0438928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6" w:type="dxa"/>
            <w:noWrap w:val="0"/>
            <w:vAlign w:val="center"/>
          </w:tcPr>
          <w:p w14:paraId="63414DB6">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资产识别</w:t>
            </w:r>
          </w:p>
        </w:tc>
        <w:tc>
          <w:tcPr>
            <w:tcW w:w="5489" w:type="dxa"/>
            <w:noWrap w:val="0"/>
            <w:vAlign w:val="center"/>
          </w:tcPr>
          <w:p w14:paraId="4FCA9777">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支持被动监测和主动扫描两种资产识别方式，可梳理离线资产、高危端口开放、冗余端口等安全风险；同时通过可视化的拓扑关系图，直观地展示资产和资产之间的访问关系、访问细节协议端口等信息；</w:t>
            </w:r>
          </w:p>
        </w:tc>
        <w:tc>
          <w:tcPr>
            <w:tcW w:w="1256" w:type="dxa"/>
            <w:noWrap w:val="0"/>
            <w:vAlign w:val="center"/>
          </w:tcPr>
          <w:p w14:paraId="68B8E86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073D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07858191">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8" w:type="dxa"/>
            <w:noWrap w:val="0"/>
            <w:vAlign w:val="center"/>
          </w:tcPr>
          <w:p w14:paraId="0F8A640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6" w:type="dxa"/>
            <w:noWrap w:val="0"/>
            <w:vAlign w:val="center"/>
          </w:tcPr>
          <w:p w14:paraId="43303F7E">
            <w:pPr>
              <w:keepNext w:val="0"/>
              <w:keepLines w:val="0"/>
              <w:pageBreakBefore w:val="0"/>
              <w:kinsoku/>
              <w:wordWrap/>
              <w:overflowPunct/>
              <w:topLinePunct w:val="0"/>
              <w:autoSpaceDE/>
              <w:autoSpaceDN/>
              <w:bidi w:val="0"/>
              <w:adjustRightInd/>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带外管理</w:t>
            </w:r>
          </w:p>
        </w:tc>
        <w:tc>
          <w:tcPr>
            <w:tcW w:w="5489" w:type="dxa"/>
            <w:noWrap w:val="0"/>
            <w:vAlign w:val="center"/>
          </w:tcPr>
          <w:p w14:paraId="24CAEFB0">
            <w:pPr>
              <w:keepNext w:val="0"/>
              <w:keepLines w:val="0"/>
              <w:pageBreakBefore w:val="0"/>
              <w:widowControl/>
              <w:suppressLineNumbers w:val="0"/>
              <w:kinsoku/>
              <w:wordWrap/>
              <w:overflowPunct/>
              <w:topLinePunct w:val="0"/>
              <w:autoSpaceDE/>
              <w:autoSpaceDN/>
              <w:bidi w:val="0"/>
              <w:adjustRightInd/>
              <w:snapToGrid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支持带外管理,保障管理网络和业务网络相互隔离。</w:t>
            </w:r>
          </w:p>
        </w:tc>
        <w:tc>
          <w:tcPr>
            <w:tcW w:w="1256" w:type="dxa"/>
            <w:noWrap w:val="0"/>
            <w:vAlign w:val="center"/>
          </w:tcPr>
          <w:p w14:paraId="1AD3F43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4DAD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63" w:type="dxa"/>
            <w:noWrap w:val="0"/>
            <w:vAlign w:val="center"/>
          </w:tcPr>
          <w:p w14:paraId="55985EF2">
            <w:pPr>
              <w:pStyle w:val="8"/>
              <w:pageBreakBefore w:val="0"/>
              <w:numPr>
                <w:ilvl w:val="0"/>
                <w:numId w:val="5"/>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8" w:type="dxa"/>
            <w:noWrap w:val="0"/>
            <w:vAlign w:val="center"/>
          </w:tcPr>
          <w:p w14:paraId="5987C43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rPr>
              <w:t>★</w:t>
            </w:r>
          </w:p>
        </w:tc>
        <w:tc>
          <w:tcPr>
            <w:tcW w:w="696" w:type="dxa"/>
            <w:noWrap w:val="0"/>
            <w:vAlign w:val="center"/>
          </w:tcPr>
          <w:p w14:paraId="496638A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资质要求</w:t>
            </w:r>
          </w:p>
        </w:tc>
        <w:tc>
          <w:tcPr>
            <w:tcW w:w="5489" w:type="dxa"/>
            <w:noWrap w:val="0"/>
            <w:vAlign w:val="center"/>
          </w:tcPr>
          <w:p w14:paraId="34E9227B">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256" w:type="dxa"/>
            <w:noWrap w:val="0"/>
            <w:vAlign w:val="center"/>
          </w:tcPr>
          <w:p w14:paraId="6104D17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是</w:t>
            </w:r>
          </w:p>
        </w:tc>
      </w:tr>
    </w:tbl>
    <w:p w14:paraId="6227E959">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9 </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WEB应用防火墙</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
        <w:gridCol w:w="611"/>
        <w:gridCol w:w="846"/>
        <w:gridCol w:w="5344"/>
        <w:gridCol w:w="1226"/>
      </w:tblGrid>
      <w:tr w14:paraId="1A89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495" w:type="dxa"/>
            <w:noWrap w:val="0"/>
            <w:vAlign w:val="center"/>
          </w:tcPr>
          <w:p w14:paraId="4231AC05">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序号</w:t>
            </w:r>
          </w:p>
        </w:tc>
        <w:tc>
          <w:tcPr>
            <w:tcW w:w="611" w:type="dxa"/>
            <w:noWrap w:val="0"/>
            <w:vAlign w:val="center"/>
          </w:tcPr>
          <w:p w14:paraId="46435E76">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重要性</w:t>
            </w:r>
          </w:p>
        </w:tc>
        <w:tc>
          <w:tcPr>
            <w:tcW w:w="846" w:type="dxa"/>
            <w:noWrap w:val="0"/>
            <w:vAlign w:val="center"/>
          </w:tcPr>
          <w:p w14:paraId="6D02D87E">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指标项</w:t>
            </w:r>
          </w:p>
        </w:tc>
        <w:tc>
          <w:tcPr>
            <w:tcW w:w="5344" w:type="dxa"/>
            <w:noWrap w:val="0"/>
            <w:vAlign w:val="center"/>
          </w:tcPr>
          <w:p w14:paraId="38436A3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指标要求</w:t>
            </w:r>
          </w:p>
        </w:tc>
        <w:tc>
          <w:tcPr>
            <w:tcW w:w="1226" w:type="dxa"/>
            <w:noWrap w:val="0"/>
            <w:vAlign w:val="center"/>
          </w:tcPr>
          <w:p w14:paraId="17CE9A2E">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bCs/>
                <w:color w:val="auto"/>
                <w:sz w:val="21"/>
                <w:szCs w:val="21"/>
              </w:rPr>
              <w:t>是否提供证明材料</w:t>
            </w:r>
          </w:p>
        </w:tc>
      </w:tr>
      <w:tr w14:paraId="3503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95" w:type="dxa"/>
            <w:noWrap w:val="0"/>
            <w:vAlign w:val="center"/>
          </w:tcPr>
          <w:p w14:paraId="027A1695">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2A888741">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846" w:type="dxa"/>
            <w:noWrap w:val="0"/>
            <w:vAlign w:val="center"/>
          </w:tcPr>
          <w:p w14:paraId="1D82B311">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基本要求</w:t>
            </w:r>
          </w:p>
        </w:tc>
        <w:tc>
          <w:tcPr>
            <w:tcW w:w="5344" w:type="dxa"/>
            <w:noWrap w:val="0"/>
            <w:vAlign w:val="center"/>
          </w:tcPr>
          <w:p w14:paraId="5846C4E3">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标准</w:t>
            </w:r>
            <w:r>
              <w:rPr>
                <w:rFonts w:hint="eastAsia" w:ascii="仿宋" w:hAnsi="仿宋" w:eastAsia="仿宋" w:cs="仿宋"/>
                <w:color w:val="auto"/>
                <w:sz w:val="21"/>
                <w:szCs w:val="21"/>
              </w:rPr>
              <w:t>机架式设备，硬盘≥</w:t>
            </w:r>
            <w:r>
              <w:rPr>
                <w:rFonts w:hint="eastAsia" w:ascii="仿宋" w:hAnsi="仿宋" w:eastAsia="仿宋" w:cs="仿宋"/>
                <w:color w:val="auto"/>
                <w:sz w:val="21"/>
                <w:szCs w:val="21"/>
                <w:lang w:val="en-US" w:eastAsia="zh-CN"/>
              </w:rPr>
              <w:t>960</w:t>
            </w:r>
            <w:r>
              <w:rPr>
                <w:rFonts w:hint="eastAsia" w:ascii="仿宋" w:hAnsi="仿宋" w:eastAsia="仿宋" w:cs="仿宋"/>
                <w:color w:val="auto"/>
                <w:sz w:val="21"/>
                <w:szCs w:val="21"/>
              </w:rPr>
              <w:t>GSSD,实配千兆电口≥</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6个，</w:t>
            </w:r>
            <w:r>
              <w:rPr>
                <w:rFonts w:hint="eastAsia" w:ascii="仿宋" w:hAnsi="仿宋" w:eastAsia="仿宋" w:cs="仿宋"/>
                <w:color w:val="auto"/>
                <w:sz w:val="21"/>
                <w:szCs w:val="21"/>
                <w:lang w:eastAsia="zh-CN"/>
              </w:rPr>
              <w:t>万兆光口≥</w:t>
            </w:r>
            <w:r>
              <w:rPr>
                <w:rFonts w:hint="eastAsia" w:ascii="仿宋" w:hAnsi="仿宋" w:eastAsia="仿宋" w:cs="仿宋"/>
                <w:color w:val="auto"/>
                <w:sz w:val="21"/>
                <w:szCs w:val="21"/>
                <w:lang w:val="en-US" w:eastAsia="zh-CN"/>
              </w:rPr>
              <w:t>6个（满配光模块），</w:t>
            </w:r>
            <w:r>
              <w:rPr>
                <w:rFonts w:hint="eastAsia" w:ascii="仿宋" w:hAnsi="仿宋" w:eastAsia="仿宋" w:cs="仿宋"/>
                <w:color w:val="auto"/>
                <w:sz w:val="21"/>
                <w:szCs w:val="21"/>
              </w:rPr>
              <w:t>冗余电源。网络层吞吐量≥</w:t>
            </w: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0G，</w:t>
            </w:r>
            <w:r>
              <w:rPr>
                <w:rFonts w:hint="eastAsia" w:ascii="仿宋" w:hAnsi="仿宋" w:eastAsia="仿宋" w:cs="仿宋"/>
                <w:color w:val="auto"/>
                <w:sz w:val="21"/>
                <w:szCs w:val="21"/>
                <w:lang w:val="en-US" w:eastAsia="zh-CN"/>
              </w:rPr>
              <w:t>HTTP</w:t>
            </w:r>
            <w:r>
              <w:rPr>
                <w:rFonts w:hint="eastAsia" w:ascii="仿宋" w:hAnsi="仿宋" w:eastAsia="仿宋" w:cs="仿宋"/>
                <w:color w:val="auto"/>
                <w:sz w:val="21"/>
                <w:szCs w:val="21"/>
              </w:rPr>
              <w:t>并发连接数≥</w:t>
            </w:r>
            <w:r>
              <w:rPr>
                <w:rFonts w:hint="eastAsia" w:ascii="仿宋" w:hAnsi="仿宋" w:eastAsia="仿宋" w:cs="仿宋"/>
                <w:color w:val="auto"/>
                <w:sz w:val="21"/>
                <w:szCs w:val="21"/>
                <w:lang w:val="en-US" w:eastAsia="zh-CN"/>
              </w:rPr>
              <w:t>95</w:t>
            </w:r>
            <w:r>
              <w:rPr>
                <w:rFonts w:hint="eastAsia" w:ascii="仿宋" w:hAnsi="仿宋" w:eastAsia="仿宋" w:cs="仿宋"/>
                <w:color w:val="auto"/>
                <w:sz w:val="21"/>
                <w:szCs w:val="21"/>
              </w:rPr>
              <w:t>0万，HTTP新建连接数≥1</w:t>
            </w:r>
            <w:r>
              <w:rPr>
                <w:rFonts w:hint="eastAsia" w:ascii="仿宋" w:hAnsi="仿宋" w:eastAsia="仿宋" w:cs="仿宋"/>
                <w:color w:val="auto"/>
                <w:sz w:val="21"/>
                <w:szCs w:val="21"/>
                <w:lang w:val="en-US" w:eastAsia="zh-CN"/>
              </w:rPr>
              <w:t>9</w:t>
            </w:r>
            <w:r>
              <w:rPr>
                <w:rFonts w:hint="eastAsia" w:ascii="仿宋" w:hAnsi="仿宋" w:eastAsia="仿宋" w:cs="仿宋"/>
                <w:color w:val="auto"/>
                <w:sz w:val="21"/>
                <w:szCs w:val="21"/>
              </w:rPr>
              <w:t>万。</w:t>
            </w:r>
          </w:p>
        </w:tc>
        <w:tc>
          <w:tcPr>
            <w:tcW w:w="1226" w:type="dxa"/>
            <w:noWrap w:val="0"/>
            <w:vAlign w:val="center"/>
          </w:tcPr>
          <w:p w14:paraId="20F7128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0549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4A24EF47">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69C7193A">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1818696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链路状态检测</w:t>
            </w:r>
          </w:p>
        </w:tc>
        <w:tc>
          <w:tcPr>
            <w:tcW w:w="5344" w:type="dxa"/>
            <w:noWrap w:val="0"/>
            <w:vAlign w:val="center"/>
          </w:tcPr>
          <w:p w14:paraId="3EDAD6F3">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支持链路连通性检查功能，支持基于3种以上协议对链路连通性进行探测，探测协议至少包括DNS解析、ARP探测、PING和BFD等方式。</w:t>
            </w:r>
          </w:p>
        </w:tc>
        <w:tc>
          <w:tcPr>
            <w:tcW w:w="1226" w:type="dxa"/>
            <w:noWrap w:val="0"/>
            <w:vAlign w:val="center"/>
          </w:tcPr>
          <w:p w14:paraId="4C05782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4ECB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2B8C3959">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710A78CF">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5054317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路由功能</w:t>
            </w:r>
          </w:p>
        </w:tc>
        <w:tc>
          <w:tcPr>
            <w:tcW w:w="5344" w:type="dxa"/>
            <w:noWrap w:val="0"/>
            <w:vAlign w:val="center"/>
          </w:tcPr>
          <w:p w14:paraId="0B47A22D">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支持静态路由、策略路由和多播路由协议，并支持BGP、RIP、OSPF等动态路由协议。</w:t>
            </w:r>
          </w:p>
        </w:tc>
        <w:tc>
          <w:tcPr>
            <w:tcW w:w="1226" w:type="dxa"/>
            <w:noWrap w:val="0"/>
            <w:vAlign w:val="center"/>
          </w:tcPr>
          <w:p w14:paraId="45F9128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1E92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01D003E7">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1E2B65F0">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7782F34B">
            <w:pPr>
              <w:pageBreakBefore w:val="0"/>
              <w:kinsoku/>
              <w:wordWrap/>
              <w:overflowPunct/>
              <w:topLinePunct w:val="0"/>
              <w:autoSpaceDE/>
              <w:autoSpaceDN/>
              <w:bidi w:val="0"/>
              <w:spacing w:line="360" w:lineRule="auto"/>
              <w:jc w:val="both"/>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多对象访问控制</w:t>
            </w:r>
          </w:p>
        </w:tc>
        <w:tc>
          <w:tcPr>
            <w:tcW w:w="5344" w:type="dxa"/>
            <w:noWrap w:val="0"/>
            <w:vAlign w:val="center"/>
          </w:tcPr>
          <w:p w14:paraId="3D37A98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支持基于应用、服务、时间、域名、IPv6对象等维度的访问控制</w:t>
            </w:r>
          </w:p>
        </w:tc>
        <w:tc>
          <w:tcPr>
            <w:tcW w:w="1226" w:type="dxa"/>
            <w:noWrap w:val="0"/>
            <w:vAlign w:val="center"/>
          </w:tcPr>
          <w:p w14:paraId="4ACA2B6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6D38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7FBDCEB6">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1A833004">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0008893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会话控制</w:t>
            </w:r>
          </w:p>
        </w:tc>
        <w:tc>
          <w:tcPr>
            <w:tcW w:w="5344" w:type="dxa"/>
            <w:noWrap w:val="0"/>
            <w:vAlign w:val="center"/>
          </w:tcPr>
          <w:p w14:paraId="64FE492F">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支持基于IP对象的会话控制策略，实现并发和新建连接数的合理限制。</w:t>
            </w:r>
          </w:p>
        </w:tc>
        <w:tc>
          <w:tcPr>
            <w:tcW w:w="1226" w:type="dxa"/>
            <w:noWrap w:val="0"/>
            <w:vAlign w:val="center"/>
          </w:tcPr>
          <w:p w14:paraId="215AAF0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6388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0C94FF09">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75A99EA2">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3A6E259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访问控制策略</w:t>
            </w:r>
          </w:p>
        </w:tc>
        <w:tc>
          <w:tcPr>
            <w:tcW w:w="5344" w:type="dxa"/>
            <w:noWrap w:val="0"/>
            <w:vAlign w:val="center"/>
          </w:tcPr>
          <w:p w14:paraId="7C8DB66A">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产品支持基于网络区域、网络对象、MAC地址、服务、应用、域名等维度进行访问控制策略设置。</w:t>
            </w:r>
          </w:p>
        </w:tc>
        <w:tc>
          <w:tcPr>
            <w:tcW w:w="1226" w:type="dxa"/>
            <w:noWrap w:val="0"/>
            <w:vAlign w:val="center"/>
          </w:tcPr>
          <w:p w14:paraId="23A8696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23EF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040FAA2B">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0C720390">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020BFF4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文件过滤</w:t>
            </w:r>
          </w:p>
        </w:tc>
        <w:tc>
          <w:tcPr>
            <w:tcW w:w="5344" w:type="dxa"/>
            <w:noWrap w:val="0"/>
            <w:vAlign w:val="center"/>
          </w:tcPr>
          <w:p w14:paraId="27926761">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支持基于文件传输方式、文件类型等维度的管控策略配置。</w:t>
            </w:r>
          </w:p>
        </w:tc>
        <w:tc>
          <w:tcPr>
            <w:tcW w:w="1226" w:type="dxa"/>
            <w:noWrap w:val="0"/>
            <w:vAlign w:val="center"/>
          </w:tcPr>
          <w:p w14:paraId="367E4C7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lang w:eastAsia="zh-CN"/>
              </w:rPr>
              <w:t>否</w:t>
            </w:r>
          </w:p>
        </w:tc>
      </w:tr>
      <w:tr w14:paraId="26D7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78D6EC8C">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088DB494">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lang w:val="en-US" w:eastAsia="zh-CN"/>
              </w:rPr>
            </w:pPr>
            <w:r>
              <w:rPr>
                <w:rFonts w:hint="eastAsia" w:ascii="仿宋" w:hAnsi="仿宋" w:eastAsia="仿宋" w:cs="仿宋"/>
                <w:color w:val="auto"/>
                <w:sz w:val="21"/>
                <w:szCs w:val="21"/>
                <w:shd w:val="clear" w:color="auto" w:fill="FFFFFF"/>
                <w:lang w:val="en-US" w:eastAsia="zh-CN"/>
              </w:rPr>
              <w:t>▲</w:t>
            </w:r>
          </w:p>
        </w:tc>
        <w:tc>
          <w:tcPr>
            <w:tcW w:w="846" w:type="dxa"/>
            <w:noWrap w:val="0"/>
            <w:vAlign w:val="center"/>
          </w:tcPr>
          <w:p w14:paraId="051BF010">
            <w:pPr>
              <w:pageBreakBefore w:val="0"/>
              <w:widowControl/>
              <w:kinsoku/>
              <w:wordWrap/>
              <w:overflowPunct/>
              <w:topLinePunct w:val="0"/>
              <w:autoSpaceDE/>
              <w:autoSpaceDN/>
              <w:bidi w:val="0"/>
              <w:adjustRightInd w:val="0"/>
              <w:snapToGrid w:val="0"/>
              <w:spacing w:line="360" w:lineRule="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WEB应用规则</w:t>
            </w:r>
          </w:p>
        </w:tc>
        <w:tc>
          <w:tcPr>
            <w:tcW w:w="5344" w:type="dxa"/>
            <w:noWrap w:val="0"/>
            <w:vAlign w:val="center"/>
          </w:tcPr>
          <w:p w14:paraId="0A581C83">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内置超过4500种WEB应用攻击特征，支持对跨站脚本（XSS）攻击、SQL注入、文件包含攻击、信息泄露攻击、WEBSHELL、网站扫描、网页木马等攻击类型进行防护。</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26" w:type="dxa"/>
            <w:noWrap w:val="0"/>
            <w:vAlign w:val="center"/>
          </w:tcPr>
          <w:p w14:paraId="6D0ADFD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6C45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13994557">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1900858A">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lang w:val="en-US" w:eastAsia="zh-CN"/>
              </w:rPr>
            </w:pPr>
            <w:r>
              <w:rPr>
                <w:rFonts w:hint="eastAsia" w:ascii="仿宋" w:hAnsi="仿宋" w:eastAsia="仿宋" w:cs="仿宋"/>
                <w:color w:val="auto"/>
                <w:sz w:val="21"/>
                <w:szCs w:val="21"/>
                <w:shd w:val="clear" w:color="auto" w:fill="FFFFFF"/>
                <w:lang w:val="en-US" w:eastAsia="zh-CN"/>
              </w:rPr>
              <w:t>▲</w:t>
            </w:r>
          </w:p>
        </w:tc>
        <w:tc>
          <w:tcPr>
            <w:tcW w:w="846" w:type="dxa"/>
            <w:noWrap w:val="0"/>
            <w:vAlign w:val="center"/>
          </w:tcPr>
          <w:p w14:paraId="1B0CA55D">
            <w:pPr>
              <w:pageBreakBefore w:val="0"/>
              <w:widowControl/>
              <w:kinsoku/>
              <w:wordWrap/>
              <w:overflowPunct/>
              <w:topLinePunct w:val="0"/>
              <w:autoSpaceDE/>
              <w:autoSpaceDN/>
              <w:bidi w:val="0"/>
              <w:adjustRightInd w:val="0"/>
              <w:snapToGrid w:val="0"/>
              <w:spacing w:line="360" w:lineRule="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源</w:t>
            </w:r>
            <w:r>
              <w:rPr>
                <w:rFonts w:hint="eastAsia" w:ascii="仿宋" w:hAnsi="仿宋" w:eastAsia="仿宋" w:cs="仿宋"/>
                <w:color w:val="auto"/>
                <w:sz w:val="21"/>
                <w:szCs w:val="21"/>
                <w:lang w:val="en-US" w:eastAsia="zh-CN"/>
              </w:rPr>
              <w:t>IP记录</w:t>
            </w:r>
          </w:p>
        </w:tc>
        <w:tc>
          <w:tcPr>
            <w:tcW w:w="5344" w:type="dxa"/>
            <w:noWrap w:val="0"/>
            <w:vAlign w:val="center"/>
          </w:tcPr>
          <w:p w14:paraId="63BDBE88">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支持X-Forworded-For字段检测，并对非法源IP进行日志记录和联动封锁。</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26" w:type="dxa"/>
            <w:noWrap w:val="0"/>
            <w:vAlign w:val="center"/>
          </w:tcPr>
          <w:p w14:paraId="3AC1AAE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1E7D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2A21FF05">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1" w:type="dxa"/>
            <w:noWrap w:val="0"/>
            <w:vAlign w:val="center"/>
          </w:tcPr>
          <w:p w14:paraId="57ACFE4B">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lang w:val="en-US" w:eastAsia="zh-CN"/>
              </w:rPr>
            </w:pPr>
            <w:r>
              <w:rPr>
                <w:rFonts w:hint="eastAsia" w:ascii="仿宋" w:hAnsi="仿宋" w:eastAsia="仿宋" w:cs="仿宋"/>
                <w:color w:val="auto"/>
                <w:sz w:val="21"/>
                <w:szCs w:val="21"/>
                <w:shd w:val="clear" w:color="auto" w:fill="FFFFFF"/>
                <w:lang w:val="en-US" w:eastAsia="zh-CN"/>
              </w:rPr>
              <w:t>▲</w:t>
            </w:r>
          </w:p>
        </w:tc>
        <w:tc>
          <w:tcPr>
            <w:tcW w:w="846" w:type="dxa"/>
            <w:noWrap w:val="0"/>
            <w:vAlign w:val="center"/>
          </w:tcPr>
          <w:p w14:paraId="5E49A0EF">
            <w:pPr>
              <w:pageBreakBefore w:val="0"/>
              <w:widowControl/>
              <w:kinsoku/>
              <w:wordWrap/>
              <w:overflowPunct/>
              <w:topLinePunct w:val="0"/>
              <w:autoSpaceDE/>
              <w:autoSpaceDN/>
              <w:bidi w:val="0"/>
              <w:adjustRightInd w:val="0"/>
              <w:snapToGrid w:val="0"/>
              <w:spacing w:line="360" w:lineRule="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服务器防漏扫</w:t>
            </w:r>
          </w:p>
        </w:tc>
        <w:tc>
          <w:tcPr>
            <w:tcW w:w="5344" w:type="dxa"/>
            <w:noWrap w:val="0"/>
            <w:vAlign w:val="center"/>
          </w:tcPr>
          <w:p w14:paraId="5E253741">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支持服务器漏洞防扫描功能，并对扫描源IP进行日志记录和联动封锁。</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26" w:type="dxa"/>
            <w:noWrap w:val="0"/>
            <w:vAlign w:val="center"/>
          </w:tcPr>
          <w:p w14:paraId="1694151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35A2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60EDA9DB">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1" w:type="dxa"/>
            <w:noWrap w:val="0"/>
            <w:vAlign w:val="center"/>
          </w:tcPr>
          <w:p w14:paraId="65863698">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lang w:val="en-US" w:eastAsia="zh-CN"/>
              </w:rPr>
            </w:pPr>
            <w:r>
              <w:rPr>
                <w:rFonts w:hint="eastAsia" w:ascii="仿宋" w:hAnsi="仿宋" w:eastAsia="仿宋" w:cs="仿宋"/>
                <w:color w:val="auto"/>
                <w:sz w:val="21"/>
                <w:szCs w:val="21"/>
                <w:shd w:val="clear" w:color="auto" w:fill="FFFFFF"/>
                <w:lang w:val="en-US" w:eastAsia="zh-CN"/>
              </w:rPr>
              <w:t>▲</w:t>
            </w:r>
          </w:p>
        </w:tc>
        <w:tc>
          <w:tcPr>
            <w:tcW w:w="846" w:type="dxa"/>
            <w:noWrap w:val="0"/>
            <w:vAlign w:val="center"/>
          </w:tcPr>
          <w:p w14:paraId="46BEEEF6">
            <w:pPr>
              <w:pageBreakBefore w:val="0"/>
              <w:widowControl/>
              <w:kinsoku/>
              <w:wordWrap/>
              <w:overflowPunct/>
              <w:topLinePunct w:val="0"/>
              <w:autoSpaceDE/>
              <w:autoSpaceDN/>
              <w:bidi w:val="0"/>
              <w:adjustRightInd w:val="0"/>
              <w:snapToGrid w:val="0"/>
              <w:spacing w:line="360" w:lineRule="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Cookie防护</w:t>
            </w:r>
          </w:p>
        </w:tc>
        <w:tc>
          <w:tcPr>
            <w:tcW w:w="5344" w:type="dxa"/>
            <w:noWrap w:val="0"/>
            <w:vAlign w:val="center"/>
          </w:tcPr>
          <w:p w14:paraId="7379F37A">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支持Cookie攻击防护功能，并通过日志记录Cookie被篡改。</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26" w:type="dxa"/>
            <w:noWrap w:val="0"/>
            <w:vAlign w:val="center"/>
          </w:tcPr>
          <w:p w14:paraId="0072F1B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5D82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34C00A0C">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1" w:type="dxa"/>
            <w:noWrap w:val="0"/>
            <w:vAlign w:val="center"/>
          </w:tcPr>
          <w:p w14:paraId="631EE3B6">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lang w:val="en-US" w:eastAsia="zh-CN"/>
              </w:rPr>
            </w:pPr>
          </w:p>
        </w:tc>
        <w:tc>
          <w:tcPr>
            <w:tcW w:w="846" w:type="dxa"/>
            <w:noWrap w:val="0"/>
            <w:vAlign w:val="center"/>
          </w:tcPr>
          <w:p w14:paraId="0E3226C1">
            <w:pPr>
              <w:pageBreakBefore w:val="0"/>
              <w:widowControl/>
              <w:kinsoku/>
              <w:wordWrap/>
              <w:overflowPunct/>
              <w:topLinePunct w:val="0"/>
              <w:autoSpaceDE/>
              <w:autoSpaceDN/>
              <w:bidi w:val="0"/>
              <w:adjustRightInd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lang w:eastAsia="zh-CN"/>
              </w:rPr>
              <w:t>策略有效性分析</w:t>
            </w:r>
          </w:p>
        </w:tc>
        <w:tc>
          <w:tcPr>
            <w:tcW w:w="5344" w:type="dxa"/>
            <w:noWrap w:val="0"/>
            <w:vAlign w:val="center"/>
          </w:tcPr>
          <w:p w14:paraId="5A4B29E5">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支持安全策略有效性分析功能，分析内容至少包括策略冗余分析、策略匹配分析、风险端口风险等内容，提供安全策略优化建议。</w:t>
            </w:r>
          </w:p>
        </w:tc>
        <w:tc>
          <w:tcPr>
            <w:tcW w:w="1226" w:type="dxa"/>
            <w:noWrap w:val="0"/>
            <w:vAlign w:val="center"/>
          </w:tcPr>
          <w:p w14:paraId="2FBEC78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否</w:t>
            </w:r>
          </w:p>
        </w:tc>
      </w:tr>
      <w:tr w14:paraId="14BD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09CE10A3">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1" w:type="dxa"/>
            <w:noWrap w:val="0"/>
            <w:vAlign w:val="center"/>
          </w:tcPr>
          <w:p w14:paraId="3DDF61AC">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00808A5D">
            <w:pPr>
              <w:pageBreakBefore w:val="0"/>
              <w:widowControl/>
              <w:kinsoku/>
              <w:wordWrap/>
              <w:overflowPunct/>
              <w:topLinePunct w:val="0"/>
              <w:autoSpaceDE/>
              <w:autoSpaceDN/>
              <w:bidi w:val="0"/>
              <w:adjustRightInd w:val="0"/>
              <w:snapToGrid w:val="0"/>
              <w:spacing w:line="360" w:lineRule="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双机功能</w:t>
            </w:r>
          </w:p>
        </w:tc>
        <w:tc>
          <w:tcPr>
            <w:tcW w:w="5344" w:type="dxa"/>
            <w:noWrap w:val="0"/>
            <w:vAlign w:val="center"/>
          </w:tcPr>
          <w:p w14:paraId="609D9819">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当主机故障时，双机切换时不丢包，并可实现双机部署下升级不断网。</w:t>
            </w:r>
          </w:p>
        </w:tc>
        <w:tc>
          <w:tcPr>
            <w:tcW w:w="1226" w:type="dxa"/>
            <w:noWrap w:val="0"/>
            <w:vAlign w:val="center"/>
          </w:tcPr>
          <w:p w14:paraId="23778B6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否</w:t>
            </w:r>
          </w:p>
        </w:tc>
      </w:tr>
      <w:tr w14:paraId="79ED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011A6668">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1" w:type="dxa"/>
            <w:noWrap w:val="0"/>
            <w:vAlign w:val="center"/>
          </w:tcPr>
          <w:p w14:paraId="4246B34B">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p>
        </w:tc>
        <w:tc>
          <w:tcPr>
            <w:tcW w:w="846" w:type="dxa"/>
            <w:noWrap w:val="0"/>
            <w:vAlign w:val="center"/>
          </w:tcPr>
          <w:p w14:paraId="74DDF9BB">
            <w:pPr>
              <w:pageBreakBefore w:val="0"/>
              <w:widowControl/>
              <w:kinsoku/>
              <w:wordWrap/>
              <w:overflowPunct/>
              <w:topLinePunct w:val="0"/>
              <w:autoSpaceDE/>
              <w:autoSpaceDN/>
              <w:bidi w:val="0"/>
              <w:adjustRightInd w:val="0"/>
              <w:snapToGrid w:val="0"/>
              <w:spacing w:line="360" w:lineRule="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网管兼容</w:t>
            </w:r>
          </w:p>
        </w:tc>
        <w:tc>
          <w:tcPr>
            <w:tcW w:w="5344" w:type="dxa"/>
            <w:noWrap w:val="0"/>
            <w:vAlign w:val="center"/>
          </w:tcPr>
          <w:p w14:paraId="13A47FDE">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产品支持SNMP V1/V2/V3/Trap等标准网络管理协议。</w:t>
            </w:r>
          </w:p>
        </w:tc>
        <w:tc>
          <w:tcPr>
            <w:tcW w:w="1226" w:type="dxa"/>
            <w:noWrap w:val="0"/>
            <w:vAlign w:val="center"/>
          </w:tcPr>
          <w:p w14:paraId="1CEE066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否</w:t>
            </w:r>
          </w:p>
        </w:tc>
      </w:tr>
      <w:tr w14:paraId="1BC3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5" w:type="dxa"/>
            <w:noWrap w:val="0"/>
            <w:vAlign w:val="center"/>
          </w:tcPr>
          <w:p w14:paraId="36398AD0">
            <w:pPr>
              <w:pStyle w:val="8"/>
              <w:pageBreakBefore w:val="0"/>
              <w:numPr>
                <w:ilvl w:val="0"/>
                <w:numId w:val="6"/>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1" w:type="dxa"/>
            <w:noWrap w:val="0"/>
            <w:vAlign w:val="center"/>
          </w:tcPr>
          <w:p w14:paraId="5253456A">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rPr>
              <w:t>★</w:t>
            </w:r>
          </w:p>
        </w:tc>
        <w:tc>
          <w:tcPr>
            <w:tcW w:w="846" w:type="dxa"/>
            <w:shd w:val="clear" w:color="auto" w:fill="auto"/>
            <w:noWrap w:val="0"/>
            <w:vAlign w:val="center"/>
          </w:tcPr>
          <w:p w14:paraId="7D36391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资质要求</w:t>
            </w:r>
          </w:p>
        </w:tc>
        <w:tc>
          <w:tcPr>
            <w:tcW w:w="5344" w:type="dxa"/>
            <w:shd w:val="clear" w:color="auto" w:fill="auto"/>
            <w:noWrap w:val="0"/>
            <w:vAlign w:val="center"/>
          </w:tcPr>
          <w:p w14:paraId="731BDEB2">
            <w:pPr>
              <w:pageBreakBefore w:val="0"/>
              <w:kinsoku/>
              <w:wordWrap/>
              <w:overflowPunct/>
              <w:topLinePunct w:val="0"/>
              <w:autoSpaceDE/>
              <w:autoSpaceDN/>
              <w:bidi w:val="0"/>
              <w:snapToGrid w:val="0"/>
              <w:spacing w:line="360" w:lineRule="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226" w:type="dxa"/>
            <w:shd w:val="clear" w:color="auto" w:fill="auto"/>
            <w:noWrap w:val="0"/>
            <w:vAlign w:val="center"/>
          </w:tcPr>
          <w:p w14:paraId="1DE34CF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是</w:t>
            </w:r>
          </w:p>
        </w:tc>
      </w:tr>
    </w:tbl>
    <w:p w14:paraId="44B9F06F">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10</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数据库审计</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5"/>
        <w:gridCol w:w="599"/>
        <w:gridCol w:w="815"/>
        <w:gridCol w:w="5350"/>
        <w:gridCol w:w="1240"/>
      </w:tblGrid>
      <w:tr w14:paraId="511C0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3" w:hRule="atLeast"/>
        </w:trPr>
        <w:tc>
          <w:tcPr>
            <w:tcW w:w="302"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1C3C8F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序号</w:t>
            </w:r>
          </w:p>
        </w:tc>
        <w:tc>
          <w:tcPr>
            <w:tcW w:w="351"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0D50B6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重要性</w:t>
            </w:r>
          </w:p>
        </w:tc>
        <w:tc>
          <w:tcPr>
            <w:tcW w:w="478"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B539B1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指标项</w:t>
            </w:r>
          </w:p>
        </w:tc>
        <w:tc>
          <w:tcPr>
            <w:tcW w:w="3140"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345908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指标要求</w:t>
            </w:r>
          </w:p>
        </w:tc>
        <w:tc>
          <w:tcPr>
            <w:tcW w:w="727"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84E259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color w:val="auto"/>
                <w:sz w:val="21"/>
                <w:szCs w:val="21"/>
              </w:rPr>
              <w:t>是否提供证明材料</w:t>
            </w:r>
          </w:p>
        </w:tc>
      </w:tr>
      <w:tr w14:paraId="42EBB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466042A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1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1EC485F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7427981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硬件规格</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09ECA1EA">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标准机架式设备</w:t>
            </w:r>
            <w:r>
              <w:rPr>
                <w:rFonts w:hint="eastAsia" w:ascii="仿宋" w:hAnsi="仿宋" w:eastAsia="仿宋" w:cs="仿宋"/>
                <w:i w:val="0"/>
                <w:iCs w:val="0"/>
                <w:color w:val="auto"/>
                <w:kern w:val="0"/>
                <w:sz w:val="21"/>
                <w:szCs w:val="21"/>
                <w:u w:val="none"/>
                <w:lang w:val="en-US" w:eastAsia="zh-CN" w:bidi="ar"/>
              </w:rPr>
              <w:t>，交流冗余电源，硬盘≥4T+256G SSD，内存≥32G，千兆光口≥4，千兆电口≥6，万兆光口≥4，GE管理口≥1；搭载国产化处理器和操作系统。</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4BE84D98">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05F6E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8"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3D5AEB6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2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17F2CA8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vMerge w:val="restart"/>
            <w:tcBorders>
              <w:top w:val="single" w:color="000000" w:sz="4" w:space="0"/>
              <w:left w:val="single" w:color="000000" w:sz="4" w:space="0"/>
              <w:bottom w:val="single" w:color="000000" w:sz="4" w:space="0"/>
              <w:right w:val="single" w:color="000000" w:sz="4" w:space="0"/>
            </w:tcBorders>
            <w:noWrap/>
            <w:vAlign w:val="center"/>
          </w:tcPr>
          <w:p w14:paraId="03F645B5">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性能要求</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2F76A48D">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SQL处理性能≥40000条/秒；</w:t>
            </w:r>
          </w:p>
          <w:p w14:paraId="432C6266">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网络层吞吐量≥5Gbit/秒；</w:t>
            </w:r>
          </w:p>
          <w:p w14:paraId="3D2BC96F">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入库语句量≥10000条/秒。</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59679A0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6C8F8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60C0EC9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3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60C2700D">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vMerge w:val="restart"/>
            <w:tcBorders>
              <w:top w:val="single" w:color="000000" w:sz="4" w:space="0"/>
              <w:left w:val="single" w:color="000000" w:sz="4" w:space="0"/>
              <w:bottom w:val="single" w:color="000000" w:sz="4" w:space="0"/>
              <w:right w:val="single" w:color="000000" w:sz="4" w:space="0"/>
            </w:tcBorders>
            <w:noWrap/>
            <w:vAlign w:val="center"/>
          </w:tcPr>
          <w:p w14:paraId="3FEC03E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数据库类型审计</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40656430">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需支持基于SSL认证方式方式下的MYSQL协议的加密流量审计。（需提供产品界面证明截图）</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20F7617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68FF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03C4526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4</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710A4EA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vMerge w:val="restart"/>
            <w:tcBorders>
              <w:top w:val="single" w:color="000000" w:sz="4" w:space="0"/>
              <w:left w:val="single" w:color="000000" w:sz="4" w:space="0"/>
              <w:bottom w:val="single" w:color="000000" w:sz="4" w:space="0"/>
              <w:right w:val="single" w:color="000000" w:sz="4" w:space="0"/>
            </w:tcBorders>
            <w:noWrap/>
            <w:vAlign w:val="center"/>
          </w:tcPr>
          <w:p w14:paraId="7ED561A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审计能力</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602680DC">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需支持数据库访问行为与返回结果集的双向审计，支持结果集支持最多保存行数与最大保存长度大小自定义。同时支持全量审计与满足审计规则审计模式切换。（需提供产品界面证明截图）</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6D734F6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12EFE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16CA5DF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5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5BE1235D">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478" w:type="pct"/>
            <w:vMerge w:val="continue"/>
            <w:tcBorders>
              <w:top w:val="single" w:color="000000" w:sz="4" w:space="0"/>
              <w:left w:val="single" w:color="000000" w:sz="4" w:space="0"/>
              <w:bottom w:val="single" w:color="000000" w:sz="4" w:space="0"/>
              <w:right w:val="single" w:color="000000" w:sz="4" w:space="0"/>
            </w:tcBorders>
            <w:noWrap/>
            <w:vAlign w:val="center"/>
          </w:tcPr>
          <w:p w14:paraId="22607C3A">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5585B4DE">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需支持记录客户端IP、客户端端口、数据库用户、操作系统用户、MAC、工具或应用、客户端主机等访问来源信息。需支持记录数据库IP、端口、服务器主机名、服务名、受影响对象等访问对象信息。</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7C4A3AE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6C4D9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1F7ABA7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6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3A8FF70B">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vMerge w:val="continue"/>
            <w:tcBorders>
              <w:top w:val="single" w:color="000000" w:sz="4" w:space="0"/>
              <w:left w:val="single" w:color="000000" w:sz="4" w:space="0"/>
              <w:bottom w:val="single" w:color="000000" w:sz="4" w:space="0"/>
              <w:right w:val="single" w:color="000000" w:sz="4" w:space="0"/>
            </w:tcBorders>
            <w:noWrap/>
            <w:vAlign w:val="center"/>
          </w:tcPr>
          <w:p w14:paraId="6332570F">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1760C836">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需支持对数据库访问行为建模，维度至少应包含：数据资产、数据库用户、客户端IP、工具名、以及操作类型等内容。（需提供产品界面证明截图）</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2251205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1A712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398A48C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7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093206D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vMerge w:val="continue"/>
            <w:tcBorders>
              <w:top w:val="single" w:color="000000" w:sz="4" w:space="0"/>
              <w:left w:val="single" w:color="000000" w:sz="4" w:space="0"/>
              <w:bottom w:val="single" w:color="000000" w:sz="4" w:space="0"/>
              <w:right w:val="single" w:color="000000" w:sz="4" w:space="0"/>
            </w:tcBorders>
            <w:noWrap/>
            <w:vAlign w:val="center"/>
          </w:tcPr>
          <w:p w14:paraId="2D1ABFF8">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78EE1194">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需支持子规则组合、支持通过IP、用户、IP+数据库用户以及时间等维度配置组合规则。（需提供产品界面证明截图）</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448E37C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30AF2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58F12DF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8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414AC03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vMerge w:val="continue"/>
            <w:tcBorders>
              <w:top w:val="single" w:color="000000" w:sz="4" w:space="0"/>
              <w:left w:val="single" w:color="000000" w:sz="4" w:space="0"/>
              <w:bottom w:val="single" w:color="000000" w:sz="4" w:space="0"/>
              <w:right w:val="single" w:color="000000" w:sz="4" w:space="0"/>
            </w:tcBorders>
            <w:noWrap/>
            <w:vAlign w:val="center"/>
          </w:tcPr>
          <w:p w14:paraId="15CA1A43">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2F75EE1E">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需支持400个以上的数据库漏洞攻击规则，对数据库漏洞进行攻击行为监测和告警。（需提供产品界面证明截图）</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14D4035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00E49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1D7FC062">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9</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5DCD2BEA">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478" w:type="pct"/>
            <w:vMerge w:val="continue"/>
            <w:tcBorders>
              <w:top w:val="single" w:color="000000" w:sz="4" w:space="0"/>
              <w:left w:val="single" w:color="000000" w:sz="4" w:space="0"/>
              <w:bottom w:val="single" w:color="000000" w:sz="4" w:space="0"/>
              <w:right w:val="single" w:color="000000" w:sz="4" w:space="0"/>
            </w:tcBorders>
            <w:noWrap/>
            <w:vAlign w:val="center"/>
          </w:tcPr>
          <w:p w14:paraId="19B42D6A">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2A42A4E7">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需支持对审计详情中的SQL语句能进行客户化翻译。</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0783AC9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3C1E9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7B64D60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10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06C0EA7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478" w:type="pct"/>
            <w:vMerge w:val="restart"/>
            <w:tcBorders>
              <w:top w:val="single" w:color="000000" w:sz="4" w:space="0"/>
              <w:left w:val="single" w:color="000000" w:sz="4" w:space="0"/>
              <w:bottom w:val="single" w:color="000000" w:sz="4" w:space="0"/>
              <w:right w:val="single" w:color="000000" w:sz="4" w:space="0"/>
            </w:tcBorders>
            <w:noWrap/>
            <w:vAlign w:val="center"/>
          </w:tcPr>
          <w:p w14:paraId="5A3A625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报表统计</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623AA2D0">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报表内容基于总体概况、会话、语句、风险等多层面进行展现，报表内容但不限于高风险分布统计、恶意行为攻击统计、客户端访问统计等内容。支持自定义报表。（需提供产品界面证明截图）</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43A1876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5D8A3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22992F8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11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0F030663">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478" w:type="pct"/>
            <w:vMerge w:val="continue"/>
            <w:tcBorders>
              <w:top w:val="single" w:color="000000" w:sz="4" w:space="0"/>
              <w:left w:val="single" w:color="000000" w:sz="4" w:space="0"/>
              <w:bottom w:val="single" w:color="000000" w:sz="4" w:space="0"/>
              <w:right w:val="single" w:color="000000" w:sz="4" w:space="0"/>
            </w:tcBorders>
            <w:noWrap/>
            <w:vAlign w:val="center"/>
          </w:tcPr>
          <w:p w14:paraId="3FA1B8AA">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3A44A672">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需提供应用流量相关专项分析、新增及下线数据库信息分析、语句变化趋势分析等，不少于70个分析章节。并支持自定义组合。</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5ED97BC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212C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2A6BB15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12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05CFD4D9">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41B0C70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日志外发</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63CA0982">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需支持通过syslog、kafka接口外发数据，包括审计日志，告警日志，会话日志。</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28B16EC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072C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2F90E6C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13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5D83CA25">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2B8FD04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数据备份</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6EA7BB37">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需支持设置定期自动备份，按照指定的时间周期把审计日志外发给日志服务器。</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2138925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15C6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02" w:type="pct"/>
            <w:tcBorders>
              <w:top w:val="single" w:color="000000" w:sz="4" w:space="0"/>
              <w:left w:val="single" w:color="000000" w:sz="4" w:space="0"/>
              <w:bottom w:val="single" w:color="000000" w:sz="4" w:space="0"/>
              <w:right w:val="single" w:color="000000" w:sz="4" w:space="0"/>
            </w:tcBorders>
            <w:noWrap/>
            <w:vAlign w:val="center"/>
          </w:tcPr>
          <w:p w14:paraId="16A7F66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 xml:space="preserve">14 </w:t>
            </w:r>
          </w:p>
        </w:tc>
        <w:tc>
          <w:tcPr>
            <w:tcW w:w="351" w:type="pct"/>
            <w:tcBorders>
              <w:top w:val="single" w:color="000000" w:sz="4" w:space="0"/>
              <w:left w:val="single" w:color="000000" w:sz="4" w:space="0"/>
              <w:bottom w:val="single" w:color="000000" w:sz="4" w:space="0"/>
              <w:right w:val="single" w:color="000000" w:sz="4" w:space="0"/>
            </w:tcBorders>
            <w:noWrap/>
            <w:vAlign w:val="center"/>
          </w:tcPr>
          <w:p w14:paraId="58FD5F69">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w:t>
            </w:r>
          </w:p>
        </w:tc>
        <w:tc>
          <w:tcPr>
            <w:tcW w:w="478" w:type="pct"/>
            <w:tcBorders>
              <w:top w:val="single" w:color="000000" w:sz="4" w:space="0"/>
              <w:left w:val="single" w:color="000000" w:sz="4" w:space="0"/>
              <w:bottom w:val="single" w:color="000000" w:sz="4" w:space="0"/>
              <w:right w:val="single" w:color="000000" w:sz="4" w:space="0"/>
            </w:tcBorders>
            <w:noWrap/>
            <w:vAlign w:val="center"/>
          </w:tcPr>
          <w:p w14:paraId="01ECE5AC">
            <w:pPr>
              <w:pageBreakBefore w:val="0"/>
              <w:kinsoku/>
              <w:wordWrap/>
              <w:overflowPunct/>
              <w:topLinePunct w:val="0"/>
              <w:autoSpaceDE/>
              <w:autoSpaceDN/>
              <w:bidi w:val="0"/>
              <w:snapToGrid w:val="0"/>
              <w:spacing w:line="360" w:lineRule="auto"/>
              <w:jc w:val="center"/>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资质要求</w:t>
            </w:r>
          </w:p>
        </w:tc>
        <w:tc>
          <w:tcPr>
            <w:tcW w:w="3140" w:type="pct"/>
            <w:tcBorders>
              <w:top w:val="single" w:color="000000" w:sz="4" w:space="0"/>
              <w:left w:val="single" w:color="000000" w:sz="4" w:space="0"/>
              <w:bottom w:val="single" w:color="000000" w:sz="4" w:space="0"/>
              <w:right w:val="single" w:color="000000" w:sz="4" w:space="0"/>
            </w:tcBorders>
            <w:noWrap w:val="0"/>
            <w:vAlign w:val="center"/>
          </w:tcPr>
          <w:p w14:paraId="244FC780">
            <w:pPr>
              <w:pageBreakBefore w:val="0"/>
              <w:kinsoku/>
              <w:wordWrap/>
              <w:overflowPunct/>
              <w:topLinePunct w:val="0"/>
              <w:autoSpaceDE/>
              <w:autoSpaceDN/>
              <w:bidi w:val="0"/>
              <w:snapToGrid w:val="0"/>
              <w:spacing w:line="360" w:lineRule="auto"/>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727" w:type="pct"/>
            <w:tcBorders>
              <w:top w:val="single" w:color="000000" w:sz="4" w:space="0"/>
              <w:left w:val="single" w:color="000000" w:sz="4" w:space="0"/>
              <w:bottom w:val="single" w:color="000000" w:sz="4" w:space="0"/>
              <w:right w:val="single" w:color="000000" w:sz="4" w:space="0"/>
            </w:tcBorders>
            <w:noWrap/>
            <w:vAlign w:val="center"/>
          </w:tcPr>
          <w:p w14:paraId="551EBD9E">
            <w:pPr>
              <w:pageBreakBefore w:val="0"/>
              <w:kinsoku/>
              <w:wordWrap/>
              <w:overflowPunct/>
              <w:topLinePunct w:val="0"/>
              <w:autoSpaceDE/>
              <w:autoSpaceDN/>
              <w:bidi w:val="0"/>
              <w:snapToGrid w:val="0"/>
              <w:spacing w:line="360" w:lineRule="auto"/>
              <w:jc w:val="center"/>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是</w:t>
            </w:r>
          </w:p>
        </w:tc>
      </w:tr>
    </w:tbl>
    <w:p w14:paraId="7DE067E7">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jc w:val="left"/>
        <w:textAlignment w:val="baseline"/>
        <w:rPr>
          <w:rFonts w:hint="eastAsia" w:ascii="仿宋" w:hAnsi="仿宋" w:eastAsia="仿宋" w:cs="仿宋"/>
          <w:color w:val="auto"/>
          <w:sz w:val="21"/>
          <w:szCs w:val="21"/>
        </w:rPr>
      </w:pPr>
      <w:r>
        <w:rPr>
          <w:rFonts w:hint="eastAsia" w:ascii="仿宋" w:hAnsi="仿宋" w:eastAsia="仿宋" w:cs="仿宋"/>
          <w:color w:val="auto"/>
          <w:sz w:val="21"/>
          <w:szCs w:val="21"/>
        </w:rPr>
        <w:t>11</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日志审计</w:t>
      </w:r>
    </w:p>
    <w:tbl>
      <w:tblPr>
        <w:tblStyle w:val="5"/>
        <w:tblpPr w:leftFromText="180" w:rightFromText="180" w:vertAnchor="text" w:horzAnchor="page" w:tblpX="1905" w:tblpY="34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609"/>
        <w:gridCol w:w="844"/>
        <w:gridCol w:w="5132"/>
        <w:gridCol w:w="1217"/>
      </w:tblGrid>
      <w:tr w14:paraId="27F1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494" w:type="dxa"/>
            <w:noWrap w:val="0"/>
            <w:vAlign w:val="center"/>
          </w:tcPr>
          <w:p w14:paraId="28D11EE8">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序号</w:t>
            </w:r>
          </w:p>
        </w:tc>
        <w:tc>
          <w:tcPr>
            <w:tcW w:w="609" w:type="dxa"/>
            <w:noWrap w:val="0"/>
            <w:vAlign w:val="center"/>
          </w:tcPr>
          <w:p w14:paraId="436224C2">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重要性</w:t>
            </w:r>
          </w:p>
        </w:tc>
        <w:tc>
          <w:tcPr>
            <w:tcW w:w="844" w:type="dxa"/>
            <w:noWrap w:val="0"/>
            <w:vAlign w:val="center"/>
          </w:tcPr>
          <w:p w14:paraId="73D1982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指标项</w:t>
            </w:r>
          </w:p>
        </w:tc>
        <w:tc>
          <w:tcPr>
            <w:tcW w:w="5132" w:type="dxa"/>
            <w:noWrap w:val="0"/>
            <w:vAlign w:val="center"/>
          </w:tcPr>
          <w:p w14:paraId="6F8F62F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指标要求</w:t>
            </w:r>
          </w:p>
        </w:tc>
        <w:tc>
          <w:tcPr>
            <w:tcW w:w="1217" w:type="dxa"/>
            <w:noWrap w:val="0"/>
            <w:vAlign w:val="center"/>
          </w:tcPr>
          <w:p w14:paraId="2C0EC3CD">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bCs/>
                <w:color w:val="auto"/>
                <w:sz w:val="21"/>
                <w:szCs w:val="21"/>
              </w:rPr>
              <w:t>是否提供证明材料</w:t>
            </w:r>
          </w:p>
        </w:tc>
      </w:tr>
      <w:tr w14:paraId="19A6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494" w:type="dxa"/>
            <w:noWrap w:val="0"/>
            <w:vAlign w:val="center"/>
          </w:tcPr>
          <w:p w14:paraId="5D910846">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3E8D462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844" w:type="dxa"/>
            <w:noWrap w:val="0"/>
            <w:vAlign w:val="center"/>
          </w:tcPr>
          <w:p w14:paraId="2ACEEB0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基本要求</w:t>
            </w:r>
          </w:p>
        </w:tc>
        <w:tc>
          <w:tcPr>
            <w:tcW w:w="5132" w:type="dxa"/>
            <w:noWrap w:val="0"/>
            <w:vAlign w:val="top"/>
          </w:tcPr>
          <w:p w14:paraId="7E7BC68B">
            <w:pPr>
              <w:pageBreakBefore w:val="0"/>
              <w:kinsoku/>
              <w:wordWrap/>
              <w:overflowPunct/>
              <w:topLinePunct w:val="0"/>
              <w:autoSpaceDE/>
              <w:autoSpaceDN/>
              <w:bidi w:val="0"/>
              <w:snapToGrid w:val="0"/>
              <w:spacing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标准机架式设备，内存≥32G，系统盘≥480G SSD，数据盘≥4TB*3</w:t>
            </w:r>
            <w:r>
              <w:rPr>
                <w:rFonts w:hint="eastAsia" w:ascii="仿宋" w:hAnsi="仿宋" w:eastAsia="仿宋" w:cs="仿宋"/>
                <w:color w:val="auto"/>
                <w:sz w:val="21"/>
                <w:szCs w:val="21"/>
                <w:lang w:val="en-US" w:eastAsia="zh-CN"/>
              </w:rPr>
              <w:t>机械硬盘</w:t>
            </w:r>
            <w:r>
              <w:rPr>
                <w:rFonts w:hint="eastAsia" w:ascii="仿宋" w:hAnsi="仿宋" w:eastAsia="仿宋" w:cs="仿宋"/>
                <w:color w:val="auto"/>
                <w:sz w:val="21"/>
                <w:szCs w:val="21"/>
              </w:rPr>
              <w:t>（raid5），实配千兆电口≥6个，万兆光口≥2个。日志处理速度≥10000EPS，实配资产授权数量≥100个。</w:t>
            </w:r>
          </w:p>
        </w:tc>
        <w:tc>
          <w:tcPr>
            <w:tcW w:w="1217" w:type="dxa"/>
            <w:noWrap w:val="0"/>
            <w:vAlign w:val="center"/>
          </w:tcPr>
          <w:p w14:paraId="1B57F06C">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4FAF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28912EFA">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652FD630">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p>
        </w:tc>
        <w:tc>
          <w:tcPr>
            <w:tcW w:w="844" w:type="dxa"/>
            <w:noWrap w:val="0"/>
            <w:vAlign w:val="center"/>
          </w:tcPr>
          <w:p w14:paraId="61112871">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设备兼容</w:t>
            </w:r>
          </w:p>
        </w:tc>
        <w:tc>
          <w:tcPr>
            <w:tcW w:w="5132" w:type="dxa"/>
            <w:noWrap w:val="0"/>
            <w:vAlign w:val="top"/>
          </w:tcPr>
          <w:p w14:paraId="2675EAEA">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支持网络设备、安全设备、操作系统、中间件、数据库、业务系统等各类日志数据采集。</w:t>
            </w:r>
          </w:p>
        </w:tc>
        <w:tc>
          <w:tcPr>
            <w:tcW w:w="1217" w:type="dxa"/>
            <w:noWrap w:val="0"/>
            <w:vAlign w:val="center"/>
          </w:tcPr>
          <w:p w14:paraId="50C82189">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AFB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13152E11">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619EF2F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44" w:type="dxa"/>
            <w:noWrap w:val="0"/>
            <w:vAlign w:val="center"/>
          </w:tcPr>
          <w:p w14:paraId="6E44EE3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日志归一化</w:t>
            </w:r>
          </w:p>
        </w:tc>
        <w:tc>
          <w:tcPr>
            <w:tcW w:w="5132" w:type="dxa"/>
            <w:noWrap w:val="0"/>
            <w:vAlign w:val="top"/>
          </w:tcPr>
          <w:p w14:paraId="4DA81903">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支持日志归一化处理，将不同设备产生的不同格式的日志数据进行统一格式化处理，提炼出有用信息，清晰、明确的展示给管理者。</w:t>
            </w:r>
          </w:p>
        </w:tc>
        <w:tc>
          <w:tcPr>
            <w:tcW w:w="1217" w:type="dxa"/>
            <w:noWrap w:val="0"/>
            <w:vAlign w:val="center"/>
          </w:tcPr>
          <w:p w14:paraId="4A2677BD">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65CC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4BA6169E">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4DE0E24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4" w:type="dxa"/>
            <w:noWrap w:val="0"/>
            <w:vAlign w:val="center"/>
          </w:tcPr>
          <w:p w14:paraId="43F5DCA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日志收集</w:t>
            </w:r>
          </w:p>
        </w:tc>
        <w:tc>
          <w:tcPr>
            <w:tcW w:w="5132" w:type="dxa"/>
            <w:noWrap w:val="0"/>
            <w:vAlign w:val="top"/>
          </w:tcPr>
          <w:p w14:paraId="4654D9C2">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支持Syslog、SNMP Trap、Netflow、JDBC、WMI、FTP、SFTP、SCP、HTTP/HTTPS、Kafka、Filebeat、NetBIOS、SMB、文件/文件夹等方式进行数据采集；支持通过Agent采集日志数据（提供产品功能截图并加盖公章）</w:t>
            </w:r>
          </w:p>
        </w:tc>
        <w:tc>
          <w:tcPr>
            <w:tcW w:w="1217" w:type="dxa"/>
            <w:noWrap w:val="0"/>
            <w:vAlign w:val="center"/>
          </w:tcPr>
          <w:p w14:paraId="5239E0EA">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0B9A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7ACA29AB">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7BB0589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44" w:type="dxa"/>
            <w:noWrap w:val="0"/>
            <w:vAlign w:val="center"/>
          </w:tcPr>
          <w:p w14:paraId="1BD1E56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日志转发</w:t>
            </w:r>
          </w:p>
        </w:tc>
        <w:tc>
          <w:tcPr>
            <w:tcW w:w="5132" w:type="dxa"/>
            <w:noWrap w:val="0"/>
            <w:vAlign w:val="top"/>
          </w:tcPr>
          <w:p w14:paraId="5D177D16">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支持对单个或多个日志源日志批量转发，支持通过syslog和kafka方式转发到第三方平台。</w:t>
            </w:r>
          </w:p>
        </w:tc>
        <w:tc>
          <w:tcPr>
            <w:tcW w:w="1217" w:type="dxa"/>
            <w:noWrap w:val="0"/>
            <w:vAlign w:val="center"/>
          </w:tcPr>
          <w:p w14:paraId="7B3AEF92">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16BB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5F98515A">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00412C7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4" w:type="dxa"/>
            <w:noWrap w:val="0"/>
            <w:vAlign w:val="center"/>
          </w:tcPr>
          <w:p w14:paraId="6D1C3EB9">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日志管理</w:t>
            </w:r>
          </w:p>
        </w:tc>
        <w:tc>
          <w:tcPr>
            <w:tcW w:w="5132" w:type="dxa"/>
            <w:noWrap w:val="0"/>
            <w:vAlign w:val="top"/>
          </w:tcPr>
          <w:p w14:paraId="23BBE0A6">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支持根据设备重要程度独立设置每个被采集源的日志和报表数据的存储时间，支持设置1个月、3个月、6个月、12个月、永久保存（提供产品功能截图并加盖公章）</w:t>
            </w:r>
          </w:p>
        </w:tc>
        <w:tc>
          <w:tcPr>
            <w:tcW w:w="1217" w:type="dxa"/>
            <w:noWrap w:val="0"/>
            <w:vAlign w:val="center"/>
          </w:tcPr>
          <w:p w14:paraId="456D90DA">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0D51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4E46CADC">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02516E8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4" w:type="dxa"/>
            <w:noWrap w:val="0"/>
            <w:vAlign w:val="center"/>
          </w:tcPr>
          <w:p w14:paraId="29EAE23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数据查询</w:t>
            </w:r>
          </w:p>
        </w:tc>
        <w:tc>
          <w:tcPr>
            <w:tcW w:w="5132" w:type="dxa"/>
            <w:noWrap w:val="0"/>
            <w:vAlign w:val="top"/>
          </w:tcPr>
          <w:p w14:paraId="7CDDD289">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多条件组合查询；支持关键字全局检索，检索条件至少包括等于、包含、前缀、后缀、正则等查询条件；针对IP地址以及数字类型字段检索，可支持设置范围、等于、不等于、非空、空等条件继续下钻查询（提供产品功能截图并加盖公章）</w:t>
            </w:r>
          </w:p>
        </w:tc>
        <w:tc>
          <w:tcPr>
            <w:tcW w:w="1217" w:type="dxa"/>
            <w:noWrap w:val="0"/>
            <w:vAlign w:val="center"/>
          </w:tcPr>
          <w:p w14:paraId="7D5006F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35DE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5EF2182B">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1E87958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44" w:type="dxa"/>
            <w:noWrap w:val="0"/>
            <w:vAlign w:val="center"/>
          </w:tcPr>
          <w:p w14:paraId="4EBDA50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数据查询</w:t>
            </w:r>
          </w:p>
        </w:tc>
        <w:tc>
          <w:tcPr>
            <w:tcW w:w="5132" w:type="dxa"/>
            <w:noWrap w:val="0"/>
            <w:vAlign w:val="top"/>
          </w:tcPr>
          <w:p w14:paraId="7754253A">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支持多种运维管理工具，可对日志源进行HTTP、HTTPS、SSH、SCP、SFTP、FTP操作。</w:t>
            </w:r>
          </w:p>
        </w:tc>
        <w:tc>
          <w:tcPr>
            <w:tcW w:w="1217" w:type="dxa"/>
            <w:noWrap w:val="0"/>
            <w:vAlign w:val="center"/>
          </w:tcPr>
          <w:p w14:paraId="4BF5A4CA">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59C6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31A626B5">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3206C8D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4" w:type="dxa"/>
            <w:noWrap w:val="0"/>
            <w:vAlign w:val="center"/>
          </w:tcPr>
          <w:p w14:paraId="187C438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数据查询</w:t>
            </w:r>
          </w:p>
        </w:tc>
        <w:tc>
          <w:tcPr>
            <w:tcW w:w="5132" w:type="dxa"/>
            <w:noWrap w:val="0"/>
            <w:vAlign w:val="center"/>
          </w:tcPr>
          <w:p w14:paraId="09E316E9">
            <w:pPr>
              <w:pageBreakBefore w:val="0"/>
              <w:kinsoku/>
              <w:wordWrap/>
              <w:overflowPunct/>
              <w:topLinePunct w:val="0"/>
              <w:autoSpaceDE/>
              <w:autoSpaceDN/>
              <w:bidi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系统首页能够展示被采集设备今日产生的日志量，日志告警类型、告警级别排行，并以列表的方式展示今日最新告警top10、top30、top50，支持告警屏蔽和告警方式的一键设置。</w:t>
            </w:r>
          </w:p>
        </w:tc>
        <w:tc>
          <w:tcPr>
            <w:tcW w:w="1217" w:type="dxa"/>
            <w:noWrap w:val="0"/>
            <w:vAlign w:val="center"/>
          </w:tcPr>
          <w:p w14:paraId="6A8928E6">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1F44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5029CC3D">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6A88E1B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4" w:type="dxa"/>
            <w:noWrap w:val="0"/>
            <w:vAlign w:val="center"/>
          </w:tcPr>
          <w:p w14:paraId="30B2CEF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数据存储</w:t>
            </w:r>
          </w:p>
        </w:tc>
        <w:tc>
          <w:tcPr>
            <w:tcW w:w="5132" w:type="dxa"/>
            <w:noWrap w:val="0"/>
            <w:vAlign w:val="top"/>
          </w:tcPr>
          <w:p w14:paraId="01BBB4B8">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支持日志存储加密，可针对不同日志源独立设置加密算法，加密算法可选择AES256、SM2以及SM4（提供产品功能截图并加盖公章）</w:t>
            </w:r>
          </w:p>
        </w:tc>
        <w:tc>
          <w:tcPr>
            <w:tcW w:w="1217" w:type="dxa"/>
            <w:noWrap w:val="0"/>
            <w:vAlign w:val="center"/>
          </w:tcPr>
          <w:p w14:paraId="5C38852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4622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3924BDE9">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09" w:type="dxa"/>
            <w:noWrap w:val="0"/>
            <w:vAlign w:val="center"/>
          </w:tcPr>
          <w:p w14:paraId="3850ECE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44" w:type="dxa"/>
            <w:noWrap w:val="0"/>
            <w:vAlign w:val="center"/>
          </w:tcPr>
          <w:p w14:paraId="233423A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日志告警</w:t>
            </w:r>
          </w:p>
        </w:tc>
        <w:tc>
          <w:tcPr>
            <w:tcW w:w="5132" w:type="dxa"/>
            <w:noWrap w:val="0"/>
            <w:vAlign w:val="top"/>
          </w:tcPr>
          <w:p w14:paraId="64869353">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支持邮件、Snmp Trap、声音、声光、短信、一信通响应、syslog响应、数据库响应、微信公众号等多种告警方式。</w:t>
            </w:r>
          </w:p>
        </w:tc>
        <w:tc>
          <w:tcPr>
            <w:tcW w:w="1217" w:type="dxa"/>
            <w:noWrap w:val="0"/>
            <w:vAlign w:val="center"/>
          </w:tcPr>
          <w:p w14:paraId="415C349D">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C5A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1FB14E9E">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09" w:type="dxa"/>
            <w:noWrap w:val="0"/>
            <w:vAlign w:val="center"/>
          </w:tcPr>
          <w:p w14:paraId="2557E08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44" w:type="dxa"/>
            <w:noWrap w:val="0"/>
            <w:vAlign w:val="center"/>
          </w:tcPr>
          <w:p w14:paraId="74171C3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统计报表</w:t>
            </w:r>
          </w:p>
        </w:tc>
        <w:tc>
          <w:tcPr>
            <w:tcW w:w="5132" w:type="dxa"/>
            <w:noWrap w:val="0"/>
            <w:vAlign w:val="top"/>
          </w:tcPr>
          <w:p w14:paraId="738DCCE9">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支持自定义统计日志数据形成报表，支持统计分析报表以PDF、Word、Execl、Html等方式导出；支持实时报表、以及按照天、周、月度、年度等时间周期生成计划报表。</w:t>
            </w:r>
          </w:p>
        </w:tc>
        <w:tc>
          <w:tcPr>
            <w:tcW w:w="1217" w:type="dxa"/>
            <w:noWrap w:val="0"/>
            <w:vAlign w:val="center"/>
          </w:tcPr>
          <w:p w14:paraId="172A158B">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BC3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1026865F">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09" w:type="dxa"/>
            <w:noWrap w:val="0"/>
            <w:vAlign w:val="center"/>
          </w:tcPr>
          <w:p w14:paraId="04EB8DA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44" w:type="dxa"/>
            <w:noWrap w:val="0"/>
            <w:vAlign w:val="center"/>
          </w:tcPr>
          <w:p w14:paraId="13F8B83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日志管理</w:t>
            </w:r>
          </w:p>
        </w:tc>
        <w:tc>
          <w:tcPr>
            <w:tcW w:w="5132" w:type="dxa"/>
            <w:noWrap w:val="0"/>
            <w:vAlign w:val="top"/>
          </w:tcPr>
          <w:p w14:paraId="5BAD4445">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支持对重点日志源的关注设置，并可通过关注列表快速查看重点日志源的状态、当日日志量、采集日志总量、最近接收时间、业务组等基础信息。</w:t>
            </w:r>
          </w:p>
        </w:tc>
        <w:tc>
          <w:tcPr>
            <w:tcW w:w="1217" w:type="dxa"/>
            <w:noWrap w:val="0"/>
            <w:vAlign w:val="center"/>
          </w:tcPr>
          <w:p w14:paraId="4066C43A">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00B8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60646C22">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09" w:type="dxa"/>
            <w:noWrap w:val="0"/>
            <w:vAlign w:val="center"/>
          </w:tcPr>
          <w:p w14:paraId="370D4EE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44" w:type="dxa"/>
            <w:noWrap w:val="0"/>
            <w:vAlign w:val="center"/>
          </w:tcPr>
          <w:p w14:paraId="04E6F62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系统管理</w:t>
            </w:r>
          </w:p>
        </w:tc>
        <w:tc>
          <w:tcPr>
            <w:tcW w:w="5132" w:type="dxa"/>
            <w:noWrap w:val="0"/>
            <w:vAlign w:val="top"/>
          </w:tcPr>
          <w:p w14:paraId="31CF109C">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系统具有防恶意暴力破解账号与口令功能，口令错误次数可设置，超过错误次数锁定，锁定时间可设置。</w:t>
            </w:r>
          </w:p>
        </w:tc>
        <w:tc>
          <w:tcPr>
            <w:tcW w:w="1217" w:type="dxa"/>
            <w:noWrap w:val="0"/>
            <w:vAlign w:val="center"/>
          </w:tcPr>
          <w:p w14:paraId="5C2524F3">
            <w:pPr>
              <w:pageBreakBefore w:val="0"/>
              <w:widowControl/>
              <w:kinsoku/>
              <w:wordWrap/>
              <w:overflowPunct/>
              <w:topLinePunct w:val="0"/>
              <w:autoSpaceDE/>
              <w:autoSpaceDN/>
              <w:bidi w:val="0"/>
              <w:snapToGrid w:val="0"/>
              <w:spacing w:line="360" w:lineRule="auto"/>
              <w:jc w:val="center"/>
              <w:textAlignment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4410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494" w:type="dxa"/>
            <w:noWrap w:val="0"/>
            <w:vAlign w:val="center"/>
          </w:tcPr>
          <w:p w14:paraId="03D50954">
            <w:pPr>
              <w:pStyle w:val="8"/>
              <w:pageBreakBefore w:val="0"/>
              <w:numPr>
                <w:ilvl w:val="0"/>
                <w:numId w:val="7"/>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09" w:type="dxa"/>
            <w:noWrap w:val="0"/>
            <w:vAlign w:val="center"/>
          </w:tcPr>
          <w:p w14:paraId="506A8C97">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844" w:type="dxa"/>
            <w:noWrap w:val="0"/>
            <w:vAlign w:val="center"/>
          </w:tcPr>
          <w:p w14:paraId="00E6F10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资质要求</w:t>
            </w:r>
          </w:p>
        </w:tc>
        <w:tc>
          <w:tcPr>
            <w:tcW w:w="5132" w:type="dxa"/>
            <w:noWrap w:val="0"/>
            <w:vAlign w:val="center"/>
          </w:tcPr>
          <w:p w14:paraId="4C7783CE">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217" w:type="dxa"/>
            <w:noWrap w:val="0"/>
            <w:vAlign w:val="center"/>
          </w:tcPr>
          <w:p w14:paraId="75CCCF4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bl>
    <w:p w14:paraId="7797790C">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12</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漏扫</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8"/>
        <w:gridCol w:w="602"/>
        <w:gridCol w:w="877"/>
        <w:gridCol w:w="5387"/>
        <w:gridCol w:w="1158"/>
      </w:tblGrid>
      <w:tr w14:paraId="49D1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498"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08E27C8">
            <w:pPr>
              <w:keepNext w:val="0"/>
              <w:keepLines w:val="0"/>
              <w:pageBreakBefore w:val="0"/>
              <w:widowControl/>
              <w:suppressLineNumbers w:val="0"/>
              <w:kinsoku/>
              <w:wordWrap/>
              <w:overflowPunct/>
              <w:topLinePunct w:val="0"/>
              <w:autoSpaceDE/>
              <w:autoSpaceDN/>
              <w:bidi w:val="0"/>
              <w:spacing w:line="360" w:lineRule="auto"/>
              <w:jc w:val="both"/>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序号</w:t>
            </w:r>
          </w:p>
        </w:tc>
        <w:tc>
          <w:tcPr>
            <w:tcW w:w="602"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4D2B61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重要性</w:t>
            </w:r>
          </w:p>
        </w:tc>
        <w:tc>
          <w:tcPr>
            <w:tcW w:w="877"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1C866B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指标项</w:t>
            </w:r>
          </w:p>
        </w:tc>
        <w:tc>
          <w:tcPr>
            <w:tcW w:w="5387"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E851B6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指标要求</w:t>
            </w:r>
          </w:p>
        </w:tc>
        <w:tc>
          <w:tcPr>
            <w:tcW w:w="1158"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2921D517">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证明材料</w:t>
            </w:r>
            <w:r>
              <w:rPr>
                <w:rFonts w:hint="eastAsia" w:ascii="仿宋" w:hAnsi="仿宋" w:eastAsia="仿宋" w:cs="仿宋"/>
                <w:b/>
                <w:bCs/>
                <w:i w:val="0"/>
                <w:iCs w:val="0"/>
                <w:color w:val="auto"/>
                <w:kern w:val="0"/>
                <w:sz w:val="21"/>
                <w:szCs w:val="21"/>
                <w:u w:val="none"/>
                <w:lang w:val="en-US" w:eastAsia="zh-CN" w:bidi="ar"/>
              </w:rPr>
              <w:br w:type="textWrapping"/>
            </w:r>
            <w:r>
              <w:rPr>
                <w:rFonts w:hint="eastAsia" w:ascii="仿宋" w:hAnsi="仿宋" w:eastAsia="仿宋" w:cs="仿宋"/>
                <w:b/>
                <w:bCs/>
                <w:i w:val="0"/>
                <w:iCs w:val="0"/>
                <w:color w:val="auto"/>
                <w:kern w:val="0"/>
                <w:sz w:val="21"/>
                <w:szCs w:val="21"/>
                <w:u w:val="none"/>
                <w:lang w:val="en-US" w:eastAsia="zh-CN" w:bidi="ar"/>
              </w:rPr>
              <w:t>要求</w:t>
            </w:r>
          </w:p>
        </w:tc>
      </w:tr>
      <w:tr w14:paraId="136B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52DC4DC1">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251D0092">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snapToGrid w:val="0"/>
                <w:color w:val="auto"/>
                <w:spacing w:val="-7"/>
                <w:kern w:val="0"/>
                <w:sz w:val="21"/>
                <w:szCs w:val="21"/>
              </w:rPr>
              <w:t>★</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655349B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基本要求</w:t>
            </w: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33D58D46">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color w:val="auto"/>
                <w:sz w:val="21"/>
                <w:szCs w:val="21"/>
              </w:rPr>
              <w:t>标准机架式设备</w:t>
            </w:r>
            <w:r>
              <w:rPr>
                <w:rFonts w:hint="eastAsia" w:ascii="仿宋" w:hAnsi="仿宋" w:eastAsia="仿宋" w:cs="仿宋"/>
                <w:i w:val="0"/>
                <w:iCs w:val="0"/>
                <w:color w:val="auto"/>
                <w:kern w:val="0"/>
                <w:sz w:val="21"/>
                <w:szCs w:val="21"/>
                <w:u w:val="none"/>
                <w:lang w:val="en-US" w:eastAsia="zh-CN" w:bidi="ar"/>
              </w:rPr>
              <w:t>，交流冗余电源，硬盘≥4T，内存≥32G，千兆电口≥8，千兆光口≥8，万兆光口≥2；搭载国产化处理器和操作系统。</w:t>
            </w:r>
          </w:p>
          <w:p w14:paraId="32B6B1F3">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最大并发扫描主机数≥50，允许最大并发任务≥10个任务，支持无限IP授权扫描。</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3E54A20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否</w:t>
            </w:r>
          </w:p>
        </w:tc>
      </w:tr>
      <w:tr w14:paraId="40197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5A4846E8">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19FBE5C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p>
        </w:tc>
        <w:tc>
          <w:tcPr>
            <w:tcW w:w="877" w:type="dxa"/>
            <w:vMerge w:val="restart"/>
            <w:tcBorders>
              <w:top w:val="single" w:color="000000" w:sz="4" w:space="0"/>
              <w:left w:val="single" w:color="000000" w:sz="4" w:space="0"/>
              <w:right w:val="single" w:color="000000" w:sz="4" w:space="0"/>
            </w:tcBorders>
            <w:noWrap/>
            <w:vAlign w:val="center"/>
          </w:tcPr>
          <w:p w14:paraId="4BB9CBD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漏洞扫描</w:t>
            </w: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5A57971A">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需支持检测的漏洞数大于400000条，兼容CVE、CNCVE、CNNVD、CNVD等主流标准。（需提供产品界面证明截图）</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4F60BDA8">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3C4D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2411E971">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0F013FE6">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877" w:type="dxa"/>
            <w:vMerge w:val="continue"/>
            <w:tcBorders>
              <w:left w:val="single" w:color="000000" w:sz="4" w:space="0"/>
              <w:right w:val="single" w:color="000000" w:sz="4" w:space="0"/>
            </w:tcBorders>
            <w:noWrap/>
            <w:vAlign w:val="center"/>
          </w:tcPr>
          <w:p w14:paraId="78D044EE">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4F582059">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需支持扫描国产操作系统、应用及软件的安全漏洞，如华为欧拉、open欧拉、统信、麒麟、bclinux、达梦、南大通用、人大金仓等，要求能够扫描大于120000条相关漏洞。</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6DDF36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7318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1D0326F9">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76382573">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w:t>
            </w:r>
          </w:p>
        </w:tc>
        <w:tc>
          <w:tcPr>
            <w:tcW w:w="877" w:type="dxa"/>
            <w:vMerge w:val="continue"/>
            <w:tcBorders>
              <w:left w:val="single" w:color="000000" w:sz="4" w:space="0"/>
              <w:right w:val="single" w:color="000000" w:sz="4" w:space="0"/>
            </w:tcBorders>
            <w:noWrap/>
            <w:vAlign w:val="center"/>
          </w:tcPr>
          <w:p w14:paraId="045FE7E0">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56864EC8">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需支持专门针对DNS服务的安全漏洞检测，包括DNS投毒等漏洞检测能力；支持“幽灵木马”检测。（需提供产品界面证明截图）</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4C25BF9B">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是</w:t>
            </w:r>
          </w:p>
        </w:tc>
      </w:tr>
      <w:tr w14:paraId="664C7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3CDC6913">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6B31788D">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lang w:val="en-US" w:eastAsia="zh-CN"/>
              </w:rPr>
            </w:pPr>
          </w:p>
        </w:tc>
        <w:tc>
          <w:tcPr>
            <w:tcW w:w="877" w:type="dxa"/>
            <w:vMerge w:val="continue"/>
            <w:tcBorders>
              <w:left w:val="single" w:color="000000" w:sz="4" w:space="0"/>
              <w:bottom w:val="single" w:color="000000" w:sz="4" w:space="0"/>
              <w:right w:val="single" w:color="000000" w:sz="4" w:space="0"/>
            </w:tcBorders>
            <w:noWrap/>
            <w:vAlign w:val="center"/>
          </w:tcPr>
          <w:p w14:paraId="705DEB25">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1C418DF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需支持智能端口挖掘，可以智能发现非默认端口启动的服务。</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765FF1E5">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否</w:t>
            </w:r>
          </w:p>
        </w:tc>
      </w:tr>
      <w:tr w14:paraId="7A014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3A8FAEEA">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0FF66043">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877" w:type="dxa"/>
            <w:vMerge w:val="restart"/>
            <w:tcBorders>
              <w:top w:val="single" w:color="000000" w:sz="4" w:space="0"/>
              <w:left w:val="single" w:color="000000" w:sz="4" w:space="0"/>
              <w:right w:val="single" w:color="000000" w:sz="4" w:space="0"/>
            </w:tcBorders>
            <w:noWrap/>
            <w:vAlign w:val="center"/>
          </w:tcPr>
          <w:p w14:paraId="54ADFC75">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任务管理</w:t>
            </w: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64095A3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需支持断点接续扫描，能够选取历史扫描任务中尚未完成探测的目标，独立派发新一轮扫描任务。</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EDFD512">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否</w:t>
            </w:r>
          </w:p>
        </w:tc>
      </w:tr>
      <w:tr w14:paraId="486D4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204E6400">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2AF8C3C4">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lang w:val="en-US" w:eastAsia="zh-CN"/>
              </w:rPr>
            </w:pPr>
          </w:p>
        </w:tc>
        <w:tc>
          <w:tcPr>
            <w:tcW w:w="877" w:type="dxa"/>
            <w:vMerge w:val="continue"/>
            <w:tcBorders>
              <w:left w:val="single" w:color="000000" w:sz="4" w:space="0"/>
              <w:bottom w:val="single" w:color="000000" w:sz="4" w:space="0"/>
              <w:right w:val="single" w:color="000000" w:sz="4" w:space="0"/>
            </w:tcBorders>
            <w:noWrap/>
            <w:vAlign w:val="center"/>
          </w:tcPr>
          <w:p w14:paraId="6618B11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kern w:val="0"/>
                <w:sz w:val="21"/>
                <w:szCs w:val="21"/>
                <w:u w:val="none"/>
                <w:lang w:val="en-US" w:eastAsia="zh-CN" w:bidi="ar"/>
              </w:rPr>
            </w:pP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19B04454">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需支持复用已有任务配置用于新的扫描任务，请提供功能截图。</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45233C0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否</w:t>
            </w:r>
          </w:p>
        </w:tc>
      </w:tr>
      <w:tr w14:paraId="78B48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10591121">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5DF933F5">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3D5815C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资产管理</w:t>
            </w: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68F9CF9B">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需支持资产树和资产列表相结合的方式对主机及Web资产进行分级管理，具有资产统计信息概览，支持资产总数，包括IP数和网站数。支持开放端口数、存在漏洞的端口数，以及整体风险值。</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136E0C8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否</w:t>
            </w:r>
          </w:p>
        </w:tc>
      </w:tr>
      <w:tr w14:paraId="273B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1BB65806">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68EE8726">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w:t>
            </w:r>
          </w:p>
        </w:tc>
        <w:tc>
          <w:tcPr>
            <w:tcW w:w="877" w:type="dxa"/>
            <w:vMerge w:val="restart"/>
            <w:tcBorders>
              <w:top w:val="single" w:color="000000" w:sz="4" w:space="0"/>
              <w:left w:val="single" w:color="000000" w:sz="4" w:space="0"/>
              <w:bottom w:val="single" w:color="000000" w:sz="4" w:space="0"/>
              <w:right w:val="single" w:color="000000" w:sz="4" w:space="0"/>
            </w:tcBorders>
            <w:noWrap w:val="0"/>
            <w:vAlign w:val="center"/>
          </w:tcPr>
          <w:p w14:paraId="1B30B96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漏洞模板</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管理</w:t>
            </w: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7CFAEF3C">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需支持系统漏洞库和Web漏洞库通过多种维度对漏洞进行检索，包括：漏洞名称、漏洞ID，CVE ID、BUGTRAQ ID、CNCVE ID、CNVD ID、CNNVD ID、MS 编号、风险等级、是否使用危险插件、是否支持漏洞验证，漏洞发布日期、漏洞分类信息。（需提供产品界面证明截图）</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0FF75D6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1DE4C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5D9E72B7">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4CC3C6A6">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lang w:val="en-US" w:eastAsia="zh-CN"/>
              </w:rPr>
            </w:pPr>
          </w:p>
        </w:tc>
        <w:tc>
          <w:tcPr>
            <w:tcW w:w="8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3C98E">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7AB4598A">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需提供高级漏洞检索模板，支持将符合筛选条件的漏洞自动加入到自定义漏洞模板中。</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07947FA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56986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5FF9F966">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2AFF9973">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w:t>
            </w:r>
          </w:p>
        </w:tc>
        <w:tc>
          <w:tcPr>
            <w:tcW w:w="877" w:type="dxa"/>
            <w:vMerge w:val="restart"/>
            <w:tcBorders>
              <w:top w:val="single" w:color="000000" w:sz="4" w:space="0"/>
              <w:left w:val="single" w:color="000000" w:sz="4" w:space="0"/>
              <w:bottom w:val="single" w:color="000000" w:sz="4" w:space="0"/>
              <w:right w:val="single" w:color="000000" w:sz="4" w:space="0"/>
            </w:tcBorders>
            <w:noWrap/>
            <w:vAlign w:val="center"/>
          </w:tcPr>
          <w:p w14:paraId="742F554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风险展示</w:t>
            </w: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7DA00795">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需支持风险告警功能，可在集中告警平台灵活配置告警条件、告警方式、告警资产范围等，支持邮件和页面告警，支持单个或批量修改风险状态。（需提供产品界面证明截图）</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A0901C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1E66D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7534B714">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629B1AE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w:t>
            </w:r>
          </w:p>
        </w:tc>
        <w:tc>
          <w:tcPr>
            <w:tcW w:w="877" w:type="dxa"/>
            <w:vMerge w:val="continue"/>
            <w:tcBorders>
              <w:top w:val="single" w:color="000000" w:sz="4" w:space="0"/>
              <w:left w:val="single" w:color="000000" w:sz="4" w:space="0"/>
              <w:bottom w:val="single" w:color="000000" w:sz="4" w:space="0"/>
              <w:right w:val="single" w:color="000000" w:sz="4" w:space="0"/>
            </w:tcBorders>
            <w:noWrap/>
            <w:vAlign w:val="center"/>
          </w:tcPr>
          <w:p w14:paraId="34DED196">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26068C8D">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需支持自定义风险值计算标准配置，可对主机风险等级评定标准和网络风险等级评定标准进行自定义。（需提供产品界面证明截图）</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2132ACE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是</w:t>
            </w:r>
          </w:p>
        </w:tc>
      </w:tr>
      <w:tr w14:paraId="6460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16982086">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09572752">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lang w:val="en-US" w:eastAsia="zh-CN"/>
              </w:rPr>
            </w:pPr>
          </w:p>
        </w:tc>
        <w:tc>
          <w:tcPr>
            <w:tcW w:w="877" w:type="dxa"/>
            <w:vMerge w:val="continue"/>
            <w:tcBorders>
              <w:top w:val="single" w:color="000000" w:sz="4" w:space="0"/>
              <w:left w:val="single" w:color="000000" w:sz="4" w:space="0"/>
              <w:bottom w:val="single" w:color="000000" w:sz="4" w:space="0"/>
              <w:right w:val="single" w:color="000000" w:sz="4" w:space="0"/>
            </w:tcBorders>
            <w:noWrap/>
            <w:vAlign w:val="center"/>
          </w:tcPr>
          <w:p w14:paraId="77F79B98">
            <w:pPr>
              <w:pageBreakBefore w:val="0"/>
              <w:kinsoku/>
              <w:wordWrap/>
              <w:overflowPunct/>
              <w:topLinePunct w:val="0"/>
              <w:autoSpaceDE/>
              <w:autoSpaceDN/>
              <w:bidi w:val="0"/>
              <w:spacing w:line="360" w:lineRule="auto"/>
              <w:jc w:val="center"/>
              <w:rPr>
                <w:rFonts w:hint="eastAsia" w:ascii="仿宋" w:hAnsi="仿宋" w:eastAsia="仿宋" w:cs="仿宋"/>
                <w:i w:val="0"/>
                <w:iCs w:val="0"/>
                <w:color w:val="auto"/>
                <w:sz w:val="21"/>
                <w:szCs w:val="21"/>
                <w:u w:val="none"/>
              </w:rPr>
            </w:pP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1512C606">
            <w:pPr>
              <w:keepNext w:val="0"/>
              <w:keepLines w:val="0"/>
              <w:pageBreakBefore w:val="0"/>
              <w:widowControl/>
              <w:suppressLineNumbers w:val="0"/>
              <w:kinsoku/>
              <w:wordWrap/>
              <w:overflowPunct/>
              <w:topLinePunct w:val="0"/>
              <w:autoSpaceDE/>
              <w:autoSpaceDN/>
              <w:bidi w:val="0"/>
              <w:spacing w:line="360" w:lineRule="auto"/>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需支持高级数据分析，可对同一IP的两次扫描结果进行风险对比分析，并可在线查看同一IP的多次历史扫描结果。</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40133E8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否</w:t>
            </w:r>
          </w:p>
        </w:tc>
      </w:tr>
      <w:tr w14:paraId="0DDCB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498" w:type="dxa"/>
            <w:tcBorders>
              <w:top w:val="single" w:color="000000" w:sz="4" w:space="0"/>
              <w:left w:val="single" w:color="000000" w:sz="4" w:space="0"/>
              <w:bottom w:val="single" w:color="000000" w:sz="4" w:space="0"/>
              <w:right w:val="single" w:color="000000" w:sz="4" w:space="0"/>
            </w:tcBorders>
            <w:noWrap/>
            <w:vAlign w:val="center"/>
          </w:tcPr>
          <w:p w14:paraId="6289AF87">
            <w:pPr>
              <w:keepNext w:val="0"/>
              <w:keepLines w:val="0"/>
              <w:pageBreakBefore w:val="0"/>
              <w:widowControl/>
              <w:numPr>
                <w:ilvl w:val="0"/>
                <w:numId w:val="8"/>
              </w:numPr>
              <w:suppressLineNumbers w:val="0"/>
              <w:kinsoku/>
              <w:wordWrap/>
              <w:overflowPunct/>
              <w:topLinePunct w:val="0"/>
              <w:autoSpaceDE/>
              <w:autoSpaceDN/>
              <w:bidi w:val="0"/>
              <w:spacing w:line="360" w:lineRule="auto"/>
              <w:ind w:left="0" w:leftChars="0" w:firstLine="0" w:firstLineChars="0"/>
              <w:jc w:val="both"/>
              <w:textAlignment w:val="center"/>
              <w:rPr>
                <w:rFonts w:hint="eastAsia" w:ascii="仿宋" w:hAnsi="仿宋" w:eastAsia="仿宋" w:cs="仿宋"/>
                <w:i w:val="0"/>
                <w:iCs w:val="0"/>
                <w:color w:val="auto"/>
                <w:sz w:val="21"/>
                <w:szCs w:val="21"/>
                <w:u w:val="none"/>
              </w:rPr>
            </w:pPr>
          </w:p>
        </w:tc>
        <w:tc>
          <w:tcPr>
            <w:tcW w:w="602" w:type="dxa"/>
            <w:tcBorders>
              <w:top w:val="single" w:color="000000" w:sz="4" w:space="0"/>
              <w:left w:val="single" w:color="000000" w:sz="4" w:space="0"/>
              <w:bottom w:val="single" w:color="000000" w:sz="4" w:space="0"/>
              <w:right w:val="single" w:color="000000" w:sz="4" w:space="0"/>
            </w:tcBorders>
            <w:noWrap/>
            <w:vAlign w:val="center"/>
          </w:tcPr>
          <w:p w14:paraId="00FB506A">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color w:val="auto"/>
                <w:sz w:val="21"/>
                <w:szCs w:val="21"/>
              </w:rPr>
              <w:t>★</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7E536171">
            <w:pPr>
              <w:pageBreakBefore w:val="0"/>
              <w:kinsoku/>
              <w:wordWrap/>
              <w:overflowPunct/>
              <w:topLinePunct w:val="0"/>
              <w:autoSpaceDE/>
              <w:autoSpaceDN/>
              <w:bidi w:val="0"/>
              <w:snapToGrid w:val="0"/>
              <w:spacing w:line="360" w:lineRule="auto"/>
              <w:jc w:val="center"/>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资质要求</w:t>
            </w:r>
          </w:p>
        </w:tc>
        <w:tc>
          <w:tcPr>
            <w:tcW w:w="5387" w:type="dxa"/>
            <w:tcBorders>
              <w:top w:val="single" w:color="000000" w:sz="4" w:space="0"/>
              <w:left w:val="single" w:color="000000" w:sz="4" w:space="0"/>
              <w:bottom w:val="single" w:color="000000" w:sz="4" w:space="0"/>
              <w:right w:val="single" w:color="000000" w:sz="4" w:space="0"/>
            </w:tcBorders>
            <w:noWrap w:val="0"/>
            <w:vAlign w:val="center"/>
          </w:tcPr>
          <w:p w14:paraId="561D02FF">
            <w:pPr>
              <w:pageBreakBefore w:val="0"/>
              <w:kinsoku/>
              <w:wordWrap/>
              <w:overflowPunct/>
              <w:topLinePunct w:val="0"/>
              <w:autoSpaceDE/>
              <w:autoSpaceDN/>
              <w:bidi w:val="0"/>
              <w:snapToGrid w:val="0"/>
              <w:spacing w:line="360" w:lineRule="auto"/>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158" w:type="dxa"/>
            <w:tcBorders>
              <w:top w:val="single" w:color="000000" w:sz="4" w:space="0"/>
              <w:left w:val="single" w:color="000000" w:sz="4" w:space="0"/>
              <w:bottom w:val="single" w:color="000000" w:sz="4" w:space="0"/>
              <w:right w:val="single" w:color="000000" w:sz="4" w:space="0"/>
            </w:tcBorders>
            <w:noWrap/>
            <w:vAlign w:val="center"/>
          </w:tcPr>
          <w:p w14:paraId="09944005">
            <w:pPr>
              <w:pageBreakBefore w:val="0"/>
              <w:kinsoku/>
              <w:wordWrap/>
              <w:overflowPunct/>
              <w:topLinePunct w:val="0"/>
              <w:autoSpaceDE/>
              <w:autoSpaceDN/>
              <w:bidi w:val="0"/>
              <w:snapToGrid w:val="0"/>
              <w:spacing w:line="360" w:lineRule="auto"/>
              <w:jc w:val="center"/>
              <w:rPr>
                <w:rFonts w:hint="eastAsia" w:ascii="仿宋" w:hAnsi="仿宋" w:eastAsia="仿宋" w:cs="仿宋"/>
                <w:i w:val="0"/>
                <w:iCs w:val="0"/>
                <w:color w:val="auto"/>
                <w:sz w:val="21"/>
                <w:szCs w:val="21"/>
                <w:u w:val="none"/>
              </w:rPr>
            </w:pPr>
            <w:r>
              <w:rPr>
                <w:rFonts w:hint="eastAsia" w:ascii="仿宋" w:hAnsi="仿宋" w:eastAsia="仿宋" w:cs="仿宋"/>
                <w:color w:val="auto"/>
                <w:sz w:val="21"/>
                <w:szCs w:val="21"/>
              </w:rPr>
              <w:t>是</w:t>
            </w:r>
          </w:p>
        </w:tc>
      </w:tr>
    </w:tbl>
    <w:p w14:paraId="5313F5DC">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13</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堡垒机</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617"/>
        <w:gridCol w:w="851"/>
        <w:gridCol w:w="5304"/>
        <w:gridCol w:w="1252"/>
      </w:tblGrid>
      <w:tr w14:paraId="5F2F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498" w:type="dxa"/>
            <w:noWrap w:val="0"/>
            <w:vAlign w:val="center"/>
          </w:tcPr>
          <w:p w14:paraId="403B092F">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序号</w:t>
            </w:r>
          </w:p>
        </w:tc>
        <w:tc>
          <w:tcPr>
            <w:tcW w:w="617" w:type="dxa"/>
            <w:noWrap w:val="0"/>
            <w:vAlign w:val="center"/>
          </w:tcPr>
          <w:p w14:paraId="78D75932">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重要性</w:t>
            </w:r>
          </w:p>
        </w:tc>
        <w:tc>
          <w:tcPr>
            <w:tcW w:w="851" w:type="dxa"/>
            <w:noWrap w:val="0"/>
            <w:vAlign w:val="center"/>
          </w:tcPr>
          <w:p w14:paraId="4D86D02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指标项</w:t>
            </w:r>
          </w:p>
        </w:tc>
        <w:tc>
          <w:tcPr>
            <w:tcW w:w="5304" w:type="dxa"/>
            <w:noWrap w:val="0"/>
            <w:vAlign w:val="center"/>
          </w:tcPr>
          <w:p w14:paraId="2BFC7EA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指标要求</w:t>
            </w:r>
          </w:p>
        </w:tc>
        <w:tc>
          <w:tcPr>
            <w:tcW w:w="1252" w:type="dxa"/>
            <w:noWrap w:val="0"/>
            <w:vAlign w:val="center"/>
          </w:tcPr>
          <w:p w14:paraId="6A94FBF7">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bCs/>
                <w:color w:val="auto"/>
                <w:sz w:val="21"/>
                <w:szCs w:val="21"/>
              </w:rPr>
              <w:t>是否提供证明材料</w:t>
            </w:r>
          </w:p>
        </w:tc>
      </w:tr>
      <w:tr w14:paraId="6549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98" w:type="dxa"/>
            <w:noWrap w:val="0"/>
            <w:vAlign w:val="center"/>
          </w:tcPr>
          <w:p w14:paraId="5DA0B6C5">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1688CBF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851" w:type="dxa"/>
            <w:noWrap w:val="0"/>
            <w:vAlign w:val="center"/>
          </w:tcPr>
          <w:p w14:paraId="070E2DC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硬件指标</w:t>
            </w:r>
          </w:p>
        </w:tc>
        <w:tc>
          <w:tcPr>
            <w:tcW w:w="5304" w:type="dxa"/>
            <w:noWrap w:val="0"/>
            <w:vAlign w:val="center"/>
          </w:tcPr>
          <w:p w14:paraId="50F12285">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采用国产设备；</w:t>
            </w:r>
          </w:p>
          <w:p w14:paraId="0994209D">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标准机架式设备，≥6个千兆电口，≥4个千兆光口，≥2个万兆光口，硬盘容量≥4T，冗余电源。</w:t>
            </w:r>
          </w:p>
          <w:p w14:paraId="3944A844">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提供不少于3年产品硬件维保服务。</w:t>
            </w:r>
          </w:p>
        </w:tc>
        <w:tc>
          <w:tcPr>
            <w:tcW w:w="1252" w:type="dxa"/>
            <w:noWrap w:val="0"/>
            <w:vAlign w:val="center"/>
          </w:tcPr>
          <w:p w14:paraId="68C158C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2BDA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067BF554">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368346A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851" w:type="dxa"/>
            <w:noWrap w:val="0"/>
            <w:vAlign w:val="center"/>
          </w:tcPr>
          <w:p w14:paraId="73967E3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性能要求</w:t>
            </w:r>
          </w:p>
        </w:tc>
        <w:tc>
          <w:tcPr>
            <w:tcW w:w="5304" w:type="dxa"/>
            <w:noWrap w:val="0"/>
            <w:vAlign w:val="center"/>
          </w:tcPr>
          <w:p w14:paraId="4535593B">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最大字符会话并发数≥1000</w:t>
            </w:r>
          </w:p>
          <w:p w14:paraId="5EA2D91C">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最大图形会话并发数≥300</w:t>
            </w:r>
          </w:p>
          <w:p w14:paraId="28DF143E">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可管理资源数量≥</w:t>
            </w:r>
            <w:r>
              <w:rPr>
                <w:rFonts w:hint="eastAsia" w:ascii="仿宋" w:hAnsi="仿宋" w:eastAsia="仿宋" w:cs="仿宋"/>
                <w:color w:val="auto"/>
                <w:sz w:val="21"/>
                <w:szCs w:val="21"/>
                <w:lang w:val="en-US" w:eastAsia="zh-CN"/>
              </w:rPr>
              <w:t>200</w:t>
            </w:r>
            <w:r>
              <w:rPr>
                <w:rFonts w:hint="eastAsia" w:ascii="仿宋" w:hAnsi="仿宋" w:eastAsia="仿宋" w:cs="仿宋"/>
                <w:color w:val="auto"/>
                <w:sz w:val="21"/>
                <w:szCs w:val="21"/>
              </w:rPr>
              <w:t>个</w:t>
            </w:r>
          </w:p>
          <w:p w14:paraId="3306A441">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提供不少于3年软件升级服务。</w:t>
            </w:r>
          </w:p>
        </w:tc>
        <w:tc>
          <w:tcPr>
            <w:tcW w:w="1252" w:type="dxa"/>
            <w:noWrap w:val="0"/>
            <w:vAlign w:val="center"/>
          </w:tcPr>
          <w:p w14:paraId="39B53FA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677A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0CFE3858">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5C6ABB7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vMerge w:val="restart"/>
            <w:noWrap w:val="0"/>
            <w:vAlign w:val="center"/>
          </w:tcPr>
          <w:p w14:paraId="0B883E1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兼容性</w:t>
            </w:r>
          </w:p>
        </w:tc>
        <w:tc>
          <w:tcPr>
            <w:tcW w:w="5304" w:type="dxa"/>
            <w:noWrap w:val="0"/>
            <w:vAlign w:val="center"/>
          </w:tcPr>
          <w:p w14:paraId="3EAF5D95">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支持兼容IPV4和IPV6双栈</w:t>
            </w:r>
          </w:p>
        </w:tc>
        <w:tc>
          <w:tcPr>
            <w:tcW w:w="1252" w:type="dxa"/>
            <w:noWrap w:val="0"/>
            <w:vAlign w:val="center"/>
          </w:tcPr>
          <w:p w14:paraId="7EF4DF8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4B1A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2B8E6857">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26E5D50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vMerge w:val="continue"/>
            <w:noWrap w:val="0"/>
            <w:vAlign w:val="center"/>
          </w:tcPr>
          <w:p w14:paraId="62DAED6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kern w:val="0"/>
                <w:sz w:val="21"/>
                <w:szCs w:val="21"/>
              </w:rPr>
            </w:pPr>
          </w:p>
        </w:tc>
        <w:tc>
          <w:tcPr>
            <w:tcW w:w="5304" w:type="dxa"/>
            <w:noWrap w:val="0"/>
            <w:vAlign w:val="center"/>
          </w:tcPr>
          <w:p w14:paraId="69314B4E">
            <w:pPr>
              <w:pageBreakBefore w:val="0"/>
              <w:widowControl/>
              <w:kinsoku/>
              <w:wordWrap/>
              <w:overflowPunct/>
              <w:topLinePunct w:val="0"/>
              <w:autoSpaceDE/>
              <w:autoSpaceDN/>
              <w:bidi w:val="0"/>
              <w:snapToGrid w:val="0"/>
              <w:spacing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支持字符协议：SSH、TELNET；图形协议：RDP、VNC；文件传输协议：FTP、SFTP等</w:t>
            </w:r>
          </w:p>
        </w:tc>
        <w:tc>
          <w:tcPr>
            <w:tcW w:w="1252" w:type="dxa"/>
            <w:noWrap w:val="0"/>
            <w:vAlign w:val="center"/>
          </w:tcPr>
          <w:p w14:paraId="1D96562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22DD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7031CBEC">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182E717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vMerge w:val="continue"/>
            <w:noWrap w:val="0"/>
            <w:vAlign w:val="center"/>
          </w:tcPr>
          <w:p w14:paraId="1689EE18">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5304" w:type="dxa"/>
            <w:noWrap w:val="0"/>
            <w:vAlign w:val="center"/>
          </w:tcPr>
          <w:p w14:paraId="2CC7629A">
            <w:pPr>
              <w:pageBreakBefore w:val="0"/>
              <w:widowControl/>
              <w:kinsoku/>
              <w:wordWrap/>
              <w:overflowPunct/>
              <w:topLinePunct w:val="0"/>
              <w:autoSpaceDE/>
              <w:autoSpaceDN/>
              <w:bidi w:val="0"/>
              <w:snapToGrid w:val="0"/>
              <w:spacing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支持应用发布功能，用来解决非标准协议的客户端应用运维问题。</w:t>
            </w:r>
          </w:p>
        </w:tc>
        <w:tc>
          <w:tcPr>
            <w:tcW w:w="1252" w:type="dxa"/>
            <w:noWrap w:val="0"/>
            <w:vAlign w:val="center"/>
          </w:tcPr>
          <w:p w14:paraId="42BAC15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795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2CE95252">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77444848">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51" w:type="dxa"/>
            <w:vMerge w:val="restart"/>
            <w:noWrap w:val="0"/>
            <w:vAlign w:val="center"/>
          </w:tcPr>
          <w:p w14:paraId="1838FFD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用户认证</w:t>
            </w:r>
          </w:p>
        </w:tc>
        <w:tc>
          <w:tcPr>
            <w:tcW w:w="5304" w:type="dxa"/>
            <w:noWrap w:val="0"/>
            <w:vAlign w:val="center"/>
          </w:tcPr>
          <w:p w14:paraId="3955D341">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支持多因子认证，方式包括不限于手机令牌、手机短信、动态令牌、国密USBKey、指纹识别等多因子认证方式。</w:t>
            </w:r>
          </w:p>
        </w:tc>
        <w:tc>
          <w:tcPr>
            <w:tcW w:w="1252" w:type="dxa"/>
            <w:noWrap w:val="0"/>
            <w:vAlign w:val="center"/>
          </w:tcPr>
          <w:p w14:paraId="33FEA1D8">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3E86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355C7A09">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18B6088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vMerge w:val="continue"/>
            <w:noWrap w:val="0"/>
            <w:vAlign w:val="center"/>
          </w:tcPr>
          <w:p w14:paraId="65FBF7C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5304" w:type="dxa"/>
            <w:noWrap w:val="0"/>
            <w:vAlign w:val="center"/>
          </w:tcPr>
          <w:p w14:paraId="38D05AFD">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支持根据访问源IP地址采用不同的认证方式，例如内网可直接密码登录，外网VPN拨号接入需要使用双因子。</w:t>
            </w:r>
          </w:p>
        </w:tc>
        <w:tc>
          <w:tcPr>
            <w:tcW w:w="1252" w:type="dxa"/>
            <w:noWrap w:val="0"/>
            <w:vAlign w:val="center"/>
          </w:tcPr>
          <w:p w14:paraId="710B0C5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4870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32C55B22">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229A07B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noWrap w:val="0"/>
            <w:vAlign w:val="center"/>
          </w:tcPr>
          <w:p w14:paraId="7ABF8ED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用户管理</w:t>
            </w:r>
          </w:p>
        </w:tc>
        <w:tc>
          <w:tcPr>
            <w:tcW w:w="5304" w:type="dxa"/>
            <w:noWrap w:val="0"/>
            <w:vAlign w:val="center"/>
          </w:tcPr>
          <w:p w14:paraId="4E5050AA">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支持基于登录时间、源IP、源MAC地址限制非法时间和非法地址登录堡垒机的用户登录限制。</w:t>
            </w:r>
          </w:p>
        </w:tc>
        <w:tc>
          <w:tcPr>
            <w:tcW w:w="1252" w:type="dxa"/>
            <w:noWrap w:val="0"/>
            <w:vAlign w:val="center"/>
          </w:tcPr>
          <w:p w14:paraId="3CC0520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0A70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335DD9B4">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7616D28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vMerge w:val="restart"/>
            <w:noWrap w:val="0"/>
            <w:vAlign w:val="center"/>
          </w:tcPr>
          <w:p w14:paraId="3890257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策略管理</w:t>
            </w:r>
          </w:p>
        </w:tc>
        <w:tc>
          <w:tcPr>
            <w:tcW w:w="5304" w:type="dxa"/>
            <w:noWrap w:val="0"/>
            <w:vAlign w:val="center"/>
          </w:tcPr>
          <w:p w14:paraId="1FAF734A">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支持账户自动改密，改密完成之后，可以通过邮件将密码分段发送给指定两个管理员，分别接受密码不同部分。</w:t>
            </w:r>
          </w:p>
        </w:tc>
        <w:tc>
          <w:tcPr>
            <w:tcW w:w="1252" w:type="dxa"/>
            <w:noWrap w:val="0"/>
            <w:vAlign w:val="center"/>
          </w:tcPr>
          <w:p w14:paraId="16F753B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08E9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095AE19A">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7305BC9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vMerge w:val="continue"/>
            <w:noWrap w:val="0"/>
            <w:vAlign w:val="center"/>
          </w:tcPr>
          <w:p w14:paraId="5155D9B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5304" w:type="dxa"/>
            <w:noWrap w:val="0"/>
            <w:vAlign w:val="center"/>
          </w:tcPr>
          <w:p w14:paraId="41582094">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支持H5方式运维，产品支持群发命令和预置频繁使用的命令，提升运维效率。</w:t>
            </w:r>
          </w:p>
        </w:tc>
        <w:tc>
          <w:tcPr>
            <w:tcW w:w="1252" w:type="dxa"/>
            <w:noWrap w:val="0"/>
            <w:vAlign w:val="center"/>
          </w:tcPr>
          <w:p w14:paraId="2ACDC59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06FC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17F969DE">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112FC91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51" w:type="dxa"/>
            <w:noWrap w:val="0"/>
            <w:vAlign w:val="center"/>
          </w:tcPr>
          <w:p w14:paraId="2526789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审计管理</w:t>
            </w:r>
          </w:p>
        </w:tc>
        <w:tc>
          <w:tcPr>
            <w:tcW w:w="5304" w:type="dxa"/>
            <w:noWrap w:val="0"/>
            <w:vAlign w:val="center"/>
          </w:tcPr>
          <w:p w14:paraId="387EAC26">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支持运维过程中邀请其他用户参与、协助操作；会话协同    过程中，协同者可以申请控制会话，创建者可以强制获取控制权。</w:t>
            </w:r>
          </w:p>
        </w:tc>
        <w:tc>
          <w:tcPr>
            <w:tcW w:w="1252" w:type="dxa"/>
            <w:noWrap w:val="0"/>
            <w:vAlign w:val="center"/>
          </w:tcPr>
          <w:p w14:paraId="246AD6D4">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70E2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1975E2E3">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14F48863">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851" w:type="dxa"/>
            <w:noWrap w:val="0"/>
            <w:vAlign w:val="center"/>
          </w:tcPr>
          <w:p w14:paraId="7F68203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H5运维水印</w:t>
            </w:r>
          </w:p>
        </w:tc>
        <w:tc>
          <w:tcPr>
            <w:tcW w:w="5304" w:type="dxa"/>
            <w:noWrap w:val="0"/>
            <w:vAlign w:val="center"/>
          </w:tcPr>
          <w:p w14:paraId="68EB110B">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支持水印功能，用户在运维时，H5页面需将用户登录名作为水印显示，避免数据泄露无法追责。</w:t>
            </w:r>
          </w:p>
        </w:tc>
        <w:tc>
          <w:tcPr>
            <w:tcW w:w="1252" w:type="dxa"/>
            <w:noWrap w:val="0"/>
            <w:vAlign w:val="center"/>
          </w:tcPr>
          <w:p w14:paraId="07077D5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4E39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71F15A1F">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4F1EC76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51" w:type="dxa"/>
            <w:noWrap w:val="0"/>
            <w:vAlign w:val="center"/>
          </w:tcPr>
          <w:p w14:paraId="0AB08DC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文件病毒扫描</w:t>
            </w:r>
          </w:p>
        </w:tc>
        <w:tc>
          <w:tcPr>
            <w:tcW w:w="5304" w:type="dxa"/>
            <w:noWrap w:val="0"/>
            <w:vAlign w:val="center"/>
          </w:tcPr>
          <w:p w14:paraId="3FFB752D">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支持内置文件病毒扫描，实现文件传输扫描，针对病毒文    件，可以执行信任、删除等操作，并生成审计记录。</w:t>
            </w:r>
          </w:p>
        </w:tc>
        <w:tc>
          <w:tcPr>
            <w:tcW w:w="1252" w:type="dxa"/>
            <w:noWrap w:val="0"/>
            <w:vAlign w:val="center"/>
          </w:tcPr>
          <w:p w14:paraId="6038326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5345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05A55114">
            <w:pPr>
              <w:pStyle w:val="8"/>
              <w:pageBreakBefore w:val="0"/>
              <w:numPr>
                <w:ilvl w:val="0"/>
                <w:numId w:val="9"/>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06A245C1">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w:t>
            </w:r>
          </w:p>
        </w:tc>
        <w:tc>
          <w:tcPr>
            <w:tcW w:w="851" w:type="dxa"/>
            <w:noWrap w:val="0"/>
            <w:vAlign w:val="center"/>
          </w:tcPr>
          <w:p w14:paraId="5F87B47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资质要求</w:t>
            </w:r>
          </w:p>
        </w:tc>
        <w:tc>
          <w:tcPr>
            <w:tcW w:w="5304" w:type="dxa"/>
            <w:noWrap w:val="0"/>
            <w:vAlign w:val="center"/>
          </w:tcPr>
          <w:p w14:paraId="708F2F7D">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252" w:type="dxa"/>
            <w:noWrap w:val="0"/>
            <w:vAlign w:val="center"/>
          </w:tcPr>
          <w:p w14:paraId="29B8A9F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bl>
    <w:p w14:paraId="0B02FA6C">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14</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动态防御以及内网安全感知平台</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655"/>
        <w:gridCol w:w="845"/>
        <w:gridCol w:w="5300"/>
        <w:gridCol w:w="1222"/>
      </w:tblGrid>
      <w:tr w14:paraId="09A4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 w:type="dxa"/>
            <w:noWrap w:val="0"/>
            <w:vAlign w:val="center"/>
          </w:tcPr>
          <w:p w14:paraId="35C50C1C">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序号</w:t>
            </w:r>
          </w:p>
        </w:tc>
        <w:tc>
          <w:tcPr>
            <w:tcW w:w="655" w:type="dxa"/>
            <w:noWrap w:val="0"/>
            <w:vAlign w:val="center"/>
          </w:tcPr>
          <w:p w14:paraId="3C5CAE7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重要性</w:t>
            </w:r>
          </w:p>
        </w:tc>
        <w:tc>
          <w:tcPr>
            <w:tcW w:w="845" w:type="dxa"/>
            <w:noWrap w:val="0"/>
            <w:vAlign w:val="center"/>
          </w:tcPr>
          <w:p w14:paraId="5045FF5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指标项</w:t>
            </w:r>
          </w:p>
        </w:tc>
        <w:tc>
          <w:tcPr>
            <w:tcW w:w="5300" w:type="dxa"/>
            <w:noWrap w:val="0"/>
            <w:vAlign w:val="center"/>
          </w:tcPr>
          <w:p w14:paraId="3D87C84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指标要求</w:t>
            </w:r>
          </w:p>
        </w:tc>
        <w:tc>
          <w:tcPr>
            <w:tcW w:w="1222" w:type="dxa"/>
            <w:noWrap w:val="0"/>
            <w:vAlign w:val="center"/>
          </w:tcPr>
          <w:p w14:paraId="6FA0E193">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b/>
                <w:color w:val="auto"/>
                <w:kern w:val="0"/>
                <w:sz w:val="21"/>
                <w:szCs w:val="21"/>
              </w:rPr>
            </w:pPr>
            <w:r>
              <w:rPr>
                <w:rFonts w:hint="eastAsia" w:ascii="仿宋" w:hAnsi="仿宋" w:eastAsia="仿宋" w:cs="仿宋"/>
                <w:b/>
                <w:color w:val="auto"/>
                <w:kern w:val="0"/>
                <w:sz w:val="21"/>
                <w:szCs w:val="21"/>
              </w:rPr>
              <w:t>证明材料要求</w:t>
            </w:r>
          </w:p>
        </w:tc>
      </w:tr>
      <w:tr w14:paraId="66BB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7729B79F">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6366BB3C">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845" w:type="dxa"/>
            <w:noWrap w:val="0"/>
            <w:vAlign w:val="center"/>
          </w:tcPr>
          <w:p w14:paraId="175785C9">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基本要求</w:t>
            </w:r>
          </w:p>
        </w:tc>
        <w:tc>
          <w:tcPr>
            <w:tcW w:w="5300" w:type="dxa"/>
            <w:noWrap w:val="0"/>
            <w:vAlign w:val="center"/>
          </w:tcPr>
          <w:p w14:paraId="1D7EBBD1">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标准机架式设备，国产设备，硬盘≥4TB SATA，实配千兆电口≥4个，万兆SFP+接口≥2个（配置不少于2个万兆多模光模块及线缆）。整机网络层吞吐≥3G，应用层吞吐率≥1G。</w:t>
            </w:r>
          </w:p>
        </w:tc>
        <w:tc>
          <w:tcPr>
            <w:tcW w:w="1222" w:type="dxa"/>
            <w:noWrap w:val="0"/>
            <w:vAlign w:val="center"/>
          </w:tcPr>
          <w:p w14:paraId="56B9E432">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54C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36C9B91F">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54059A9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kern w:val="0"/>
                <w:sz w:val="21"/>
                <w:szCs w:val="21"/>
                <w:lang w:eastAsia="zh-CN"/>
              </w:rPr>
              <w:t>▲</w:t>
            </w:r>
          </w:p>
        </w:tc>
        <w:tc>
          <w:tcPr>
            <w:tcW w:w="845" w:type="dxa"/>
            <w:noWrap w:val="0"/>
            <w:vAlign w:val="center"/>
          </w:tcPr>
          <w:p w14:paraId="72009586">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兼容要求</w:t>
            </w:r>
          </w:p>
        </w:tc>
        <w:tc>
          <w:tcPr>
            <w:tcW w:w="5300" w:type="dxa"/>
            <w:noWrap w:val="0"/>
            <w:vAlign w:val="center"/>
          </w:tcPr>
          <w:p w14:paraId="13ABC6C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支持与现有态势感知平台对接和管理，方便全网统一维护。</w:t>
            </w:r>
          </w:p>
        </w:tc>
        <w:tc>
          <w:tcPr>
            <w:tcW w:w="1222" w:type="dxa"/>
            <w:noWrap w:val="0"/>
            <w:vAlign w:val="center"/>
          </w:tcPr>
          <w:p w14:paraId="4B0EA92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06CF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53459B83">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57E61A00">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5" w:type="dxa"/>
            <w:noWrap w:val="0"/>
            <w:vAlign w:val="center"/>
          </w:tcPr>
          <w:p w14:paraId="72845DFC">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远程工具检测能力</w:t>
            </w:r>
          </w:p>
        </w:tc>
        <w:tc>
          <w:tcPr>
            <w:tcW w:w="5300" w:type="dxa"/>
            <w:noWrap w:val="0"/>
            <w:vAlign w:val="center"/>
          </w:tcPr>
          <w:p w14:paraId="251496AB">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支持远控/远程工具检测，工具类型包括：向日葵、ToDesk、Sorillus、Stowaway、CcRemote、DWservice等</w:t>
            </w:r>
          </w:p>
        </w:tc>
        <w:tc>
          <w:tcPr>
            <w:tcW w:w="1222" w:type="dxa"/>
            <w:noWrap w:val="0"/>
            <w:vAlign w:val="center"/>
          </w:tcPr>
          <w:p w14:paraId="2577A3E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3D17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4F84F9A6">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2F6966D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5" w:type="dxa"/>
            <w:noWrap w:val="0"/>
            <w:vAlign w:val="center"/>
          </w:tcPr>
          <w:p w14:paraId="1718288C">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AI检测能力</w:t>
            </w:r>
          </w:p>
        </w:tc>
        <w:tc>
          <w:tcPr>
            <w:tcW w:w="5300" w:type="dxa"/>
            <w:noWrap w:val="0"/>
            <w:vAlign w:val="center"/>
          </w:tcPr>
          <w:p w14:paraId="69CCCFDA">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支持灵活开启机器学习模型，增强检测精度，模型至少包括：ICMP隧道检测、DNSTunnel检测、HTTP隧道检测、CS流量检测、MSF检测、挖矿流量检测、代理流量检测、暗网流量检测、弱口令检测、SSH爆破登录成功检测</w:t>
            </w:r>
          </w:p>
        </w:tc>
        <w:tc>
          <w:tcPr>
            <w:tcW w:w="1222" w:type="dxa"/>
            <w:noWrap w:val="0"/>
            <w:vAlign w:val="center"/>
          </w:tcPr>
          <w:p w14:paraId="375931A9">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65BF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3C2E2B37">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183B85E2">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5" w:type="dxa"/>
            <w:noWrap w:val="0"/>
            <w:vAlign w:val="center"/>
          </w:tcPr>
          <w:p w14:paraId="669F7FB6">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比特币专项</w:t>
            </w:r>
          </w:p>
        </w:tc>
        <w:tc>
          <w:tcPr>
            <w:tcW w:w="5300" w:type="dxa"/>
            <w:noWrap w:val="0"/>
            <w:vAlign w:val="center"/>
          </w:tcPr>
          <w:p w14:paraId="604802E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支持门罗币、莱特币、以太坊、比特币、斯特币超过20种币种的检测。</w:t>
            </w:r>
          </w:p>
        </w:tc>
        <w:tc>
          <w:tcPr>
            <w:tcW w:w="1222" w:type="dxa"/>
            <w:noWrap w:val="0"/>
            <w:vAlign w:val="center"/>
          </w:tcPr>
          <w:p w14:paraId="392A3A95">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6E4B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24BC7D25">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0B55C8C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w:t>
            </w:r>
          </w:p>
        </w:tc>
        <w:tc>
          <w:tcPr>
            <w:tcW w:w="845" w:type="dxa"/>
            <w:noWrap w:val="0"/>
            <w:vAlign w:val="center"/>
          </w:tcPr>
          <w:p w14:paraId="60DAC21F">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隧道封装识别</w:t>
            </w:r>
          </w:p>
        </w:tc>
        <w:tc>
          <w:tcPr>
            <w:tcW w:w="5300" w:type="dxa"/>
            <w:noWrap w:val="0"/>
            <w:vAlign w:val="center"/>
          </w:tcPr>
          <w:p w14:paraId="113BAA52">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支持多层 VLAN、VXLAN、MPLS、GRE等网络流量的解析检测。</w:t>
            </w:r>
          </w:p>
        </w:tc>
        <w:tc>
          <w:tcPr>
            <w:tcW w:w="1222" w:type="dxa"/>
            <w:noWrap w:val="0"/>
            <w:vAlign w:val="center"/>
          </w:tcPr>
          <w:p w14:paraId="6F16588D">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r w14:paraId="6D39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1C870764">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0CE5F4D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845" w:type="dxa"/>
            <w:noWrap w:val="0"/>
            <w:vAlign w:val="center"/>
          </w:tcPr>
          <w:p w14:paraId="2E3E5B4F">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网络协议识别</w:t>
            </w:r>
          </w:p>
        </w:tc>
        <w:tc>
          <w:tcPr>
            <w:tcW w:w="5300" w:type="dxa"/>
            <w:noWrap w:val="0"/>
            <w:vAlign w:val="center"/>
          </w:tcPr>
          <w:p w14:paraId="2EDEC1D7">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常见协议识别并还原网络流量，用于取证分析、威胁发现，支持：tcp、udp、icmp、http、dns、dhcp、smtp、pop3、imap、webmail、db2、oracle、mysql、mssql-db、sctp、sybase、smb、sip、ftp、snmp、telnet、nfs、ssl、ssh、ldap、radius、kerberos、netbios、ntp、vnc、ipv6、tidb、kingbase、mqtt等。</w:t>
            </w:r>
          </w:p>
        </w:tc>
        <w:tc>
          <w:tcPr>
            <w:tcW w:w="1222" w:type="dxa"/>
            <w:noWrap w:val="0"/>
            <w:vAlign w:val="center"/>
          </w:tcPr>
          <w:p w14:paraId="00C3E727">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EF1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030EA1A7">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5511417E">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845" w:type="dxa"/>
            <w:noWrap w:val="0"/>
            <w:vAlign w:val="center"/>
          </w:tcPr>
          <w:p w14:paraId="41DF6A0F">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日志外发</w:t>
            </w:r>
          </w:p>
        </w:tc>
        <w:tc>
          <w:tcPr>
            <w:tcW w:w="5300" w:type="dxa"/>
            <w:noWrap w:val="0"/>
            <w:vAlign w:val="center"/>
          </w:tcPr>
          <w:p w14:paraId="5A10AA57">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配置网络日志外发的标准模式、精简模式、自定义模式，支持外发的网络日志的类型包括：TCP流量、UDP流量、异常流量、SSL加密协商、登录行为、域名解析、文件传输、FTP控制通道、LDAP行为、web访问、邮件行为、数据库操作、telnet命令、旁路阻断、MQ流量、Radius行为、Kerberos行为、ICMP流量、syn流量、DHCP解析等不少于20种网络日志。每种网络日志，都支持自定义配置外发的字段。</w:t>
            </w:r>
          </w:p>
        </w:tc>
        <w:tc>
          <w:tcPr>
            <w:tcW w:w="1222" w:type="dxa"/>
            <w:noWrap w:val="0"/>
            <w:vAlign w:val="center"/>
          </w:tcPr>
          <w:p w14:paraId="05ADF86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7B0E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56CA7778">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6140C52D">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845" w:type="dxa"/>
            <w:noWrap w:val="0"/>
            <w:vAlign w:val="center"/>
          </w:tcPr>
          <w:p w14:paraId="34BE3953">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敏感信息识别</w:t>
            </w:r>
          </w:p>
        </w:tc>
        <w:tc>
          <w:tcPr>
            <w:tcW w:w="5300" w:type="dxa"/>
            <w:noWrap w:val="0"/>
            <w:vAlign w:val="center"/>
          </w:tcPr>
          <w:p w14:paraId="484998F3">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支持根据正则/机器学习来判断告警详情是否包含身份证号、用户名、密码等敏感信息，敏感信息加密展示。</w:t>
            </w:r>
          </w:p>
        </w:tc>
        <w:tc>
          <w:tcPr>
            <w:tcW w:w="1222" w:type="dxa"/>
            <w:noWrap w:val="0"/>
            <w:vAlign w:val="center"/>
          </w:tcPr>
          <w:p w14:paraId="3EF7E40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6839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5AA68330">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509345DF">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845" w:type="dxa"/>
            <w:noWrap w:val="0"/>
            <w:vAlign w:val="center"/>
          </w:tcPr>
          <w:p w14:paraId="5199D002">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威胁情报</w:t>
            </w:r>
          </w:p>
        </w:tc>
        <w:tc>
          <w:tcPr>
            <w:tcW w:w="5300" w:type="dxa"/>
            <w:noWrap w:val="0"/>
            <w:vAlign w:val="center"/>
          </w:tcPr>
          <w:p w14:paraId="703C363B">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支持自定义威胁情报</w:t>
            </w:r>
          </w:p>
        </w:tc>
        <w:tc>
          <w:tcPr>
            <w:tcW w:w="1222" w:type="dxa"/>
            <w:noWrap w:val="0"/>
            <w:vAlign w:val="center"/>
          </w:tcPr>
          <w:p w14:paraId="3DC5ECC1">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0C4C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011961E1">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06DF62DA">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845" w:type="dxa"/>
            <w:noWrap w:val="0"/>
            <w:vAlign w:val="center"/>
          </w:tcPr>
          <w:p w14:paraId="75D49A9F">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规则编写</w:t>
            </w:r>
          </w:p>
        </w:tc>
        <w:tc>
          <w:tcPr>
            <w:tcW w:w="5300" w:type="dxa"/>
            <w:noWrap w:val="0"/>
            <w:vAlign w:val="center"/>
          </w:tcPr>
          <w:p w14:paraId="505FA260">
            <w:pPr>
              <w:pageBreakBefore w:val="0"/>
              <w:widowControl/>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系统内置规则可进行编辑，支持自定义威胁类型、威胁等级、攻击结果。</w:t>
            </w:r>
          </w:p>
        </w:tc>
        <w:tc>
          <w:tcPr>
            <w:tcW w:w="1222" w:type="dxa"/>
            <w:noWrap w:val="0"/>
            <w:vAlign w:val="center"/>
          </w:tcPr>
          <w:p w14:paraId="4808ACB4">
            <w:pPr>
              <w:pageBreakBefore w:val="0"/>
              <w:widowControl/>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5A0B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 w:type="dxa"/>
            <w:noWrap w:val="0"/>
            <w:vAlign w:val="center"/>
          </w:tcPr>
          <w:p w14:paraId="015B9F28">
            <w:pPr>
              <w:pageBreakBefore w:val="0"/>
              <w:widowControl/>
              <w:numPr>
                <w:ilvl w:val="0"/>
                <w:numId w:val="10"/>
              </w:numPr>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p>
        </w:tc>
        <w:tc>
          <w:tcPr>
            <w:tcW w:w="655" w:type="dxa"/>
            <w:noWrap w:val="0"/>
            <w:vAlign w:val="center"/>
          </w:tcPr>
          <w:p w14:paraId="25A21735">
            <w:pPr>
              <w:pageBreakBefore w:val="0"/>
              <w:widowControl/>
              <w:kinsoku/>
              <w:wordWrap/>
              <w:overflowPunct/>
              <w:topLinePunct w:val="0"/>
              <w:autoSpaceDE/>
              <w:autoSpaceDN/>
              <w:bidi w:val="0"/>
              <w:adjustRightInd w:val="0"/>
              <w:snapToGrid w:val="0"/>
              <w:spacing w:line="360" w:lineRule="auto"/>
              <w:ind w:left="0" w:leftChars="0" w:right="0" w:rightChars="0" w:firstLine="0" w:firstLineChars="0"/>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w:t>
            </w:r>
          </w:p>
        </w:tc>
        <w:tc>
          <w:tcPr>
            <w:tcW w:w="845" w:type="dxa"/>
            <w:noWrap w:val="0"/>
            <w:vAlign w:val="center"/>
          </w:tcPr>
          <w:p w14:paraId="1FBB3FE9">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资质要求</w:t>
            </w:r>
          </w:p>
        </w:tc>
        <w:tc>
          <w:tcPr>
            <w:tcW w:w="5300" w:type="dxa"/>
            <w:noWrap w:val="0"/>
            <w:vAlign w:val="center"/>
          </w:tcPr>
          <w:p w14:paraId="63890034">
            <w:pPr>
              <w:pageBreakBefore w:val="0"/>
              <w:kinsoku/>
              <w:wordWrap/>
              <w:overflowPunct/>
              <w:topLinePunct w:val="0"/>
              <w:autoSpaceDE/>
              <w:autoSpaceDN/>
              <w:bidi w:val="0"/>
              <w:snapToGrid w:val="0"/>
              <w:spacing w:line="360" w:lineRule="auto"/>
              <w:ind w:left="0" w:leftChars="0" w:right="0" w:rightChars="0" w:firstLine="0" w:firstLineChars="0"/>
              <w:jc w:val="left"/>
              <w:rPr>
                <w:rFonts w:hint="eastAsia" w:ascii="仿宋" w:hAnsi="仿宋" w:eastAsia="仿宋" w:cs="仿宋"/>
                <w:color w:val="auto"/>
                <w:sz w:val="21"/>
                <w:szCs w:val="21"/>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222" w:type="dxa"/>
            <w:noWrap w:val="0"/>
            <w:vAlign w:val="center"/>
          </w:tcPr>
          <w:p w14:paraId="466EDB88">
            <w:pPr>
              <w:pageBreakBefore w:val="0"/>
              <w:kinsoku/>
              <w:wordWrap/>
              <w:overflowPunct/>
              <w:topLinePunct w:val="0"/>
              <w:autoSpaceDE/>
              <w:autoSpaceDN/>
              <w:bidi w:val="0"/>
              <w:snapToGrid w:val="0"/>
              <w:spacing w:line="360" w:lineRule="auto"/>
              <w:ind w:left="0" w:leftChars="0" w:right="0" w:rightChars="0" w:firstLine="0" w:firstLineChars="0"/>
              <w:jc w:val="center"/>
              <w:rPr>
                <w:rFonts w:hint="eastAsia" w:ascii="仿宋" w:hAnsi="仿宋" w:eastAsia="仿宋" w:cs="仿宋"/>
                <w:color w:val="auto"/>
                <w:sz w:val="21"/>
                <w:szCs w:val="21"/>
              </w:rPr>
            </w:pPr>
            <w:r>
              <w:rPr>
                <w:rFonts w:hint="eastAsia" w:ascii="仿宋" w:hAnsi="仿宋" w:eastAsia="仿宋" w:cs="仿宋"/>
                <w:color w:val="auto"/>
                <w:sz w:val="21"/>
                <w:szCs w:val="21"/>
              </w:rPr>
              <w:t>是</w:t>
            </w:r>
          </w:p>
        </w:tc>
      </w:tr>
    </w:tbl>
    <w:p w14:paraId="71EA80D5">
      <w:pPr>
        <w:pStyle w:val="3"/>
        <w:pageBreakBefore w:val="0"/>
        <w:numPr>
          <w:ilvl w:val="0"/>
          <w:numId w:val="0"/>
        </w:numPr>
        <w:kinsoku/>
        <w:wordWrap/>
        <w:overflowPunct/>
        <w:topLinePunct w:val="0"/>
        <w:autoSpaceDE/>
        <w:autoSpaceDN/>
        <w:bidi w:val="0"/>
        <w:spacing w:before="0" w:after="0" w:line="360" w:lineRule="auto"/>
        <w:jc w:val="left"/>
        <w:rPr>
          <w:rFonts w:hint="eastAsia" w:ascii="仿宋" w:hAnsi="仿宋" w:eastAsia="仿宋" w:cs="仿宋"/>
          <w:color w:val="auto"/>
          <w:sz w:val="21"/>
          <w:szCs w:val="21"/>
        </w:rPr>
      </w:pPr>
      <w:r>
        <w:rPr>
          <w:rFonts w:hint="eastAsia" w:ascii="仿宋" w:hAnsi="仿宋" w:eastAsia="仿宋" w:cs="仿宋"/>
          <w:color w:val="auto"/>
          <w:sz w:val="21"/>
          <w:szCs w:val="21"/>
        </w:rPr>
        <w:t>15</w:t>
      </w:r>
      <w:r>
        <w:rPr>
          <w:rFonts w:hint="eastAsia" w:ascii="仿宋" w:hAnsi="仿宋" w:eastAsia="仿宋" w:cs="仿宋"/>
          <w:color w:val="auto"/>
          <w:sz w:val="21"/>
          <w:szCs w:val="21"/>
          <w:lang w:val="en-US" w:eastAsia="zh-CN"/>
        </w:rPr>
        <w:t>.</w:t>
      </w:r>
      <w:r>
        <w:rPr>
          <w:rFonts w:hint="eastAsia" w:ascii="仿宋" w:hAnsi="仿宋" w:eastAsia="仿宋" w:cs="仿宋"/>
          <w:color w:val="auto"/>
          <w:sz w:val="21"/>
          <w:szCs w:val="21"/>
        </w:rPr>
        <w:t>负载均衡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617"/>
        <w:gridCol w:w="695"/>
        <w:gridCol w:w="5460"/>
        <w:gridCol w:w="1252"/>
      </w:tblGrid>
      <w:tr w14:paraId="551A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498" w:type="dxa"/>
            <w:noWrap w:val="0"/>
            <w:vAlign w:val="center"/>
          </w:tcPr>
          <w:p w14:paraId="56D82098">
            <w:pPr>
              <w:pageBreakBefore w:val="0"/>
              <w:kinsoku/>
              <w:wordWrap/>
              <w:overflowPunct/>
              <w:topLinePunct w:val="0"/>
              <w:autoSpaceDE/>
              <w:autoSpaceDN/>
              <w:bidi w:val="0"/>
              <w:adjustRightInd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序号</w:t>
            </w:r>
          </w:p>
        </w:tc>
        <w:tc>
          <w:tcPr>
            <w:tcW w:w="617" w:type="dxa"/>
            <w:noWrap w:val="0"/>
            <w:vAlign w:val="center"/>
          </w:tcPr>
          <w:p w14:paraId="65FF8F75">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重要性</w:t>
            </w:r>
          </w:p>
        </w:tc>
        <w:tc>
          <w:tcPr>
            <w:tcW w:w="695" w:type="dxa"/>
            <w:noWrap w:val="0"/>
            <w:vAlign w:val="center"/>
          </w:tcPr>
          <w:p w14:paraId="228DF37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指标项</w:t>
            </w:r>
          </w:p>
        </w:tc>
        <w:tc>
          <w:tcPr>
            <w:tcW w:w="5460" w:type="dxa"/>
            <w:noWrap w:val="0"/>
            <w:vAlign w:val="center"/>
          </w:tcPr>
          <w:p w14:paraId="0D7848D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b/>
                <w:color w:val="auto"/>
                <w:sz w:val="21"/>
                <w:szCs w:val="21"/>
              </w:rPr>
              <w:t>指标要求</w:t>
            </w:r>
          </w:p>
        </w:tc>
        <w:tc>
          <w:tcPr>
            <w:tcW w:w="1252" w:type="dxa"/>
            <w:noWrap w:val="0"/>
            <w:vAlign w:val="center"/>
          </w:tcPr>
          <w:p w14:paraId="0EE0D4E0">
            <w:pPr>
              <w:pageBreakBefore w:val="0"/>
              <w:kinsoku/>
              <w:wordWrap/>
              <w:overflowPunct/>
              <w:topLinePunct w:val="0"/>
              <w:autoSpaceDE/>
              <w:autoSpaceDN/>
              <w:bidi w:val="0"/>
              <w:snapToGrid w:val="0"/>
              <w:spacing w:line="360" w:lineRule="auto"/>
              <w:jc w:val="center"/>
              <w:rPr>
                <w:rFonts w:hint="eastAsia" w:ascii="仿宋" w:hAnsi="仿宋" w:eastAsia="仿宋" w:cs="仿宋"/>
                <w:b/>
                <w:color w:val="auto"/>
                <w:sz w:val="21"/>
                <w:szCs w:val="21"/>
              </w:rPr>
            </w:pPr>
            <w:r>
              <w:rPr>
                <w:rFonts w:hint="eastAsia" w:ascii="仿宋" w:hAnsi="仿宋" w:eastAsia="仿宋" w:cs="仿宋"/>
                <w:b/>
                <w:bCs/>
                <w:color w:val="auto"/>
                <w:sz w:val="21"/>
                <w:szCs w:val="21"/>
              </w:rPr>
              <w:t>是否提供证明材料</w:t>
            </w:r>
          </w:p>
        </w:tc>
      </w:tr>
      <w:tr w14:paraId="0A9C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98" w:type="dxa"/>
            <w:noWrap w:val="0"/>
            <w:vAlign w:val="center"/>
          </w:tcPr>
          <w:p w14:paraId="104486D8">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6E354C3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695" w:type="dxa"/>
            <w:noWrap w:val="0"/>
            <w:vAlign w:val="center"/>
          </w:tcPr>
          <w:p w14:paraId="7B7C06F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基本要求</w:t>
            </w:r>
          </w:p>
        </w:tc>
        <w:tc>
          <w:tcPr>
            <w:tcW w:w="5460" w:type="dxa"/>
            <w:noWrap w:val="0"/>
            <w:vAlign w:val="center"/>
          </w:tcPr>
          <w:p w14:paraId="5EE04660">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bCs/>
                <w:color w:val="auto"/>
                <w:sz w:val="21"/>
                <w:szCs w:val="21"/>
              </w:rPr>
              <w:t>标准机架式设备</w:t>
            </w:r>
            <w:r>
              <w:rPr>
                <w:rFonts w:hint="eastAsia" w:ascii="仿宋" w:hAnsi="仿宋" w:eastAsia="仿宋" w:cs="仿宋"/>
                <w:bCs/>
                <w:color w:val="auto"/>
                <w:sz w:val="21"/>
                <w:szCs w:val="21"/>
                <w:lang w:eastAsia="zh-CN"/>
              </w:rPr>
              <w:t>，</w:t>
            </w:r>
            <w:r>
              <w:rPr>
                <w:rFonts w:hint="eastAsia" w:ascii="仿宋" w:hAnsi="仿宋" w:eastAsia="仿宋" w:cs="仿宋"/>
                <w:color w:val="auto"/>
                <w:sz w:val="21"/>
                <w:szCs w:val="21"/>
              </w:rPr>
              <w:t>实配千兆电口≥6个，</w:t>
            </w:r>
            <w:r>
              <w:rPr>
                <w:rFonts w:hint="eastAsia" w:ascii="仿宋" w:hAnsi="仿宋" w:eastAsia="仿宋" w:cs="仿宋"/>
                <w:color w:val="auto"/>
                <w:sz w:val="21"/>
                <w:szCs w:val="21"/>
                <w:lang w:eastAsia="zh-CN"/>
              </w:rPr>
              <w:t>万兆光口≥</w:t>
            </w:r>
            <w:r>
              <w:rPr>
                <w:rFonts w:hint="eastAsia" w:ascii="仿宋" w:hAnsi="仿宋" w:eastAsia="仿宋" w:cs="仿宋"/>
                <w:color w:val="auto"/>
                <w:sz w:val="21"/>
                <w:szCs w:val="21"/>
                <w:lang w:val="en-US" w:eastAsia="zh-CN"/>
              </w:rPr>
              <w:t>4个（满配光模块），</w:t>
            </w:r>
            <w:r>
              <w:rPr>
                <w:rFonts w:hint="eastAsia" w:ascii="仿宋" w:hAnsi="仿宋" w:eastAsia="仿宋" w:cs="仿宋"/>
                <w:color w:val="auto"/>
                <w:sz w:val="21"/>
                <w:szCs w:val="21"/>
              </w:rPr>
              <w:t>冗余电源。</w:t>
            </w:r>
            <w:r>
              <w:rPr>
                <w:rFonts w:hint="eastAsia" w:ascii="仿宋" w:hAnsi="仿宋" w:eastAsia="仿宋" w:cs="仿宋"/>
                <w:bCs/>
                <w:color w:val="auto"/>
                <w:sz w:val="21"/>
                <w:szCs w:val="21"/>
              </w:rPr>
              <w:t>四层吞吐量≥20Gbps，四层发连接数≥</w:t>
            </w:r>
            <w:r>
              <w:rPr>
                <w:rFonts w:hint="eastAsia" w:ascii="仿宋" w:hAnsi="仿宋" w:eastAsia="仿宋" w:cs="仿宋"/>
                <w:bCs/>
                <w:color w:val="auto"/>
                <w:sz w:val="21"/>
                <w:szCs w:val="21"/>
                <w:lang w:val="en-US" w:eastAsia="zh-CN"/>
              </w:rPr>
              <w:t>8</w:t>
            </w:r>
            <w:r>
              <w:rPr>
                <w:rFonts w:hint="eastAsia" w:ascii="仿宋" w:hAnsi="仿宋" w:eastAsia="仿宋" w:cs="仿宋"/>
                <w:bCs/>
                <w:color w:val="auto"/>
                <w:sz w:val="21"/>
                <w:szCs w:val="21"/>
              </w:rPr>
              <w:t>00万，</w:t>
            </w:r>
            <w:r>
              <w:rPr>
                <w:rFonts w:hint="eastAsia" w:ascii="仿宋" w:hAnsi="仿宋" w:eastAsia="仿宋" w:cs="仿宋"/>
                <w:bCs/>
                <w:color w:val="auto"/>
                <w:sz w:val="21"/>
                <w:szCs w:val="21"/>
                <w:lang w:eastAsia="zh-CN"/>
              </w:rPr>
              <w:t>四</w:t>
            </w:r>
            <w:r>
              <w:rPr>
                <w:rFonts w:hint="eastAsia" w:ascii="仿宋" w:hAnsi="仿宋" w:eastAsia="仿宋" w:cs="仿宋"/>
                <w:bCs/>
                <w:color w:val="auto"/>
                <w:sz w:val="21"/>
                <w:szCs w:val="21"/>
              </w:rPr>
              <w:t>层新建连接数≥</w:t>
            </w:r>
            <w:r>
              <w:rPr>
                <w:rFonts w:hint="eastAsia" w:ascii="仿宋" w:hAnsi="仿宋" w:eastAsia="仿宋" w:cs="仿宋"/>
                <w:bCs/>
                <w:color w:val="auto"/>
                <w:sz w:val="21"/>
                <w:szCs w:val="21"/>
                <w:lang w:val="en-US" w:eastAsia="zh-CN"/>
              </w:rPr>
              <w:t>21</w:t>
            </w:r>
            <w:r>
              <w:rPr>
                <w:rFonts w:hint="eastAsia" w:ascii="仿宋" w:hAnsi="仿宋" w:eastAsia="仿宋" w:cs="仿宋"/>
                <w:bCs/>
                <w:color w:val="auto"/>
                <w:sz w:val="21"/>
                <w:szCs w:val="21"/>
              </w:rPr>
              <w:t>万，</w:t>
            </w:r>
            <w:r>
              <w:rPr>
                <w:rFonts w:hint="eastAsia" w:ascii="仿宋" w:hAnsi="仿宋" w:eastAsia="仿宋" w:cs="仿宋"/>
                <w:bCs/>
                <w:color w:val="auto"/>
                <w:sz w:val="21"/>
                <w:szCs w:val="21"/>
                <w:lang w:eastAsia="zh-CN"/>
              </w:rPr>
              <w:t>七</w:t>
            </w:r>
            <w:r>
              <w:rPr>
                <w:rFonts w:hint="eastAsia" w:ascii="仿宋" w:hAnsi="仿宋" w:eastAsia="仿宋" w:cs="仿宋"/>
                <w:bCs/>
                <w:color w:val="auto"/>
                <w:sz w:val="21"/>
                <w:szCs w:val="21"/>
              </w:rPr>
              <w:t>层并发连接数≥</w:t>
            </w:r>
            <w:r>
              <w:rPr>
                <w:rFonts w:hint="eastAsia" w:ascii="仿宋" w:hAnsi="仿宋" w:eastAsia="仿宋" w:cs="仿宋"/>
                <w:bCs/>
                <w:color w:val="auto"/>
                <w:sz w:val="21"/>
                <w:szCs w:val="21"/>
                <w:lang w:val="en-US" w:eastAsia="zh-CN"/>
              </w:rPr>
              <w:t>1</w:t>
            </w:r>
            <w:r>
              <w:rPr>
                <w:rFonts w:hint="eastAsia" w:ascii="仿宋" w:hAnsi="仿宋" w:eastAsia="仿宋" w:cs="仿宋"/>
                <w:bCs/>
                <w:color w:val="auto"/>
                <w:sz w:val="21"/>
                <w:szCs w:val="21"/>
              </w:rPr>
              <w:t>00万，</w:t>
            </w:r>
            <w:r>
              <w:rPr>
                <w:rFonts w:hint="eastAsia" w:ascii="仿宋" w:hAnsi="仿宋" w:eastAsia="仿宋" w:cs="仿宋"/>
                <w:bCs/>
                <w:color w:val="auto"/>
                <w:sz w:val="21"/>
                <w:szCs w:val="21"/>
                <w:lang w:eastAsia="zh-CN"/>
              </w:rPr>
              <w:t>七</w:t>
            </w:r>
            <w:r>
              <w:rPr>
                <w:rFonts w:hint="eastAsia" w:ascii="仿宋" w:hAnsi="仿宋" w:eastAsia="仿宋" w:cs="仿宋"/>
                <w:bCs/>
                <w:color w:val="auto"/>
                <w:sz w:val="21"/>
                <w:szCs w:val="21"/>
              </w:rPr>
              <w:t>层新建请求数≥</w:t>
            </w:r>
            <w:r>
              <w:rPr>
                <w:rFonts w:hint="eastAsia" w:ascii="仿宋" w:hAnsi="仿宋" w:eastAsia="仿宋" w:cs="仿宋"/>
                <w:bCs/>
                <w:color w:val="auto"/>
                <w:sz w:val="21"/>
                <w:szCs w:val="21"/>
                <w:lang w:val="en-US" w:eastAsia="zh-CN"/>
              </w:rPr>
              <w:t>35</w:t>
            </w:r>
            <w:r>
              <w:rPr>
                <w:rFonts w:hint="eastAsia" w:ascii="仿宋" w:hAnsi="仿宋" w:eastAsia="仿宋" w:cs="仿宋"/>
                <w:bCs/>
                <w:color w:val="auto"/>
                <w:sz w:val="21"/>
                <w:szCs w:val="21"/>
              </w:rPr>
              <w:t>万，配置冗余电源。</w:t>
            </w:r>
          </w:p>
        </w:tc>
        <w:tc>
          <w:tcPr>
            <w:tcW w:w="1252" w:type="dxa"/>
            <w:noWrap w:val="0"/>
            <w:vAlign w:val="center"/>
          </w:tcPr>
          <w:p w14:paraId="314E474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4F2D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12801D7F">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04CC2D2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54E1CE60">
            <w:pPr>
              <w:pageBreakBefore w:val="0"/>
              <w:kinsoku/>
              <w:wordWrap/>
              <w:overflowPunct/>
              <w:topLinePunct w:val="0"/>
              <w:autoSpaceDE/>
              <w:autoSpaceDN/>
              <w:bidi w:val="0"/>
              <w:spacing w:line="360"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设备部署</w:t>
            </w:r>
          </w:p>
        </w:tc>
        <w:tc>
          <w:tcPr>
            <w:tcW w:w="5460" w:type="dxa"/>
            <w:noWrap w:val="0"/>
            <w:vAlign w:val="top"/>
          </w:tcPr>
          <w:p w14:paraId="48B1A5E1">
            <w:pPr>
              <w:pageBreakBefore w:val="0"/>
              <w:kinsoku/>
              <w:wordWrap/>
              <w:overflowPunct/>
              <w:topLinePunct w:val="0"/>
              <w:autoSpaceDE/>
              <w:autoSpaceDN/>
              <w:bidi w:val="0"/>
              <w:spacing w:line="360" w:lineRule="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支持串接部署方式和旁路部署方式，支持三角传输模式。</w:t>
            </w:r>
          </w:p>
        </w:tc>
        <w:tc>
          <w:tcPr>
            <w:tcW w:w="1252" w:type="dxa"/>
            <w:noWrap w:val="0"/>
            <w:vAlign w:val="center"/>
          </w:tcPr>
          <w:p w14:paraId="7FC3E17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17DA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39E9A33D">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2231164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07E1F78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多出口均衡</w:t>
            </w:r>
          </w:p>
        </w:tc>
        <w:tc>
          <w:tcPr>
            <w:tcW w:w="5460" w:type="dxa"/>
            <w:noWrap w:val="0"/>
            <w:vAlign w:val="center"/>
          </w:tcPr>
          <w:p w14:paraId="703730B7">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提供针对多条出口线路的链路负载均衡功能，实现inbound和outbound流量的均衡调度，以及链路之间的冗余互备。</w:t>
            </w:r>
          </w:p>
        </w:tc>
        <w:tc>
          <w:tcPr>
            <w:tcW w:w="1252" w:type="dxa"/>
            <w:noWrap w:val="0"/>
            <w:vAlign w:val="center"/>
          </w:tcPr>
          <w:p w14:paraId="700B176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505C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647C3F5D">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446CC47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76DBB0A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多功能兼容</w:t>
            </w:r>
          </w:p>
        </w:tc>
        <w:tc>
          <w:tcPr>
            <w:tcW w:w="5460" w:type="dxa"/>
            <w:noWrap w:val="0"/>
            <w:vAlign w:val="center"/>
          </w:tcPr>
          <w:p w14:paraId="00F627A9">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单一设备可同时支持包括链路负载均衡、全局负载均衡、服务器负载均衡的功能。以上功能同时处于激活可使用状态，无需额外购买相应授权。</w:t>
            </w:r>
          </w:p>
        </w:tc>
        <w:tc>
          <w:tcPr>
            <w:tcW w:w="1252" w:type="dxa"/>
            <w:noWrap w:val="0"/>
            <w:vAlign w:val="center"/>
          </w:tcPr>
          <w:p w14:paraId="4518369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3B31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6EA12C2C">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0ABFCEC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5" w:type="dxa"/>
            <w:noWrap w:val="0"/>
            <w:vAlign w:val="center"/>
          </w:tcPr>
          <w:p w14:paraId="1EC7387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负载均衡算法</w:t>
            </w:r>
          </w:p>
        </w:tc>
        <w:tc>
          <w:tcPr>
            <w:tcW w:w="5460" w:type="dxa"/>
            <w:noWrap w:val="0"/>
            <w:vAlign w:val="center"/>
          </w:tcPr>
          <w:p w14:paraId="28C6FB2F">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轮询、加权轮询、按主机加权轮询、加权最小连接、按主机加权最小连接、动态反馈、最快响应时间、加权最小流量、最小流量、最少连接、主机-最小流量、主机-最少连接调度、动态反馈、按主机加权最小流量、源IP源端口哈希、源IP哈希、URI哈希和HOST哈希等。</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2" w:type="dxa"/>
            <w:noWrap w:val="0"/>
            <w:vAlign w:val="center"/>
          </w:tcPr>
          <w:p w14:paraId="58457EF8">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6D57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719BF6E3">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5852AA3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4F8A308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线路接入</w:t>
            </w:r>
          </w:p>
        </w:tc>
        <w:tc>
          <w:tcPr>
            <w:tcW w:w="5460" w:type="dxa"/>
            <w:noWrap w:val="0"/>
            <w:vAlign w:val="center"/>
          </w:tcPr>
          <w:p w14:paraId="592D65D0">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支持静态IP和PPPOE两种线路接入方式。</w:t>
            </w:r>
          </w:p>
        </w:tc>
        <w:tc>
          <w:tcPr>
            <w:tcW w:w="1252" w:type="dxa"/>
            <w:noWrap w:val="0"/>
            <w:vAlign w:val="center"/>
          </w:tcPr>
          <w:p w14:paraId="3831FBC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2BF3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3653BD39">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23D1750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5" w:type="dxa"/>
            <w:noWrap w:val="0"/>
            <w:vAlign w:val="center"/>
          </w:tcPr>
          <w:p w14:paraId="3DDC4FD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繁忙保护</w:t>
            </w:r>
          </w:p>
        </w:tc>
        <w:tc>
          <w:tcPr>
            <w:tcW w:w="5460" w:type="dxa"/>
            <w:noWrap w:val="0"/>
            <w:vAlign w:val="center"/>
          </w:tcPr>
          <w:p w14:paraId="2A415FC1">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支持基于链路负荷情况的繁忙保护机制，能根据链路的上行/下行带宽占用率情况执行对出站/入站流量的高级调度策略。</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2" w:type="dxa"/>
            <w:noWrap w:val="0"/>
            <w:vAlign w:val="center"/>
          </w:tcPr>
          <w:p w14:paraId="10589B6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16B3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39837B64">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286FB6C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5" w:type="dxa"/>
            <w:noWrap w:val="0"/>
            <w:vAlign w:val="center"/>
          </w:tcPr>
          <w:p w14:paraId="0546EF6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链路负载</w:t>
            </w:r>
          </w:p>
        </w:tc>
        <w:tc>
          <w:tcPr>
            <w:tcW w:w="5460" w:type="dxa"/>
            <w:noWrap w:val="0"/>
            <w:vAlign w:val="center"/>
          </w:tcPr>
          <w:p w14:paraId="5A556726">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内置完备的IP地址库，无需手动导入并支持自动全网更新，可查看并编辑国内各省份的IP地址段、国内各大运营商IP地址段和国外各个国家IP地址段，并可灵活匹配IP地址库进行流量调度分发，实现链路负载功能。</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2" w:type="dxa"/>
            <w:noWrap w:val="0"/>
            <w:vAlign w:val="center"/>
          </w:tcPr>
          <w:p w14:paraId="54B1C58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6B39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0EDECE83">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4951713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167D2A5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流量调度</w:t>
            </w:r>
          </w:p>
        </w:tc>
        <w:tc>
          <w:tcPr>
            <w:tcW w:w="5460" w:type="dxa"/>
            <w:noWrap w:val="0"/>
            <w:vAlign w:val="center"/>
          </w:tcPr>
          <w:p w14:paraId="2E0E0C2D">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支持基于五元组条件（源IP地址，源端口，目的IP地址，目的端口，传输层协议号）来进行出站访问的流量调度分发。</w:t>
            </w:r>
          </w:p>
        </w:tc>
        <w:tc>
          <w:tcPr>
            <w:tcW w:w="1252" w:type="dxa"/>
            <w:noWrap w:val="0"/>
            <w:vAlign w:val="center"/>
          </w:tcPr>
          <w:p w14:paraId="75460129">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26C8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49FCABC4">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5B89298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5" w:type="dxa"/>
            <w:noWrap w:val="0"/>
            <w:vAlign w:val="center"/>
          </w:tcPr>
          <w:p w14:paraId="0942520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链路调度</w:t>
            </w:r>
          </w:p>
        </w:tc>
        <w:tc>
          <w:tcPr>
            <w:tcW w:w="5460" w:type="dxa"/>
            <w:noWrap w:val="0"/>
            <w:vAlign w:val="center"/>
          </w:tcPr>
          <w:p w14:paraId="3ED8A06C">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支持基于URL的链路调度功能，内置不少于10万条的国外URL网址库，无需手动导入并支持自动更新，管理员可查看。可根据URL将访问国外网站的请求调度到指定线路。</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2" w:type="dxa"/>
            <w:noWrap w:val="0"/>
            <w:vAlign w:val="center"/>
          </w:tcPr>
          <w:p w14:paraId="697FE18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4145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26646E16">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sz w:val="21"/>
                <w:szCs w:val="21"/>
              </w:rPr>
            </w:pPr>
          </w:p>
        </w:tc>
        <w:tc>
          <w:tcPr>
            <w:tcW w:w="617" w:type="dxa"/>
            <w:noWrap w:val="0"/>
            <w:vAlign w:val="center"/>
          </w:tcPr>
          <w:p w14:paraId="54C265B5">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60086ED7">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eastAsia="zh-CN"/>
              </w:rPr>
              <w:t>内网</w:t>
            </w:r>
            <w:r>
              <w:rPr>
                <w:rFonts w:hint="eastAsia" w:ascii="仿宋" w:hAnsi="仿宋" w:eastAsia="仿宋" w:cs="仿宋"/>
                <w:color w:val="auto"/>
                <w:sz w:val="21"/>
                <w:szCs w:val="21"/>
                <w:lang w:val="en-US" w:eastAsia="zh-CN"/>
              </w:rPr>
              <w:t>DNS</w:t>
            </w:r>
          </w:p>
        </w:tc>
        <w:tc>
          <w:tcPr>
            <w:tcW w:w="5460" w:type="dxa"/>
            <w:noWrap w:val="0"/>
            <w:vAlign w:val="center"/>
          </w:tcPr>
          <w:p w14:paraId="049FBF33">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支持DNS内网记录，包含A、AAAA、CNAME、MX和TXT等类型，可识别内网用户并对其DNS请求直接返回相应结果；支持智能DNS解析功能，实现外网用户访问内网业务系统的最优路径选择。</w:t>
            </w:r>
          </w:p>
        </w:tc>
        <w:tc>
          <w:tcPr>
            <w:tcW w:w="1252" w:type="dxa"/>
            <w:noWrap w:val="0"/>
            <w:vAlign w:val="center"/>
          </w:tcPr>
          <w:p w14:paraId="7B384E5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193C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5483A7C5">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29E69E9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5" w:type="dxa"/>
            <w:noWrap w:val="0"/>
            <w:vAlign w:val="center"/>
          </w:tcPr>
          <w:p w14:paraId="5302A460">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DNS透明</w:t>
            </w:r>
          </w:p>
        </w:tc>
        <w:tc>
          <w:tcPr>
            <w:tcW w:w="5460" w:type="dxa"/>
            <w:noWrap w:val="0"/>
            <w:vAlign w:val="center"/>
          </w:tcPr>
          <w:p w14:paraId="41AD376D">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支持DNS透明代理功能，可基于负载均衡算法代理内网用户进行DNS请求转发，避免单运营商DNS解析出现单一链路流量过载，平衡多条运营商线路的带宽利用率。</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2" w:type="dxa"/>
            <w:noWrap w:val="0"/>
            <w:vAlign w:val="center"/>
          </w:tcPr>
          <w:p w14:paraId="091F788C">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76E9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7F4AD802">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47DEF38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3A2124F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多链路检测</w:t>
            </w:r>
          </w:p>
        </w:tc>
        <w:tc>
          <w:tcPr>
            <w:tcW w:w="5460" w:type="dxa"/>
            <w:noWrap w:val="0"/>
            <w:vAlign w:val="center"/>
          </w:tcPr>
          <w:p w14:paraId="325E8F85">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支持多种链路检测方法，能够通过PING和HTTP等方式监控链路的连通性，当某一条链路故障时，可将访问流量切换到其它链路，保障用户业务的持久通畅。</w:t>
            </w:r>
          </w:p>
        </w:tc>
        <w:tc>
          <w:tcPr>
            <w:tcW w:w="1252" w:type="dxa"/>
            <w:noWrap w:val="0"/>
            <w:vAlign w:val="center"/>
          </w:tcPr>
          <w:p w14:paraId="43F35B2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6D7A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1BDDF670">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033AF98B">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695" w:type="dxa"/>
            <w:noWrap w:val="0"/>
            <w:vAlign w:val="center"/>
          </w:tcPr>
          <w:p w14:paraId="1FDADB8E">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DNS缓存</w:t>
            </w:r>
          </w:p>
        </w:tc>
        <w:tc>
          <w:tcPr>
            <w:tcW w:w="5460" w:type="dxa"/>
            <w:noWrap w:val="0"/>
            <w:vAlign w:val="center"/>
          </w:tcPr>
          <w:p w14:paraId="71BB0D72">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支持DNS缓存，可配置全局缓存最小时间和最大时间，并可设置MSG缓存大小、RR缓存大小、密钥缓存大小、否定记录缓存大小和否定记录最大缓存时间。</w:t>
            </w:r>
            <w:r>
              <w:rPr>
                <w:rFonts w:hint="eastAsia" w:ascii="仿宋" w:hAnsi="仿宋" w:eastAsia="仿宋" w:cs="仿宋"/>
                <w:color w:val="auto"/>
                <w:kern w:val="0"/>
                <w:sz w:val="21"/>
                <w:szCs w:val="21"/>
              </w:rPr>
              <w:t>（需提供产品功能截图证明</w:t>
            </w:r>
            <w:r>
              <w:rPr>
                <w:rFonts w:hint="eastAsia" w:ascii="仿宋" w:hAnsi="仿宋" w:eastAsia="仿宋" w:cs="仿宋"/>
                <w:color w:val="auto"/>
                <w:kern w:val="0"/>
                <w:sz w:val="21"/>
                <w:szCs w:val="21"/>
                <w:lang w:eastAsia="zh-CN"/>
              </w:rPr>
              <w:t>，并加盖公章</w:t>
            </w:r>
            <w:r>
              <w:rPr>
                <w:rFonts w:hint="eastAsia" w:ascii="仿宋" w:hAnsi="仿宋" w:eastAsia="仿宋" w:cs="仿宋"/>
                <w:color w:val="auto"/>
                <w:kern w:val="0"/>
                <w:sz w:val="21"/>
                <w:szCs w:val="21"/>
              </w:rPr>
              <w:t>）</w:t>
            </w:r>
          </w:p>
        </w:tc>
        <w:tc>
          <w:tcPr>
            <w:tcW w:w="1252" w:type="dxa"/>
            <w:noWrap w:val="0"/>
            <w:vAlign w:val="center"/>
          </w:tcPr>
          <w:p w14:paraId="240D7792">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是</w:t>
            </w:r>
          </w:p>
        </w:tc>
      </w:tr>
      <w:tr w14:paraId="7E83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7B02B78F">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0EC4E011">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p>
        </w:tc>
        <w:tc>
          <w:tcPr>
            <w:tcW w:w="695" w:type="dxa"/>
            <w:noWrap w:val="0"/>
            <w:vAlign w:val="center"/>
          </w:tcPr>
          <w:p w14:paraId="303189FD">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eastAsia="zh-CN"/>
              </w:rPr>
              <w:t>主动健康检查</w:t>
            </w:r>
          </w:p>
        </w:tc>
        <w:tc>
          <w:tcPr>
            <w:tcW w:w="5460" w:type="dxa"/>
            <w:noWrap w:val="0"/>
            <w:vAlign w:val="center"/>
          </w:tcPr>
          <w:p w14:paraId="5D519442">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支持常见的主动式健康检查功能，提供基于SNMP、ICMP、SIP、ICMPv6、TCP、UDP、FTP、HTTP、DNS、RADIUS、HTTPS、LDAP、HTTP2、ORACLE、MSSQL、MYSQL数据库等多种类型的探测判断机制。</w:t>
            </w:r>
          </w:p>
        </w:tc>
        <w:tc>
          <w:tcPr>
            <w:tcW w:w="1252" w:type="dxa"/>
            <w:noWrap w:val="0"/>
            <w:vAlign w:val="center"/>
          </w:tcPr>
          <w:p w14:paraId="750203D6">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否</w:t>
            </w:r>
          </w:p>
        </w:tc>
      </w:tr>
      <w:tr w14:paraId="177C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498" w:type="dxa"/>
            <w:noWrap w:val="0"/>
            <w:vAlign w:val="center"/>
          </w:tcPr>
          <w:p w14:paraId="6F54ED80">
            <w:pPr>
              <w:pStyle w:val="8"/>
              <w:pageBreakBefore w:val="0"/>
              <w:numPr>
                <w:ilvl w:val="0"/>
                <w:numId w:val="11"/>
              </w:numPr>
              <w:kinsoku/>
              <w:wordWrap/>
              <w:overflowPunct/>
              <w:topLinePunct w:val="0"/>
              <w:autoSpaceDE/>
              <w:autoSpaceDN/>
              <w:bidi w:val="0"/>
              <w:adjustRightInd w:val="0"/>
              <w:snapToGrid w:val="0"/>
              <w:spacing w:line="360" w:lineRule="auto"/>
              <w:ind w:left="0" w:firstLine="0" w:firstLineChars="0"/>
              <w:jc w:val="center"/>
              <w:rPr>
                <w:rFonts w:hint="eastAsia" w:ascii="仿宋" w:hAnsi="仿宋" w:eastAsia="仿宋" w:cs="仿宋"/>
                <w:color w:val="auto"/>
                <w:kern w:val="0"/>
                <w:sz w:val="21"/>
                <w:szCs w:val="21"/>
              </w:rPr>
            </w:pPr>
          </w:p>
        </w:tc>
        <w:tc>
          <w:tcPr>
            <w:tcW w:w="617" w:type="dxa"/>
            <w:noWrap w:val="0"/>
            <w:vAlign w:val="center"/>
          </w:tcPr>
          <w:p w14:paraId="125E85F1">
            <w:pPr>
              <w:pageBreakBefore w:val="0"/>
              <w:widowControl/>
              <w:kinsoku/>
              <w:wordWrap/>
              <w:overflowPunct/>
              <w:topLinePunct w:val="0"/>
              <w:autoSpaceDE/>
              <w:autoSpaceDN/>
              <w:bidi w:val="0"/>
              <w:adjustRightInd w:val="0"/>
              <w:snapToGrid w:val="0"/>
              <w:spacing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w:t>
            </w:r>
          </w:p>
        </w:tc>
        <w:tc>
          <w:tcPr>
            <w:tcW w:w="695" w:type="dxa"/>
            <w:noWrap w:val="0"/>
            <w:vAlign w:val="center"/>
          </w:tcPr>
          <w:p w14:paraId="414903BA">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资质要求</w:t>
            </w:r>
          </w:p>
        </w:tc>
        <w:tc>
          <w:tcPr>
            <w:tcW w:w="5460" w:type="dxa"/>
            <w:noWrap w:val="0"/>
            <w:vAlign w:val="center"/>
          </w:tcPr>
          <w:p w14:paraId="0A1A656D">
            <w:pPr>
              <w:pageBreakBefore w:val="0"/>
              <w:kinsoku/>
              <w:wordWrap/>
              <w:overflowPunct/>
              <w:topLinePunct w:val="0"/>
              <w:autoSpaceDE/>
              <w:autoSpaceDN/>
              <w:bidi w:val="0"/>
              <w:snapToGrid w:val="0"/>
              <w:spacing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所投产品属于列入《网络关键设备和网络安全专用产品目录》的网络安全专用产品时，应具备《网络安全专用产品安全检测证书》或《网络关键设备和网络安全专用产品安全认证》。投标人需提供有效期内的证书复印件。</w:t>
            </w:r>
          </w:p>
        </w:tc>
        <w:tc>
          <w:tcPr>
            <w:tcW w:w="1252" w:type="dxa"/>
            <w:noWrap w:val="0"/>
            <w:vAlign w:val="center"/>
          </w:tcPr>
          <w:p w14:paraId="65F92ACF">
            <w:pPr>
              <w:pageBreakBefore w:val="0"/>
              <w:kinsoku/>
              <w:wordWrap/>
              <w:overflowPunct/>
              <w:topLinePunct w:val="0"/>
              <w:autoSpaceDE/>
              <w:autoSpaceDN/>
              <w:bidi w:val="0"/>
              <w:snapToGrid w:val="0"/>
              <w:spacing w:line="360" w:lineRule="auto"/>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是</w:t>
            </w:r>
          </w:p>
        </w:tc>
      </w:tr>
    </w:tbl>
    <w:p w14:paraId="0AF0E6AB">
      <w:pPr>
        <w:pStyle w:val="2"/>
        <w:numPr>
          <w:ilvl w:val="0"/>
          <w:numId w:val="12"/>
        </w:numPr>
        <w:jc w:val="left"/>
        <w:rPr>
          <w:rFonts w:hint="eastAsia" w:ascii="仿宋" w:hAnsi="仿宋" w:eastAsia="仿宋" w:cs="仿宋"/>
          <w:color w:val="auto"/>
          <w:sz w:val="21"/>
          <w:szCs w:val="21"/>
        </w:rPr>
      </w:pPr>
      <w:r>
        <w:rPr>
          <w:rFonts w:hint="eastAsia" w:ascii="仿宋" w:hAnsi="仿宋" w:eastAsia="仿宋" w:cs="仿宋"/>
          <w:color w:val="auto"/>
          <w:sz w:val="21"/>
          <w:szCs w:val="21"/>
        </w:rPr>
        <w:t>服务要求</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15"/>
        <w:gridCol w:w="818"/>
        <w:gridCol w:w="1104"/>
        <w:gridCol w:w="5782"/>
      </w:tblGrid>
      <w:tr w14:paraId="2C2D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78" w:type="pct"/>
            <w:tcBorders>
              <w:top w:val="single" w:color="000000" w:sz="4" w:space="0"/>
              <w:left w:val="single" w:color="000000" w:sz="4" w:space="0"/>
              <w:bottom w:val="single" w:color="000000" w:sz="4" w:space="0"/>
              <w:right w:val="single" w:color="000000" w:sz="4" w:space="0"/>
            </w:tcBorders>
            <w:noWrap w:val="0"/>
            <w:vAlign w:val="top"/>
          </w:tcPr>
          <w:p w14:paraId="15BE0D21">
            <w:pPr>
              <w:keepNext w:val="0"/>
              <w:keepLines w:val="0"/>
              <w:widowControl/>
              <w:suppressLineNumbers w:val="0"/>
              <w:jc w:val="center"/>
              <w:textAlignment w:val="top"/>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序号</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2056C1C4">
            <w:pPr>
              <w:keepNext w:val="0"/>
              <w:keepLines w:val="0"/>
              <w:widowControl/>
              <w:suppressLineNumbers w:val="0"/>
              <w:jc w:val="center"/>
              <w:textAlignment w:val="top"/>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重要性</w:t>
            </w:r>
          </w:p>
        </w:tc>
        <w:tc>
          <w:tcPr>
            <w:tcW w:w="648" w:type="pct"/>
            <w:tcBorders>
              <w:top w:val="single" w:color="000000" w:sz="4" w:space="0"/>
              <w:left w:val="single" w:color="000000" w:sz="4" w:space="0"/>
              <w:bottom w:val="single" w:color="000000" w:sz="4" w:space="0"/>
              <w:right w:val="single" w:color="000000" w:sz="4" w:space="0"/>
            </w:tcBorders>
            <w:noWrap w:val="0"/>
            <w:vAlign w:val="top"/>
          </w:tcPr>
          <w:p w14:paraId="211DC8E1">
            <w:pPr>
              <w:keepNext w:val="0"/>
              <w:keepLines w:val="0"/>
              <w:widowControl/>
              <w:suppressLineNumbers w:val="0"/>
              <w:jc w:val="center"/>
              <w:textAlignment w:val="top"/>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指标项</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11A0D8CF">
            <w:pPr>
              <w:keepNext w:val="0"/>
              <w:keepLines w:val="0"/>
              <w:widowControl/>
              <w:suppressLineNumbers w:val="0"/>
              <w:jc w:val="center"/>
              <w:textAlignment w:val="top"/>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参数要求</w:t>
            </w:r>
          </w:p>
        </w:tc>
      </w:tr>
      <w:tr w14:paraId="49F16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36B5014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603204D6">
            <w:pPr>
              <w:jc w:val="both"/>
              <w:rPr>
                <w:rFonts w:hint="eastAsia" w:ascii="仿宋" w:hAnsi="仿宋" w:eastAsia="仿宋" w:cs="仿宋"/>
                <w:i w:val="0"/>
                <w:iCs w:val="0"/>
                <w:color w:val="auto"/>
                <w:sz w:val="21"/>
                <w:szCs w:val="21"/>
                <w:u w:val="none"/>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0F75D5B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实施项目管理要求</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4F68BFCD">
            <w:pPr>
              <w:keepNext w:val="0"/>
              <w:keepLines w:val="0"/>
              <w:widowControl/>
              <w:suppressLineNumbers w:val="0"/>
              <w:jc w:val="both"/>
              <w:textAlignment w:val="top"/>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项目投标人按照信息系统项目管理体系对项目实现全过程管理，确保项目达到预期目标。需实现：</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项目整体管理，包括：制定项目章程、制定项目管理计划、制定项目实施计划、监督和控制项目工作、项目收尾等；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项目范围管理，包括：范围规划、范围确认、范围控制等；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项目时间管理，包括： 排序、资源估算、历时估算、制定进度计划、进度控制等；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项目质量管理，包括： 质量规划、执行质量保证、执行质量控制等；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项目人力资源管理，包括：人力资源计划编制、组建项目团队、管理项目团队等；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项目风险管理，包括：风险管理计划编制、风险识别、风险应对计划编制、风险监控等。</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项目投标人应组织完成本项目的部署实施方案规划及实施工作，组织完成各项软、硬件的集成、安装、调试工作。</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项目投标人应根据现场实际环境情况，经院方相关部门确认后详细编写项目实施方案，并严格参照实施。在项目实施各阶段，按医院要求提供相应的项目文档。</w:t>
            </w:r>
          </w:p>
        </w:tc>
      </w:tr>
      <w:tr w14:paraId="2AAEF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00B30D5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2</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091421E8">
            <w:pPr>
              <w:jc w:val="both"/>
              <w:rPr>
                <w:rFonts w:hint="eastAsia" w:ascii="仿宋" w:hAnsi="仿宋" w:eastAsia="仿宋" w:cs="仿宋"/>
                <w:i w:val="0"/>
                <w:iCs w:val="0"/>
                <w:color w:val="auto"/>
                <w:sz w:val="21"/>
                <w:szCs w:val="21"/>
                <w:u w:val="none"/>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0FE31B1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实施团队要求</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28629739">
            <w:pPr>
              <w:keepNext w:val="0"/>
              <w:keepLines w:val="0"/>
              <w:widowControl/>
              <w:suppressLineNumbers w:val="0"/>
              <w:jc w:val="both"/>
              <w:textAlignment w:val="top"/>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项目投标人应针对本项目配备专业的实施团队，负责在项目实施过程中保持项目团队成员稳定，协调、统一项目各软、硬件厂商之间的进度，按照建设单位的要求开展工作。投标人应成立专门的项目实施小组，并提供本项目组织结构图，说明各角色的职责、人员姓名、人员数量。</w:t>
            </w:r>
          </w:p>
          <w:p w14:paraId="67F513BC">
            <w:pPr>
              <w:keepNext w:val="0"/>
              <w:keepLines w:val="0"/>
              <w:widowControl/>
              <w:suppressLineNumbers w:val="0"/>
              <w:jc w:val="both"/>
              <w:textAlignment w:val="top"/>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color w:val="auto"/>
                <w:kern w:val="0"/>
                <w:sz w:val="21"/>
                <w:szCs w:val="21"/>
              </w:rPr>
              <w:t>拟派项目经理</w:t>
            </w:r>
            <w:r>
              <w:rPr>
                <w:rFonts w:hint="eastAsia" w:ascii="仿宋" w:hAnsi="仿宋" w:eastAsia="仿宋" w:cs="仿宋"/>
                <w:color w:val="auto"/>
                <w:kern w:val="0"/>
                <w:sz w:val="21"/>
                <w:szCs w:val="21"/>
                <w:lang w:val="en-US" w:eastAsia="zh-CN"/>
              </w:rPr>
              <w:t>1人，</w:t>
            </w:r>
            <w:r>
              <w:rPr>
                <w:rFonts w:hint="eastAsia" w:ascii="仿宋" w:hAnsi="仿宋" w:eastAsia="仿宋" w:cs="仿宋"/>
                <w:color w:val="auto"/>
                <w:kern w:val="0"/>
                <w:sz w:val="21"/>
                <w:szCs w:val="21"/>
              </w:rPr>
              <w:t>要求</w:t>
            </w:r>
            <w:r>
              <w:rPr>
                <w:rFonts w:hint="eastAsia" w:ascii="仿宋" w:hAnsi="仿宋" w:eastAsia="仿宋" w:cs="仿宋"/>
                <w:color w:val="auto"/>
                <w:kern w:val="0"/>
                <w:sz w:val="21"/>
                <w:szCs w:val="21"/>
                <w:lang w:eastAsia="zh-CN"/>
              </w:rPr>
              <w:t>具备高级信息系统项目管理师证书，实施人员满足3人，具备中国信息安全测评中心颁发的注册信息安全专业人员(CISP)认证证书。</w:t>
            </w:r>
          </w:p>
        </w:tc>
      </w:tr>
      <w:tr w14:paraId="74B21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02975E8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3</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0C21A817">
            <w:pPr>
              <w:jc w:val="both"/>
              <w:rPr>
                <w:rFonts w:hint="eastAsia" w:ascii="仿宋" w:hAnsi="仿宋" w:eastAsia="仿宋" w:cs="仿宋"/>
                <w:i w:val="0"/>
                <w:iCs w:val="0"/>
                <w:color w:val="auto"/>
                <w:sz w:val="21"/>
                <w:szCs w:val="21"/>
                <w:u w:val="none"/>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05C413C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供货要求</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55E5EFEB">
            <w:pPr>
              <w:keepNext w:val="0"/>
              <w:keepLines w:val="0"/>
              <w:widowControl/>
              <w:suppressLineNumbers w:val="0"/>
              <w:jc w:val="both"/>
              <w:textAlignment w:val="top"/>
              <w:rPr>
                <w:rFonts w:hint="default" w:ascii="仿宋" w:hAnsi="仿宋" w:eastAsia="仿宋" w:cs="仿宋"/>
                <w:b/>
                <w:bCs/>
                <w:i w:val="0"/>
                <w:iCs w:val="0"/>
                <w:color w:val="auto"/>
                <w:sz w:val="21"/>
                <w:szCs w:val="21"/>
                <w:u w:val="none"/>
                <w:lang w:val="en-US"/>
              </w:rPr>
            </w:pPr>
            <w:r>
              <w:rPr>
                <w:rFonts w:hint="eastAsia" w:ascii="仿宋" w:hAnsi="仿宋" w:eastAsia="仿宋" w:cs="仿宋"/>
                <w:i w:val="0"/>
                <w:iCs w:val="0"/>
                <w:color w:val="auto"/>
                <w:kern w:val="0"/>
                <w:sz w:val="21"/>
                <w:szCs w:val="21"/>
                <w:u w:val="none"/>
                <w:lang w:val="en-US" w:eastAsia="zh-CN" w:bidi="ar"/>
              </w:rPr>
              <w:t>按照招标文件列明的“交货时间及地点”进行供货。</w:t>
            </w:r>
          </w:p>
        </w:tc>
      </w:tr>
      <w:tr w14:paraId="13565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3F3BD91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4</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2B6D8F6E">
            <w:pPr>
              <w:jc w:val="both"/>
              <w:rPr>
                <w:rFonts w:hint="eastAsia" w:ascii="仿宋" w:hAnsi="仿宋" w:eastAsia="仿宋" w:cs="仿宋"/>
                <w:i w:val="0"/>
                <w:iCs w:val="0"/>
                <w:color w:val="auto"/>
                <w:sz w:val="21"/>
                <w:szCs w:val="21"/>
                <w:u w:val="none"/>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5B75FDB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培训要求</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74DED9D4">
            <w:pPr>
              <w:keepNext w:val="0"/>
              <w:keepLines w:val="0"/>
              <w:widowControl/>
              <w:suppressLineNumbers w:val="0"/>
              <w:jc w:val="both"/>
              <w:textAlignment w:val="top"/>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通过培训使建设单位的相关人员充分掌握系统的结构原理、安装调试，熟练掌握系统的操作和使用方法，能独立进行设备的日常维护保养及具备排除系统设备故障的能力。</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培训方式：项目实施竣工后使用注意事项培训。</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培训内容：包括但不限于本项目涉及的各个系统。</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培训时间及人次：不限人次。</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培训计划：需制定一套详细、针对性、实用性的培训计划。</w:t>
            </w:r>
          </w:p>
        </w:tc>
      </w:tr>
      <w:tr w14:paraId="304DA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6"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56BB9A7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5</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7ADF8908">
            <w:pPr>
              <w:jc w:val="both"/>
              <w:rPr>
                <w:rFonts w:hint="eastAsia" w:ascii="仿宋" w:hAnsi="仿宋" w:eastAsia="仿宋" w:cs="仿宋"/>
                <w:i w:val="0"/>
                <w:iCs w:val="0"/>
                <w:color w:val="auto"/>
                <w:sz w:val="21"/>
                <w:szCs w:val="21"/>
                <w:u w:val="none"/>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7EFA42D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交货时间及地点</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3024BCBB">
            <w:pPr>
              <w:pStyle w:val="10"/>
              <w:pageBreakBefore w:val="0"/>
              <w:widowControl w:val="0"/>
              <w:wordWrap/>
              <w:overflowPunct/>
              <w:topLinePunct w:val="0"/>
              <w:bidi w:val="0"/>
              <w:spacing w:line="360" w:lineRule="auto"/>
              <w:ind w:left="115"/>
              <w:jc w:val="both"/>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1、乙方负责办理运输和保险，将货物运抵甲方指定地点，并在运抵前3天通知甲方。</w:t>
            </w:r>
            <w:r>
              <w:rPr>
                <w:rFonts w:hint="eastAsia" w:ascii="仿宋" w:hAnsi="仿宋" w:eastAsia="仿宋" w:cs="仿宋"/>
                <w:i w:val="0"/>
                <w:iCs w:val="0"/>
                <w:snapToGrid w:val="0"/>
                <w:color w:val="auto"/>
                <w:kern w:val="0"/>
                <w:sz w:val="21"/>
                <w:szCs w:val="21"/>
                <w:u w:val="none"/>
                <w:lang w:val="en-US" w:eastAsia="zh-CN" w:bidi="ar"/>
              </w:rPr>
              <w:t>提供原厂现场安装调试。</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2、乙方交付的货物必须提供未经使用的全新产品，采用厂家原装包装。</w:t>
            </w:r>
            <w:r>
              <w:rPr>
                <w:rFonts w:hint="eastAsia" w:ascii="仿宋" w:hAnsi="仿宋" w:eastAsia="仿宋" w:cs="仿宋"/>
                <w:i w:val="0"/>
                <w:iCs w:val="0"/>
                <w:color w:val="auto"/>
                <w:kern w:val="0"/>
                <w:sz w:val="21"/>
                <w:szCs w:val="21"/>
                <w:highlight w:val="yellow"/>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3、合同生效后 90 日内。</w:t>
            </w:r>
          </w:p>
        </w:tc>
      </w:tr>
      <w:tr w14:paraId="7D92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2D4BB3A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7</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108A5045">
            <w:pPr>
              <w:jc w:val="both"/>
              <w:rPr>
                <w:rFonts w:hint="eastAsia" w:ascii="仿宋" w:hAnsi="仿宋" w:eastAsia="仿宋" w:cs="仿宋"/>
                <w:i w:val="0"/>
                <w:iCs w:val="0"/>
                <w:color w:val="auto"/>
                <w:sz w:val="21"/>
                <w:szCs w:val="21"/>
                <w:u w:val="none"/>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51A07F5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验收服务要求</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58CE10C5">
            <w:pPr>
              <w:keepNext w:val="0"/>
              <w:keepLines w:val="0"/>
              <w:widowControl/>
              <w:suppressLineNumbers w:val="0"/>
              <w:jc w:val="both"/>
              <w:textAlignment w:val="top"/>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设备到货且具备实施条件之日起160天内包括所有软、硬件的安装、调试与运行工作。</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安装调试完成后由承建方提出初验申请，并从初验合格之日起进行试运行，</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试运行3个月并运行正常后可组织项目终验。测试和验收应符合相应国家相关的标准。</w:t>
            </w:r>
            <w:r>
              <w:rPr>
                <w:rFonts w:hint="eastAsia" w:ascii="仿宋" w:hAnsi="仿宋" w:eastAsia="仿宋" w:cs="仿宋"/>
                <w:i w:val="0"/>
                <w:iCs w:val="0"/>
                <w:color w:val="auto"/>
                <w:kern w:val="0"/>
                <w:sz w:val="21"/>
                <w:szCs w:val="21"/>
                <w:u w:val="none"/>
                <w:lang w:val="en-US" w:eastAsia="zh-CN" w:bidi="ar"/>
              </w:rPr>
              <w:br w:type="textWrapping"/>
            </w:r>
            <w:r>
              <w:rPr>
                <w:rFonts w:hint="eastAsia" w:ascii="仿宋" w:hAnsi="仿宋" w:eastAsia="仿宋" w:cs="仿宋"/>
                <w:i w:val="0"/>
                <w:iCs w:val="0"/>
                <w:color w:val="auto"/>
                <w:kern w:val="0"/>
                <w:sz w:val="21"/>
                <w:szCs w:val="21"/>
                <w:u w:val="none"/>
                <w:lang w:val="en-US" w:eastAsia="zh-CN" w:bidi="ar"/>
              </w:rPr>
              <w:t>终验时承建方需提供本项目所有相关资料，包含项目实施文档、试运行报告、系统操作手册、系统运维手册、培训文档以及建设单位所需其他与本项目相关的资料。</w:t>
            </w:r>
          </w:p>
        </w:tc>
      </w:tr>
      <w:tr w14:paraId="07779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4"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07C7E127">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17106547">
            <w:pPr>
              <w:spacing w:line="360" w:lineRule="auto"/>
              <w:jc w:val="center"/>
              <w:rPr>
                <w:rFonts w:hint="eastAsia" w:ascii="仿宋" w:hAnsi="仿宋" w:eastAsia="仿宋" w:cs="仿宋"/>
                <w:color w:val="auto"/>
                <w:sz w:val="21"/>
                <w:szCs w:val="21"/>
              </w:rPr>
            </w:pPr>
          </w:p>
          <w:p w14:paraId="61B3CACD">
            <w:pPr>
              <w:spacing w:line="360" w:lineRule="auto"/>
              <w:jc w:val="center"/>
              <w:rPr>
                <w:rFonts w:hint="eastAsia" w:ascii="仿宋" w:hAnsi="仿宋" w:eastAsia="仿宋" w:cs="仿宋"/>
                <w:color w:val="auto"/>
                <w:sz w:val="21"/>
                <w:szCs w:val="21"/>
              </w:rPr>
            </w:pPr>
          </w:p>
          <w:p w14:paraId="59A18620">
            <w:pPr>
              <w:spacing w:line="360" w:lineRule="auto"/>
              <w:jc w:val="center"/>
              <w:rPr>
                <w:rFonts w:hint="eastAsia" w:ascii="仿宋" w:hAnsi="仿宋" w:eastAsia="仿宋" w:cs="仿宋"/>
                <w:color w:val="auto"/>
                <w:kern w:val="2"/>
                <w:sz w:val="21"/>
                <w:szCs w:val="21"/>
                <w:lang w:val="en-US" w:eastAsia="zh-CN" w:bidi="ar-SA"/>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52878EE4">
            <w:pPr>
              <w:pStyle w:val="10"/>
              <w:spacing w:before="65" w:line="360" w:lineRule="auto"/>
              <w:ind w:left="111" w:leftChars="0" w:right="144" w:rightChars="0"/>
              <w:jc w:val="center"/>
              <w:rPr>
                <w:rFonts w:hint="eastAsia" w:ascii="仿宋" w:hAnsi="仿宋" w:eastAsia="仿宋" w:cs="仿宋"/>
                <w:color w:val="auto"/>
                <w:spacing w:val="8"/>
                <w:kern w:val="2"/>
                <w:sz w:val="21"/>
                <w:szCs w:val="21"/>
                <w:lang w:val="en-US" w:eastAsia="zh-CN" w:bidi="ar-SA"/>
              </w:rPr>
            </w:pPr>
            <w:r>
              <w:rPr>
                <w:rFonts w:hint="eastAsia" w:ascii="仿宋" w:hAnsi="仿宋" w:eastAsia="仿宋" w:cs="仿宋"/>
                <w:color w:val="auto"/>
                <w:spacing w:val="8"/>
                <w:sz w:val="21"/>
                <w:szCs w:val="21"/>
                <w:lang w:eastAsia="zh-CN"/>
              </w:rPr>
              <w:t>7*24小时安全服务</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73EDF282">
            <w:pPr>
              <w:pStyle w:val="10"/>
              <w:spacing w:before="25" w:line="360" w:lineRule="auto"/>
              <w:ind w:left="129" w:leftChars="0" w:right="191" w:rightChars="0" w:hanging="17" w:firstLineChars="0"/>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lang w:eastAsia="zh-CN"/>
              </w:rPr>
              <w:t>对接项目中的主要安全设备的防火墙、动态防御以及内网安全感知平台，实时接收安全设备检测到的安全事件信息、安全日志数据由安全服务团队提供7*24小时的安全托管服务，要求包含夜间及节假日，检测分析到安全事件后，能够将攻击阻断策略下发给防火墙，进行拦截，阻断攻击路径，防止安全事件蔓延。</w:t>
            </w:r>
          </w:p>
        </w:tc>
      </w:tr>
      <w:tr w14:paraId="1F4DD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4" w:hRule="atLeast"/>
        </w:trPr>
        <w:tc>
          <w:tcPr>
            <w:tcW w:w="478" w:type="pct"/>
            <w:tcBorders>
              <w:top w:val="single" w:color="000000" w:sz="4" w:space="0"/>
              <w:left w:val="single" w:color="000000" w:sz="4" w:space="0"/>
              <w:bottom w:val="single" w:color="000000" w:sz="4" w:space="0"/>
              <w:right w:val="single" w:color="000000" w:sz="4" w:space="0"/>
            </w:tcBorders>
            <w:noWrap w:val="0"/>
            <w:vAlign w:val="center"/>
          </w:tcPr>
          <w:p w14:paraId="4E0BB344">
            <w:pPr>
              <w:keepNext w:val="0"/>
              <w:keepLines w:val="0"/>
              <w:widowControl/>
              <w:suppressLineNumbers w:val="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9</w:t>
            </w:r>
          </w:p>
        </w:tc>
        <w:tc>
          <w:tcPr>
            <w:tcW w:w="480" w:type="pct"/>
            <w:tcBorders>
              <w:top w:val="single" w:color="000000" w:sz="4" w:space="0"/>
              <w:left w:val="single" w:color="000000" w:sz="4" w:space="0"/>
              <w:bottom w:val="single" w:color="000000" w:sz="4" w:space="0"/>
              <w:right w:val="single" w:color="000000" w:sz="4" w:space="0"/>
            </w:tcBorders>
            <w:noWrap w:val="0"/>
            <w:vAlign w:val="top"/>
          </w:tcPr>
          <w:p w14:paraId="1956D363">
            <w:pPr>
              <w:spacing w:line="360" w:lineRule="auto"/>
              <w:jc w:val="center"/>
              <w:rPr>
                <w:rFonts w:hint="eastAsia" w:ascii="仿宋" w:hAnsi="仿宋" w:eastAsia="仿宋" w:cs="仿宋"/>
                <w:color w:val="auto"/>
                <w:sz w:val="21"/>
                <w:szCs w:val="21"/>
                <w:lang w:eastAsia="zh-CN"/>
              </w:rPr>
            </w:pPr>
          </w:p>
        </w:tc>
        <w:tc>
          <w:tcPr>
            <w:tcW w:w="648" w:type="pct"/>
            <w:tcBorders>
              <w:top w:val="single" w:color="000000" w:sz="4" w:space="0"/>
              <w:left w:val="single" w:color="000000" w:sz="4" w:space="0"/>
              <w:bottom w:val="single" w:color="000000" w:sz="4" w:space="0"/>
              <w:right w:val="single" w:color="000000" w:sz="4" w:space="0"/>
            </w:tcBorders>
            <w:noWrap w:val="0"/>
            <w:vAlign w:val="center"/>
          </w:tcPr>
          <w:p w14:paraId="7CB4E500">
            <w:pPr>
              <w:pStyle w:val="10"/>
              <w:spacing w:before="65" w:line="360" w:lineRule="auto"/>
              <w:ind w:left="111" w:leftChars="0" w:right="144" w:rightChars="0"/>
              <w:jc w:val="center"/>
              <w:rPr>
                <w:rFonts w:hint="default" w:ascii="仿宋" w:hAnsi="仿宋" w:eastAsia="仿宋" w:cs="仿宋"/>
                <w:color w:val="auto"/>
                <w:spacing w:val="8"/>
                <w:sz w:val="21"/>
                <w:szCs w:val="21"/>
                <w:lang w:val="en-US" w:eastAsia="zh-CN"/>
              </w:rPr>
            </w:pPr>
            <w:r>
              <w:rPr>
                <w:rFonts w:hint="eastAsia" w:ascii="仿宋" w:hAnsi="仿宋" w:eastAsia="仿宋" w:cs="仿宋"/>
                <w:color w:val="auto"/>
                <w:spacing w:val="8"/>
                <w:sz w:val="21"/>
                <w:szCs w:val="21"/>
                <w:lang w:val="en-US" w:eastAsia="zh-CN"/>
              </w:rPr>
              <w:t>售后服务</w:t>
            </w:r>
          </w:p>
        </w:tc>
        <w:tc>
          <w:tcPr>
            <w:tcW w:w="3392" w:type="pct"/>
            <w:tcBorders>
              <w:top w:val="single" w:color="000000" w:sz="4" w:space="0"/>
              <w:left w:val="single" w:color="000000" w:sz="4" w:space="0"/>
              <w:bottom w:val="single" w:color="000000" w:sz="4" w:space="0"/>
              <w:right w:val="single" w:color="000000" w:sz="4" w:space="0"/>
            </w:tcBorders>
            <w:noWrap w:val="0"/>
            <w:vAlign w:val="top"/>
          </w:tcPr>
          <w:p w14:paraId="3BE441E1">
            <w:pPr>
              <w:pStyle w:val="10"/>
              <w:numPr>
                <w:ilvl w:val="0"/>
                <w:numId w:val="13"/>
              </w:numPr>
              <w:spacing w:before="25" w:line="360" w:lineRule="auto"/>
              <w:ind w:left="425" w:leftChars="0" w:right="191" w:rightChars="0" w:hanging="425" w:firstLineChars="0"/>
              <w:rPr>
                <w:rFonts w:hint="eastAsia" w:ascii="仿宋" w:hAnsi="仿宋" w:eastAsia="仿宋" w:cs="仿宋"/>
                <w:i w:val="0"/>
                <w:iCs w:val="0"/>
                <w:snapToGrid/>
                <w:color w:val="auto"/>
                <w:kern w:val="0"/>
                <w:sz w:val="21"/>
                <w:szCs w:val="21"/>
                <w:u w:val="none"/>
                <w:lang w:val="en-US" w:eastAsia="zh-CN" w:bidi="ar"/>
              </w:rPr>
            </w:pPr>
            <w:r>
              <w:rPr>
                <w:rFonts w:hint="eastAsia" w:ascii="仿宋" w:hAnsi="仿宋" w:eastAsia="仿宋" w:cs="仿宋"/>
                <w:i w:val="0"/>
                <w:iCs w:val="0"/>
                <w:snapToGrid/>
                <w:color w:val="auto"/>
                <w:kern w:val="0"/>
                <w:sz w:val="21"/>
                <w:szCs w:val="21"/>
                <w:u w:val="none"/>
                <w:lang w:val="en-US" w:eastAsia="zh-CN" w:bidi="ar"/>
              </w:rPr>
              <w:t xml:space="preserve">所投标的产品提供制造厂商原厂3年免费保修（包括特征库、病毒库、情报库升级）服务； </w:t>
            </w:r>
          </w:p>
          <w:p w14:paraId="7B483B07">
            <w:pPr>
              <w:pStyle w:val="10"/>
              <w:numPr>
                <w:ilvl w:val="0"/>
                <w:numId w:val="13"/>
              </w:numPr>
              <w:spacing w:before="25" w:line="360" w:lineRule="auto"/>
              <w:ind w:left="425" w:leftChars="0" w:right="191" w:rightChars="0" w:hanging="425" w:firstLineChars="0"/>
              <w:rPr>
                <w:rFonts w:hint="eastAsia" w:ascii="仿宋" w:hAnsi="仿宋" w:eastAsia="仿宋" w:cs="仿宋"/>
                <w:i w:val="0"/>
                <w:iCs w:val="0"/>
                <w:snapToGrid/>
                <w:color w:val="auto"/>
                <w:kern w:val="0"/>
                <w:sz w:val="21"/>
                <w:szCs w:val="21"/>
                <w:u w:val="none"/>
                <w:lang w:val="en-US" w:eastAsia="zh-CN" w:bidi="ar"/>
              </w:rPr>
            </w:pPr>
            <w:r>
              <w:rPr>
                <w:rFonts w:hint="eastAsia" w:ascii="仿宋" w:hAnsi="仿宋" w:eastAsia="仿宋" w:cs="仿宋"/>
                <w:i w:val="0"/>
                <w:iCs w:val="0"/>
                <w:snapToGrid/>
                <w:color w:val="auto"/>
                <w:kern w:val="0"/>
                <w:sz w:val="21"/>
                <w:szCs w:val="21"/>
                <w:u w:val="none"/>
                <w:lang w:val="en-US" w:eastAsia="zh-CN" w:bidi="ar"/>
              </w:rPr>
              <w:t>服务期内提供制造厂商每周7×24小时热线电话支持故障发生时，制造厂商工程师能够到达现场提供硬件更换和问题处理服务。</w:t>
            </w:r>
          </w:p>
          <w:p w14:paraId="165B40F5">
            <w:pPr>
              <w:pStyle w:val="10"/>
              <w:numPr>
                <w:ilvl w:val="0"/>
                <w:numId w:val="13"/>
              </w:numPr>
              <w:spacing w:before="25" w:line="360" w:lineRule="auto"/>
              <w:ind w:left="425" w:leftChars="0" w:right="191" w:rightChars="0" w:hanging="425" w:firstLineChars="0"/>
              <w:rPr>
                <w:rFonts w:hint="eastAsia" w:ascii="仿宋" w:hAnsi="仿宋" w:eastAsia="仿宋" w:cs="仿宋"/>
                <w:i w:val="0"/>
                <w:iCs w:val="0"/>
                <w:snapToGrid/>
                <w:color w:val="auto"/>
                <w:kern w:val="0"/>
                <w:sz w:val="21"/>
                <w:szCs w:val="21"/>
                <w:u w:val="none"/>
                <w:lang w:val="en-US" w:eastAsia="zh-CN" w:bidi="ar"/>
              </w:rPr>
            </w:pPr>
            <w:r>
              <w:rPr>
                <w:rFonts w:hint="eastAsia" w:ascii="仿宋" w:hAnsi="仿宋" w:eastAsia="仿宋" w:cs="仿宋"/>
                <w:i w:val="0"/>
                <w:iCs w:val="0"/>
                <w:snapToGrid/>
                <w:color w:val="auto"/>
                <w:kern w:val="0"/>
                <w:sz w:val="21"/>
                <w:szCs w:val="21"/>
                <w:u w:val="none"/>
                <w:lang w:val="en-US" w:eastAsia="zh-CN" w:bidi="ar"/>
              </w:rPr>
              <w:t>设备自安装、调试、验收合格并签署验收文件后开始计算质保期。设备的质保期不得少于36个月。</w:t>
            </w:r>
          </w:p>
          <w:p w14:paraId="6BD344D5">
            <w:pPr>
              <w:pStyle w:val="10"/>
              <w:numPr>
                <w:ilvl w:val="0"/>
                <w:numId w:val="13"/>
              </w:numPr>
              <w:spacing w:before="25" w:line="360" w:lineRule="auto"/>
              <w:ind w:left="425" w:leftChars="0" w:right="191" w:rightChars="0" w:hanging="425" w:firstLineChars="0"/>
              <w:rPr>
                <w:rFonts w:hint="eastAsia" w:ascii="仿宋" w:hAnsi="仿宋" w:eastAsia="仿宋" w:cs="仿宋"/>
                <w:i w:val="0"/>
                <w:iCs w:val="0"/>
                <w:snapToGrid/>
                <w:color w:val="auto"/>
                <w:kern w:val="0"/>
                <w:sz w:val="21"/>
                <w:szCs w:val="21"/>
                <w:u w:val="none"/>
                <w:lang w:val="en-US" w:eastAsia="zh-CN" w:bidi="ar"/>
              </w:rPr>
            </w:pPr>
            <w:r>
              <w:rPr>
                <w:rFonts w:hint="eastAsia" w:ascii="仿宋" w:hAnsi="仿宋" w:eastAsia="仿宋" w:cs="仿宋"/>
                <w:i w:val="0"/>
                <w:iCs w:val="0"/>
                <w:snapToGrid/>
                <w:color w:val="auto"/>
                <w:kern w:val="0"/>
                <w:sz w:val="21"/>
                <w:szCs w:val="21"/>
                <w:u w:val="none"/>
                <w:lang w:val="en-US" w:eastAsia="zh-CN" w:bidi="ar"/>
              </w:rPr>
              <w:t>质保期内软件免费升级，产品出现质量问题，须予以免费维修或更换。</w:t>
            </w:r>
          </w:p>
          <w:p w14:paraId="56AB2787">
            <w:pPr>
              <w:pStyle w:val="10"/>
              <w:numPr>
                <w:ilvl w:val="0"/>
                <w:numId w:val="13"/>
              </w:numPr>
              <w:spacing w:before="25" w:line="360" w:lineRule="auto"/>
              <w:ind w:left="425" w:leftChars="0" w:right="191" w:rightChars="0" w:hanging="425" w:firstLineChars="0"/>
              <w:rPr>
                <w:rFonts w:hint="eastAsia" w:ascii="仿宋" w:hAnsi="仿宋" w:eastAsia="仿宋" w:cs="仿宋"/>
                <w:i w:val="0"/>
                <w:iCs w:val="0"/>
                <w:snapToGrid/>
                <w:color w:val="auto"/>
                <w:kern w:val="0"/>
                <w:sz w:val="21"/>
                <w:szCs w:val="21"/>
                <w:u w:val="none"/>
                <w:lang w:val="en-US" w:eastAsia="zh-CN" w:bidi="ar"/>
              </w:rPr>
            </w:pPr>
            <w:r>
              <w:rPr>
                <w:rFonts w:hint="eastAsia" w:ascii="仿宋" w:hAnsi="仿宋" w:eastAsia="仿宋" w:cs="仿宋"/>
                <w:i w:val="0"/>
                <w:iCs w:val="0"/>
                <w:snapToGrid/>
                <w:color w:val="auto"/>
                <w:kern w:val="0"/>
                <w:sz w:val="21"/>
                <w:szCs w:val="21"/>
                <w:u w:val="none"/>
                <w:lang w:val="en-US" w:eastAsia="zh-CN" w:bidi="ar"/>
              </w:rPr>
              <w:t>问题反馈和处理周期≤24小时，确保问题得到及时解决。</w:t>
            </w:r>
          </w:p>
          <w:p w14:paraId="1B8BAB4D">
            <w:pPr>
              <w:pStyle w:val="10"/>
              <w:numPr>
                <w:ilvl w:val="0"/>
                <w:numId w:val="13"/>
              </w:numPr>
              <w:spacing w:before="25" w:line="360" w:lineRule="auto"/>
              <w:ind w:left="425" w:leftChars="0" w:right="191" w:rightChars="0" w:hanging="425" w:firstLineChars="0"/>
              <w:rPr>
                <w:rFonts w:hint="eastAsia" w:ascii="仿宋" w:hAnsi="仿宋" w:eastAsia="仿宋" w:cs="仿宋"/>
                <w:i w:val="0"/>
                <w:iCs w:val="0"/>
                <w:snapToGrid/>
                <w:color w:val="auto"/>
                <w:kern w:val="0"/>
                <w:sz w:val="21"/>
                <w:szCs w:val="21"/>
                <w:u w:val="none"/>
                <w:lang w:val="en-US" w:eastAsia="zh-CN" w:bidi="ar"/>
              </w:rPr>
            </w:pPr>
            <w:r>
              <w:rPr>
                <w:rFonts w:hint="eastAsia" w:ascii="仿宋" w:hAnsi="仿宋" w:eastAsia="仿宋" w:cs="仿宋"/>
                <w:i w:val="0"/>
                <w:iCs w:val="0"/>
                <w:snapToGrid/>
                <w:color w:val="auto"/>
                <w:kern w:val="0"/>
                <w:sz w:val="21"/>
                <w:szCs w:val="21"/>
                <w:u w:val="none"/>
                <w:lang w:val="en-US" w:eastAsia="zh-CN" w:bidi="ar"/>
              </w:rPr>
              <w:t>软件系统故障修复时间≤4小时，确保系统正常运行。</w:t>
            </w:r>
          </w:p>
          <w:p w14:paraId="1613969B">
            <w:pPr>
              <w:pStyle w:val="10"/>
              <w:numPr>
                <w:ilvl w:val="0"/>
                <w:numId w:val="13"/>
              </w:numPr>
              <w:spacing w:before="25" w:line="360" w:lineRule="auto"/>
              <w:ind w:left="425" w:leftChars="0" w:right="191" w:rightChars="0" w:hanging="425" w:firstLineChars="0"/>
              <w:rPr>
                <w:rFonts w:hint="eastAsia"/>
                <w:bCs/>
                <w:color w:val="auto"/>
                <w:sz w:val="24"/>
                <w:lang w:eastAsia="zh-CN"/>
              </w:rPr>
            </w:pPr>
            <w:r>
              <w:rPr>
                <w:rFonts w:hint="eastAsia" w:ascii="仿宋" w:hAnsi="仿宋" w:eastAsia="仿宋" w:cs="仿宋"/>
                <w:i w:val="0"/>
                <w:iCs w:val="0"/>
                <w:snapToGrid/>
                <w:color w:val="auto"/>
                <w:kern w:val="0"/>
                <w:sz w:val="21"/>
                <w:szCs w:val="21"/>
                <w:u w:val="none"/>
                <w:lang w:val="en-US" w:eastAsia="zh-CN" w:bidi="ar"/>
              </w:rPr>
              <w:t>定期对系统进行巡检和优化，提高系统稳定性和性能。</w:t>
            </w:r>
          </w:p>
        </w:tc>
      </w:tr>
    </w:tbl>
    <w:p w14:paraId="4E369EC4">
      <w:pPr>
        <w:rPr>
          <w:color w:val="auto"/>
        </w:rPr>
      </w:pPr>
    </w:p>
    <w:p w14:paraId="0AEB87FC">
      <w:pPr>
        <w:widowControl/>
        <w:jc w:val="left"/>
        <w:rPr>
          <w:rFonts w:hint="eastAsia" w:ascii="仿宋" w:hAnsi="仿宋" w:eastAsia="仿宋" w:cs="仿宋"/>
          <w:b/>
          <w:sz w:val="21"/>
          <w:szCs w:val="21"/>
          <w:highlight w:val="none"/>
        </w:rPr>
      </w:pPr>
      <w:r>
        <w:rPr>
          <w:rFonts w:hint="eastAsia" w:ascii="仿宋" w:hAnsi="仿宋" w:eastAsia="仿宋" w:cs="仿宋"/>
          <w:b/>
          <w:sz w:val="21"/>
          <w:szCs w:val="21"/>
          <w:highlight w:val="none"/>
        </w:rPr>
        <w:br w:type="page"/>
      </w:r>
    </w:p>
    <w:p w14:paraId="7A8F1E95">
      <w:pPr>
        <w:widowControl/>
        <w:jc w:val="left"/>
        <w:rPr>
          <w:rFonts w:ascii="仿宋" w:hAnsi="仿宋" w:eastAsia="仿宋"/>
          <w:b/>
          <w:sz w:val="24"/>
          <w:highlight w:val="none"/>
        </w:rPr>
      </w:pPr>
    </w:p>
    <w:p w14:paraId="4A0F88EC">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2、采购标的需满足的服务标准、期限、效率等要求；</w:t>
      </w:r>
    </w:p>
    <w:p w14:paraId="5F8C0F08">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Cs/>
          <w:sz w:val="24"/>
          <w:lang w:val="en-US" w:eastAsia="zh-CN"/>
        </w:rPr>
      </w:pPr>
      <w:r>
        <w:rPr>
          <w:rFonts w:hint="eastAsia" w:ascii="仿宋" w:hAnsi="仿宋" w:eastAsia="仿宋" w:cs="仿宋"/>
          <w:bCs/>
          <w:sz w:val="24"/>
        </w:rPr>
        <w:t>详见</w:t>
      </w:r>
      <w:r>
        <w:rPr>
          <w:rFonts w:hint="eastAsia" w:ascii="仿宋" w:hAnsi="仿宋" w:eastAsia="仿宋" w:cs="仿宋"/>
          <w:bCs/>
          <w:sz w:val="24"/>
          <w:lang w:eastAsia="zh-CN"/>
        </w:rPr>
        <w:t>“</w:t>
      </w:r>
      <w:r>
        <w:rPr>
          <w:rFonts w:hint="eastAsia" w:ascii="仿宋" w:hAnsi="仿宋" w:eastAsia="仿宋" w:cs="仿宋"/>
          <w:bCs/>
          <w:sz w:val="24"/>
          <w:lang w:val="en-US" w:eastAsia="zh-CN"/>
        </w:rPr>
        <w:t xml:space="preserve"> </w:t>
      </w:r>
      <w:r>
        <w:rPr>
          <w:rFonts w:hint="eastAsia" w:ascii="仿宋" w:hAnsi="仿宋" w:eastAsia="仿宋" w:cs="仿宋"/>
          <w:bCs/>
          <w:kern w:val="2"/>
          <w:sz w:val="24"/>
          <w:szCs w:val="24"/>
          <w:lang w:val="en-US" w:eastAsia="zh-CN" w:bidi="ar-SA"/>
        </w:rPr>
        <w:t xml:space="preserve">1、采购标的需满足的性能、材料、结构、外观、质量、安全、技术规格、物理特性等要求： </w:t>
      </w:r>
      <w:r>
        <w:rPr>
          <w:rFonts w:hint="eastAsia" w:ascii="仿宋" w:hAnsi="仿宋" w:eastAsia="仿宋" w:cs="仿宋"/>
          <w:bCs/>
          <w:sz w:val="24"/>
          <w:lang w:val="en-US" w:eastAsia="zh-CN"/>
        </w:rPr>
        <w:t>二、</w:t>
      </w:r>
      <w:r>
        <w:rPr>
          <w:rFonts w:hint="eastAsia" w:ascii="仿宋" w:hAnsi="仿宋" w:eastAsia="仿宋" w:cs="仿宋"/>
          <w:bCs/>
          <w:sz w:val="24"/>
        </w:rPr>
        <w:t>服务要求</w:t>
      </w:r>
      <w:r>
        <w:rPr>
          <w:rFonts w:hint="eastAsia" w:ascii="仿宋" w:hAnsi="仿宋" w:eastAsia="仿宋" w:cs="仿宋"/>
          <w:bCs/>
          <w:sz w:val="24"/>
          <w:lang w:eastAsia="zh-CN"/>
        </w:rPr>
        <w:t>”</w:t>
      </w:r>
      <w:r>
        <w:rPr>
          <w:rFonts w:hint="eastAsia" w:ascii="仿宋" w:hAnsi="仿宋" w:eastAsia="仿宋" w:cs="仿宋"/>
          <w:bCs/>
          <w:sz w:val="24"/>
          <w:lang w:val="en-US" w:eastAsia="zh-CN"/>
        </w:rPr>
        <w:t>中的相关要求。</w:t>
      </w:r>
    </w:p>
    <w:p w14:paraId="38100F0B">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3、为落实政府采购政策需满足的要求；</w:t>
      </w:r>
    </w:p>
    <w:p w14:paraId="0FEFB716">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3F2AD32">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5558079">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07F97835">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46E8F3C">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B0F7199">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仿宋" w:hAnsi="仿宋" w:eastAsia="仿宋" w:cs="仿宋"/>
          <w:b/>
          <w:bCs/>
          <w:sz w:val="24"/>
          <w:highlight w:val="none"/>
        </w:rPr>
        <w:t>投标人应出具招标文件要求的证明材料给予证明，否则评标时不予认可。投标人应对提交的证明材料真实性负责，</w:t>
      </w:r>
      <w:r>
        <w:rPr>
          <w:rFonts w:hint="eastAsia" w:ascii="仿宋" w:hAnsi="仿宋" w:eastAsia="仿宋" w:cs="仿宋"/>
          <w:bCs/>
          <w:sz w:val="24"/>
          <w:highlight w:val="none"/>
        </w:rPr>
        <w:t>提交证明材料不真实的，应承担相应的法律责任。</w:t>
      </w:r>
    </w:p>
    <w:p w14:paraId="0D48C1DE">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4、采购标的的其他技术、服务等要求；</w:t>
      </w:r>
    </w:p>
    <w:p w14:paraId="37530DD7">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4.1、技术证明支持材料</w:t>
      </w:r>
    </w:p>
    <w:p w14:paraId="3359386B">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4.1.1、对于技术规格中标注“★”号的技术参数代表实质性指标，不满足该指标项将直接导致投标被拒绝。</w:t>
      </w:r>
    </w:p>
    <w:p w14:paraId="2E92D47D">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4.1.2、对于技术规格中标注“★”、“</w:t>
      </w:r>
      <w:r>
        <w:rPr>
          <w:rFonts w:ascii="Times New Roman" w:hAnsi="Times New Roman" w:cs="Times New Roman"/>
          <w:color w:val="000000"/>
          <w:sz w:val="20"/>
          <w:szCs w:val="20"/>
        </w:rPr>
        <w:t>▲</w:t>
      </w:r>
      <w:r>
        <w:rPr>
          <w:rFonts w:hint="eastAsia" w:ascii="仿宋" w:hAnsi="仿宋" w:eastAsia="仿宋" w:cs="仿宋"/>
          <w:bCs/>
          <w:sz w:val="24"/>
          <w:highlight w:val="none"/>
        </w:rPr>
        <w:t>”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公章的，评标委员会可不予承认，并可认为该技术应答不符合招标文件要求。由此产生的评标风险，由投标人承担。</w:t>
      </w:r>
    </w:p>
    <w:p w14:paraId="5F93867D">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5、需由投标人提供设计方案、解决方案或者组织方案的采购项目，应当说明采购标的的功能、应用场景、目标等基本要求</w:t>
      </w:r>
    </w:p>
    <w:p w14:paraId="1437FCC8">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无</w:t>
      </w:r>
    </w:p>
    <w:p w14:paraId="38AF36DE">
      <w:pPr>
        <w:snapToGrid w:val="0"/>
        <w:ind w:firstLine="482" w:firstLineChars="200"/>
        <w:jc w:val="left"/>
        <w:rPr>
          <w:rFonts w:ascii="仿宋" w:hAnsi="仿宋" w:eastAsia="仿宋" w:cs="仿宋"/>
          <w:b/>
          <w:bCs/>
          <w:sz w:val="24"/>
          <w:highlight w:val="none"/>
        </w:rPr>
      </w:pPr>
      <w:r>
        <w:rPr>
          <w:rFonts w:hint="eastAsia" w:ascii="仿宋" w:hAnsi="仿宋" w:eastAsia="仿宋" w:cs="仿宋"/>
          <w:b/>
          <w:bCs/>
          <w:sz w:val="24"/>
          <w:highlight w:val="none"/>
        </w:rPr>
        <w:t>（三）验收标准</w:t>
      </w:r>
    </w:p>
    <w:p w14:paraId="7F8636F6">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highlight w:val="none"/>
        </w:rPr>
      </w:pPr>
      <w:r>
        <w:rPr>
          <w:rFonts w:hint="eastAsia" w:ascii="仿宋" w:hAnsi="仿宋" w:eastAsia="仿宋" w:cs="仿宋"/>
          <w:bCs/>
          <w:sz w:val="24"/>
        </w:rPr>
        <w:t>详见</w:t>
      </w:r>
      <w:r>
        <w:rPr>
          <w:rFonts w:hint="eastAsia" w:ascii="仿宋" w:hAnsi="仿宋" w:eastAsia="仿宋" w:cs="仿宋"/>
          <w:bCs/>
          <w:sz w:val="24"/>
          <w:lang w:eastAsia="zh-CN"/>
        </w:rPr>
        <w:t>“</w:t>
      </w:r>
      <w:r>
        <w:rPr>
          <w:rFonts w:hint="eastAsia" w:ascii="仿宋" w:hAnsi="仿宋" w:eastAsia="仿宋" w:cs="仿宋"/>
          <w:bCs/>
          <w:sz w:val="24"/>
          <w:lang w:val="en-US" w:eastAsia="zh-CN"/>
        </w:rPr>
        <w:t xml:space="preserve"> </w:t>
      </w:r>
      <w:r>
        <w:rPr>
          <w:rFonts w:hint="eastAsia" w:ascii="仿宋" w:hAnsi="仿宋" w:eastAsia="仿宋" w:cs="仿宋"/>
          <w:bCs/>
          <w:kern w:val="2"/>
          <w:sz w:val="24"/>
          <w:szCs w:val="24"/>
          <w:lang w:val="en-US" w:eastAsia="zh-CN" w:bidi="ar-SA"/>
        </w:rPr>
        <w:t xml:space="preserve">1、采购标的需满足的性能、材料、结构、外观、质量、安全、技术规格、物理特性等要求： </w:t>
      </w:r>
      <w:r>
        <w:rPr>
          <w:rFonts w:hint="eastAsia" w:ascii="仿宋" w:hAnsi="仿宋" w:eastAsia="仿宋" w:cs="仿宋"/>
          <w:bCs/>
          <w:sz w:val="24"/>
          <w:lang w:val="en-US" w:eastAsia="zh-CN"/>
        </w:rPr>
        <w:t>二、</w:t>
      </w:r>
      <w:r>
        <w:rPr>
          <w:rFonts w:hint="eastAsia" w:ascii="仿宋" w:hAnsi="仿宋" w:eastAsia="仿宋" w:cs="仿宋"/>
          <w:bCs/>
          <w:sz w:val="24"/>
        </w:rPr>
        <w:t>服务要求</w:t>
      </w:r>
      <w:r>
        <w:rPr>
          <w:rFonts w:hint="eastAsia" w:ascii="仿宋" w:hAnsi="仿宋" w:eastAsia="仿宋" w:cs="仿宋"/>
          <w:bCs/>
          <w:sz w:val="24"/>
          <w:lang w:eastAsia="zh-CN"/>
        </w:rPr>
        <w:t>”</w:t>
      </w:r>
      <w:r>
        <w:rPr>
          <w:rFonts w:hint="eastAsia" w:ascii="仿宋" w:hAnsi="仿宋" w:eastAsia="仿宋" w:cs="仿宋"/>
          <w:bCs/>
          <w:sz w:val="24"/>
          <w:lang w:val="en-US" w:eastAsia="zh-CN"/>
        </w:rPr>
        <w:t>中的“验收服务要求”。</w:t>
      </w:r>
    </w:p>
    <w:p w14:paraId="14C64DAB">
      <w:pPr>
        <w:numPr>
          <w:ilvl w:val="255"/>
          <w:numId w:val="0"/>
        </w:numPr>
        <w:snapToGrid w:val="0"/>
        <w:spacing w:line="360" w:lineRule="auto"/>
        <w:ind w:firstLine="482" w:firstLineChars="200"/>
        <w:jc w:val="left"/>
        <w:rPr>
          <w:rFonts w:ascii="仿宋" w:hAnsi="仿宋" w:eastAsia="仿宋" w:cs="仿宋"/>
          <w:b/>
          <w:bCs/>
          <w:sz w:val="24"/>
          <w:highlight w:val="none"/>
        </w:rPr>
      </w:pPr>
      <w:r>
        <w:rPr>
          <w:rFonts w:hint="eastAsia" w:ascii="仿宋" w:hAnsi="仿宋" w:eastAsia="仿宋" w:cs="仿宋"/>
          <w:b/>
          <w:bCs/>
          <w:sz w:val="24"/>
          <w:highlight w:val="none"/>
        </w:rPr>
        <w:t>（四）其他要求</w:t>
      </w:r>
    </w:p>
    <w:p w14:paraId="24EF2CD5">
      <w:pPr>
        <w:numPr>
          <w:ilvl w:val="255"/>
          <w:numId w:val="0"/>
        </w:numPr>
        <w:snapToGrid w:val="0"/>
        <w:spacing w:line="360" w:lineRule="auto"/>
        <w:ind w:firstLine="480" w:firstLineChars="200"/>
        <w:jc w:val="left"/>
        <w:rPr>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sz w:val="24"/>
          <w:highlight w:val="none"/>
        </w:rPr>
        <w:t>无</w:t>
      </w:r>
    </w:p>
    <w:p w14:paraId="633C13E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AFA77"/>
    <w:multiLevelType w:val="singleLevel"/>
    <w:tmpl w:val="8B8AFA77"/>
    <w:lvl w:ilvl="0" w:tentative="0">
      <w:start w:val="2"/>
      <w:numFmt w:val="chineseCounting"/>
      <w:suff w:val="nothing"/>
      <w:lvlText w:val="（%1）"/>
      <w:lvlJc w:val="left"/>
      <w:rPr>
        <w:rFonts w:hint="eastAsia"/>
      </w:rPr>
    </w:lvl>
  </w:abstractNum>
  <w:abstractNum w:abstractNumId="1">
    <w:nsid w:val="B7BC25DB"/>
    <w:multiLevelType w:val="singleLevel"/>
    <w:tmpl w:val="B7BC25DB"/>
    <w:lvl w:ilvl="0" w:tentative="0">
      <w:start w:val="2"/>
      <w:numFmt w:val="chineseCounting"/>
      <w:suff w:val="nothing"/>
      <w:lvlText w:val="（%1）"/>
      <w:lvlJc w:val="left"/>
      <w:rPr>
        <w:rFonts w:hint="eastAsia"/>
      </w:rPr>
    </w:lvl>
  </w:abstractNum>
  <w:abstractNum w:abstractNumId="2">
    <w:nsid w:val="C0461855"/>
    <w:multiLevelType w:val="singleLevel"/>
    <w:tmpl w:val="C0461855"/>
    <w:lvl w:ilvl="0" w:tentative="0">
      <w:start w:val="1"/>
      <w:numFmt w:val="decimal"/>
      <w:lvlText w:val="%1."/>
      <w:lvlJc w:val="left"/>
      <w:pPr>
        <w:ind w:left="635" w:hanging="425"/>
      </w:pPr>
      <w:rPr>
        <w:rFonts w:hint="default"/>
      </w:rPr>
    </w:lvl>
  </w:abstractNum>
  <w:abstractNum w:abstractNumId="3">
    <w:nsid w:val="C7F6C7E2"/>
    <w:multiLevelType w:val="multilevel"/>
    <w:tmpl w:val="C7F6C7E2"/>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DFA7CAD7"/>
    <w:multiLevelType w:val="multilevel"/>
    <w:tmpl w:val="DFA7CAD7"/>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F25AAC22"/>
    <w:multiLevelType w:val="singleLevel"/>
    <w:tmpl w:val="F25AAC22"/>
    <w:lvl w:ilvl="0" w:tentative="0">
      <w:start w:val="1"/>
      <w:numFmt w:val="chineseCounting"/>
      <w:suff w:val="nothing"/>
      <w:lvlText w:val="（%1）"/>
      <w:lvlJc w:val="left"/>
      <w:rPr>
        <w:rFonts w:hint="eastAsia"/>
      </w:rPr>
    </w:lvl>
  </w:abstractNum>
  <w:abstractNum w:abstractNumId="6">
    <w:nsid w:val="F46DC8E7"/>
    <w:multiLevelType w:val="multilevel"/>
    <w:tmpl w:val="F46DC8E7"/>
    <w:lvl w:ilvl="0" w:tentative="0">
      <w:start w:val="1"/>
      <w:numFmt w:val="decimal"/>
      <w:suff w:val="nothing"/>
      <w:lvlText w:val="%1"/>
      <w:lvlJc w:val="left"/>
      <w:pPr>
        <w:tabs>
          <w:tab w:val="left" w:pos="0"/>
        </w:tabs>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F7F41DF6"/>
    <w:multiLevelType w:val="multilevel"/>
    <w:tmpl w:val="F7F41DF6"/>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FBEE260A"/>
    <w:multiLevelType w:val="multilevel"/>
    <w:tmpl w:val="FBEE260A"/>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FFFE039D"/>
    <w:multiLevelType w:val="multilevel"/>
    <w:tmpl w:val="FFFE039D"/>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1348597F"/>
    <w:multiLevelType w:val="multilevel"/>
    <w:tmpl w:val="1348597F"/>
    <w:lvl w:ilvl="0" w:tentative="0">
      <w:start w:val="1"/>
      <w:numFmt w:val="decimal"/>
      <w:suff w:val="nothing"/>
      <w:lvlText w:val="%1"/>
      <w:lvlJc w:val="left"/>
      <w:pPr>
        <w:ind w:left="440" w:hanging="440"/>
      </w:pPr>
      <w:rPr>
        <w:rFonts w:hint="eastAsia" w:ascii="宋体" w:hAnsi="宋体" w:eastAsia="宋体"/>
      </w:rPr>
    </w:lvl>
    <w:lvl w:ilvl="1" w:tentative="0">
      <w:start w:val="1"/>
      <w:numFmt w:val="lowerLetter"/>
      <w:lvlText w:val="%2)"/>
      <w:lvlJc w:val="left"/>
      <w:pPr>
        <w:ind w:left="880" w:hanging="440"/>
      </w:pPr>
      <w:rPr>
        <w:rFonts w:hint="eastAsia"/>
      </w:rPr>
    </w:lvl>
    <w:lvl w:ilvl="2" w:tentative="0">
      <w:start w:val="1"/>
      <w:numFmt w:val="lowerRoman"/>
      <w:lvlText w:val="%3."/>
      <w:lvlJc w:val="right"/>
      <w:pPr>
        <w:ind w:left="1320" w:hanging="440"/>
      </w:pPr>
      <w:rPr>
        <w:rFonts w:hint="eastAsia"/>
      </w:rPr>
    </w:lvl>
    <w:lvl w:ilvl="3" w:tentative="0">
      <w:start w:val="1"/>
      <w:numFmt w:val="decimal"/>
      <w:lvlText w:val="%4."/>
      <w:lvlJc w:val="left"/>
      <w:pPr>
        <w:ind w:left="1760" w:hanging="440"/>
      </w:pPr>
      <w:rPr>
        <w:rFonts w:hint="eastAsia"/>
      </w:r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abstractNum w:abstractNumId="11">
    <w:nsid w:val="3E1850AA"/>
    <w:multiLevelType w:val="multilevel"/>
    <w:tmpl w:val="3E1850AA"/>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6B30CC5E"/>
    <w:multiLevelType w:val="singleLevel"/>
    <w:tmpl w:val="6B30CC5E"/>
    <w:lvl w:ilvl="0" w:tentative="0">
      <w:start w:val="1"/>
      <w:numFmt w:val="decimal"/>
      <w:lvlText w:val="%1."/>
      <w:lvlJc w:val="left"/>
      <w:pPr>
        <w:ind w:left="425" w:hanging="425"/>
      </w:pPr>
      <w:rPr>
        <w:rFonts w:hint="default"/>
      </w:rPr>
    </w:lvl>
  </w:abstractNum>
  <w:num w:numId="1">
    <w:abstractNumId w:val="1"/>
  </w:num>
  <w:num w:numId="2">
    <w:abstractNumId w:val="5"/>
  </w:num>
  <w:num w:numId="3">
    <w:abstractNumId w:val="6"/>
  </w:num>
  <w:num w:numId="4">
    <w:abstractNumId w:val="11"/>
  </w:num>
  <w:num w:numId="5">
    <w:abstractNumId w:val="7"/>
  </w:num>
  <w:num w:numId="6">
    <w:abstractNumId w:val="8"/>
  </w:num>
  <w:num w:numId="7">
    <w:abstractNumId w:val="4"/>
  </w:num>
  <w:num w:numId="8">
    <w:abstractNumId w:val="2"/>
  </w:num>
  <w:num w:numId="9">
    <w:abstractNumId w:val="9"/>
  </w:num>
  <w:num w:numId="10">
    <w:abstractNumId w:val="10"/>
  </w:num>
  <w:num w:numId="11">
    <w:abstractNumId w:val="3"/>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257970"/>
    <w:rsid w:val="4966399E"/>
    <w:rsid w:val="53BF1561"/>
    <w:rsid w:val="59C64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
    <w:pPr>
      <w:keepNext/>
      <w:keepLines/>
      <w:adjustRightInd w:val="0"/>
      <w:spacing w:before="280" w:after="290" w:line="376" w:lineRule="atLeast"/>
      <w:textAlignment w:val="baseline"/>
      <w:outlineLvl w:val="3"/>
    </w:pPr>
    <w:rPr>
      <w:kern w:val="0"/>
      <w:sz w:val="24"/>
      <w:szCs w:val="20"/>
    </w:rPr>
  </w:style>
  <w:style w:type="paragraph" w:styleId="3">
    <w:name w:val="heading 5"/>
    <w:basedOn w:val="1"/>
    <w:next w:val="1"/>
    <w:qFormat/>
    <w:uiPriority w:val="9"/>
    <w:pPr>
      <w:keepNext/>
      <w:keepLines/>
      <w:adjustRightInd w:val="0"/>
      <w:spacing w:before="280" w:after="290" w:line="376" w:lineRule="atLeast"/>
      <w:textAlignment w:val="baseline"/>
      <w:outlineLvl w:val="4"/>
    </w:pPr>
    <w:rPr>
      <w:b/>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customStyle="1" w:styleId="7">
    <w:name w:val="pf0"/>
    <w:basedOn w:val="1"/>
    <w:qFormat/>
    <w:uiPriority w:val="0"/>
    <w:pPr>
      <w:widowControl/>
      <w:spacing w:before="100" w:beforeAutospacing="1" w:after="100" w:afterAutospacing="1"/>
      <w:jc w:val="left"/>
    </w:pPr>
    <w:rPr>
      <w:rFonts w:ascii="宋体" w:hAnsi="宋体" w:cs="宋体"/>
      <w:kern w:val="0"/>
      <w:sz w:val="24"/>
    </w:rPr>
  </w:style>
  <w:style w:type="paragraph" w:styleId="8">
    <w:name w:val="List Paragraph"/>
    <w:basedOn w:val="1"/>
    <w:qFormat/>
    <w:uiPriority w:val="34"/>
    <w:pPr>
      <w:ind w:firstLine="420" w:firstLineChars="200"/>
    </w:pPr>
    <w:rPr>
      <w:rFonts w:ascii="Calibri" w:hAnsi="Calibri"/>
      <w:szCs w:val="22"/>
    </w:rPr>
  </w:style>
  <w:style w:type="character" w:customStyle="1" w:styleId="9">
    <w:name w:val="font31"/>
    <w:basedOn w:val="6"/>
    <w:qFormat/>
    <w:uiPriority w:val="0"/>
    <w:rPr>
      <w:rFonts w:hint="eastAsia" w:ascii="宋体" w:hAnsi="宋体" w:eastAsia="宋体" w:cs="宋体"/>
      <w:color w:val="000000"/>
      <w:sz w:val="21"/>
      <w:szCs w:val="21"/>
      <w:u w:val="none"/>
    </w:rPr>
  </w:style>
  <w:style w:type="paragraph" w:customStyle="1" w:styleId="10">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2635</Words>
  <Characters>2867</Characters>
  <Lines>0</Lines>
  <Paragraphs>0</Paragraphs>
  <TotalTime>2</TotalTime>
  <ScaleCrop>false</ScaleCrop>
  <LinksUpToDate>false</LinksUpToDate>
  <CharactersWithSpaces>2874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2026-08-28T05:19:00Z</dcterms:created>
  <dc:creator>Lenovo</dc:creator>
  <cp:lastModifiedBy>赵雨辰</cp:lastModifiedBy>
  <dcterms:modified xsi:type="dcterms:W3CDTF">2026-08-28T06:35:07Z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eyJoZGlkIjoiMTJlMmE1ZmVlMGMzNDY5NTEwMjNlZTBmYzc4M2ZiN2YiLCJ1c2VySWQiOiIxMTc2MjU1NDAwIn0=</vt:lpwstr>
  </property>
  <property fmtid="{D5CDD505-2E9C-101B-9397-08002B2CF9AE}" pid="4" name="ICV">
    <vt:lpwstr>364E73BCF5BF43AE852FDE409305742F_12</vt:lpwstr>
  </property>
</Properties>
</file>