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970F9">
      <w:pPr>
        <w:snapToGrid w:val="0"/>
        <w:spacing w:line="360" w:lineRule="auto"/>
        <w:jc w:val="center"/>
        <w:outlineLvl w:val="0"/>
        <w:rPr>
          <w:rFonts w:ascii="仿宋" w:hAnsi="仿宋" w:eastAsia="仿宋" w:cs="仿宋"/>
          <w:b/>
          <w:color w:val="auto"/>
          <w:sz w:val="40"/>
          <w:szCs w:val="40"/>
        </w:rPr>
      </w:pPr>
      <w:bookmarkStart w:id="0" w:name="_Toc99301424"/>
      <w:bookmarkStart w:id="68" w:name="_GoBack"/>
      <w:r>
        <w:rPr>
          <w:rFonts w:hint="eastAsia" w:ascii="仿宋" w:hAnsi="仿宋" w:eastAsia="仿宋" w:cs="仿宋"/>
          <w:b/>
          <w:color w:val="auto"/>
          <w:sz w:val="40"/>
          <w:szCs w:val="40"/>
        </w:rPr>
        <w:t>第五章   采购需求</w:t>
      </w:r>
      <w:bookmarkEnd w:id="0"/>
    </w:p>
    <w:p w14:paraId="524FBBA6">
      <w:pPr>
        <w:numPr>
          <w:ilvl w:val="0"/>
          <w:numId w:val="1"/>
        </w:numPr>
        <w:spacing w:line="360" w:lineRule="auto"/>
        <w:ind w:firstLine="482" w:firstLineChars="200"/>
        <w:contextualSpacing/>
        <w:jc w:val="left"/>
        <w:rPr>
          <w:rFonts w:ascii="仿宋" w:hAnsi="仿宋" w:eastAsia="仿宋" w:cs="宋体"/>
          <w:b/>
          <w:color w:val="auto"/>
          <w:sz w:val="24"/>
        </w:rPr>
      </w:pPr>
      <w:r>
        <w:rPr>
          <w:rFonts w:hint="eastAsia" w:ascii="仿宋" w:hAnsi="仿宋" w:eastAsia="仿宋" w:cs="宋体"/>
          <w:b/>
          <w:color w:val="auto"/>
          <w:sz w:val="24"/>
        </w:rPr>
        <w:t>采购标的</w:t>
      </w:r>
    </w:p>
    <w:p w14:paraId="57DEBC2D">
      <w:pPr>
        <w:spacing w:line="360" w:lineRule="auto"/>
        <w:ind w:firstLine="482"/>
        <w:contextualSpacing/>
        <w:rPr>
          <w:rFonts w:ascii="仿宋" w:hAnsi="仿宋" w:eastAsia="仿宋" w:cs="宋体"/>
          <w:b/>
          <w:bCs/>
          <w:color w:val="auto"/>
          <w:sz w:val="24"/>
        </w:rPr>
      </w:pPr>
      <w:r>
        <w:rPr>
          <w:rFonts w:hint="eastAsia" w:ascii="仿宋" w:hAnsi="仿宋" w:eastAsia="仿宋" w:cs="宋体"/>
          <w:b/>
          <w:bCs/>
          <w:color w:val="auto"/>
          <w:sz w:val="24"/>
        </w:rPr>
        <w:t>1.采购标的</w:t>
      </w:r>
    </w:p>
    <w:tbl>
      <w:tblPr>
        <w:tblStyle w:val="43"/>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6"/>
        <w:gridCol w:w="2956"/>
        <w:gridCol w:w="1480"/>
        <w:gridCol w:w="3176"/>
      </w:tblGrid>
      <w:tr w14:paraId="6C521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7" w:type="pct"/>
            <w:vAlign w:val="center"/>
          </w:tcPr>
          <w:p w14:paraId="16E5E144">
            <w:pPr>
              <w:spacing w:line="360" w:lineRule="auto"/>
              <w:contextualSpacing/>
              <w:rPr>
                <w:rFonts w:ascii="仿宋" w:hAnsi="仿宋" w:eastAsia="仿宋" w:cs="宋体"/>
                <w:b/>
                <w:bCs/>
                <w:color w:val="auto"/>
                <w:sz w:val="24"/>
              </w:rPr>
            </w:pPr>
            <w:r>
              <w:rPr>
                <w:rFonts w:hint="eastAsia" w:ascii="仿宋" w:hAnsi="仿宋" w:eastAsia="仿宋" w:cs="宋体"/>
                <w:b/>
                <w:bCs/>
                <w:color w:val="auto"/>
                <w:sz w:val="24"/>
              </w:rPr>
              <w:t>包号</w:t>
            </w:r>
          </w:p>
        </w:tc>
        <w:tc>
          <w:tcPr>
            <w:tcW w:w="1733" w:type="pct"/>
            <w:vAlign w:val="center"/>
          </w:tcPr>
          <w:p w14:paraId="0BFFBC28">
            <w:pPr>
              <w:spacing w:line="360" w:lineRule="auto"/>
              <w:contextualSpacing/>
              <w:jc w:val="center"/>
              <w:rPr>
                <w:rFonts w:ascii="仿宋" w:hAnsi="仿宋" w:eastAsia="仿宋" w:cs="宋体"/>
                <w:b/>
                <w:bCs/>
                <w:color w:val="auto"/>
                <w:sz w:val="24"/>
              </w:rPr>
            </w:pPr>
            <w:r>
              <w:rPr>
                <w:rFonts w:hint="eastAsia" w:ascii="仿宋" w:hAnsi="仿宋" w:eastAsia="仿宋" w:cs="宋体"/>
                <w:b/>
                <w:bCs/>
                <w:color w:val="auto"/>
                <w:sz w:val="24"/>
              </w:rPr>
              <w:t>标的名称</w:t>
            </w:r>
          </w:p>
        </w:tc>
        <w:tc>
          <w:tcPr>
            <w:tcW w:w="868" w:type="pct"/>
            <w:vAlign w:val="center"/>
          </w:tcPr>
          <w:p w14:paraId="6CE204D3">
            <w:pPr>
              <w:spacing w:line="360" w:lineRule="auto"/>
              <w:contextualSpacing/>
              <w:jc w:val="center"/>
              <w:rPr>
                <w:rFonts w:ascii="仿宋" w:hAnsi="仿宋" w:eastAsia="仿宋" w:cs="宋体"/>
                <w:b/>
                <w:bCs/>
                <w:color w:val="auto"/>
                <w:sz w:val="24"/>
              </w:rPr>
            </w:pPr>
            <w:r>
              <w:rPr>
                <w:rFonts w:hint="eastAsia" w:ascii="仿宋" w:hAnsi="仿宋" w:eastAsia="仿宋" w:cs="宋体"/>
                <w:b/>
                <w:bCs/>
                <w:color w:val="auto"/>
                <w:sz w:val="24"/>
              </w:rPr>
              <w:t>数量</w:t>
            </w:r>
          </w:p>
        </w:tc>
        <w:tc>
          <w:tcPr>
            <w:tcW w:w="1862" w:type="pct"/>
            <w:vAlign w:val="center"/>
          </w:tcPr>
          <w:p w14:paraId="35DFF8A1">
            <w:pPr>
              <w:spacing w:line="360" w:lineRule="auto"/>
              <w:contextualSpacing/>
              <w:jc w:val="center"/>
              <w:rPr>
                <w:rFonts w:ascii="仿宋" w:hAnsi="仿宋" w:eastAsia="仿宋" w:cs="宋体"/>
                <w:b/>
                <w:bCs/>
                <w:color w:val="auto"/>
                <w:sz w:val="24"/>
              </w:rPr>
            </w:pPr>
            <w:r>
              <w:rPr>
                <w:rFonts w:hint="eastAsia" w:ascii="仿宋" w:hAnsi="仿宋" w:eastAsia="仿宋" w:cs="宋体"/>
                <w:b/>
                <w:bCs/>
                <w:color w:val="auto"/>
                <w:sz w:val="24"/>
              </w:rPr>
              <w:t>是否接受进口产品</w:t>
            </w:r>
          </w:p>
        </w:tc>
      </w:tr>
      <w:tr w14:paraId="4FD55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7" w:type="pct"/>
            <w:vAlign w:val="center"/>
          </w:tcPr>
          <w:p w14:paraId="24D223F7">
            <w:pPr>
              <w:spacing w:line="360" w:lineRule="auto"/>
              <w:contextualSpacing/>
              <w:jc w:val="center"/>
              <w:rPr>
                <w:rFonts w:ascii="仿宋" w:hAnsi="仿宋" w:eastAsia="仿宋" w:cs="宋体"/>
                <w:bCs/>
                <w:color w:val="auto"/>
                <w:sz w:val="24"/>
              </w:rPr>
            </w:pPr>
            <w:r>
              <w:rPr>
                <w:rFonts w:hint="eastAsia" w:ascii="仿宋" w:hAnsi="仿宋" w:eastAsia="仿宋" w:cs="仿宋"/>
                <w:bCs/>
                <w:color w:val="auto"/>
                <w:sz w:val="24"/>
              </w:rPr>
              <w:t>1</w:t>
            </w:r>
          </w:p>
        </w:tc>
        <w:tc>
          <w:tcPr>
            <w:tcW w:w="1733" w:type="pct"/>
            <w:vAlign w:val="center"/>
          </w:tcPr>
          <w:p w14:paraId="2CBA74CD">
            <w:pPr>
              <w:tabs>
                <w:tab w:val="left" w:pos="360"/>
                <w:tab w:val="left" w:pos="900"/>
              </w:tabs>
              <w:snapToGrid w:val="0"/>
              <w:spacing w:line="360" w:lineRule="auto"/>
              <w:jc w:val="center"/>
              <w:outlineLvl w:val="1"/>
              <w:rPr>
                <w:rFonts w:ascii="仿宋" w:hAnsi="仿宋" w:eastAsia="仿宋" w:cs="宋体"/>
                <w:bCs/>
                <w:color w:val="auto"/>
                <w:sz w:val="24"/>
              </w:rPr>
            </w:pPr>
            <w:r>
              <w:rPr>
                <w:rFonts w:hint="eastAsia" w:ascii="仿宋" w:hAnsi="仿宋" w:eastAsia="仿宋" w:cs="仿宋"/>
                <w:color w:val="auto"/>
                <w:kern w:val="0"/>
                <w:sz w:val="24"/>
                <w:lang w:bidi="ar"/>
              </w:rPr>
              <w:t>测试化验加工委托服务1</w:t>
            </w:r>
          </w:p>
        </w:tc>
        <w:tc>
          <w:tcPr>
            <w:tcW w:w="868" w:type="pct"/>
            <w:vAlign w:val="center"/>
          </w:tcPr>
          <w:p w14:paraId="081FAD8C">
            <w:pPr>
              <w:spacing w:line="360" w:lineRule="auto"/>
              <w:contextualSpacing/>
              <w:jc w:val="center"/>
              <w:rPr>
                <w:rFonts w:ascii="仿宋" w:hAnsi="仿宋" w:eastAsia="仿宋" w:cs="宋体"/>
                <w:bCs/>
                <w:color w:val="auto"/>
                <w:sz w:val="24"/>
              </w:rPr>
            </w:pPr>
            <w:r>
              <w:rPr>
                <w:rFonts w:hint="eastAsia" w:ascii="仿宋" w:hAnsi="仿宋" w:eastAsia="仿宋" w:cs="仿宋"/>
                <w:bCs/>
                <w:color w:val="auto"/>
                <w:sz w:val="24"/>
              </w:rPr>
              <w:t>1项</w:t>
            </w:r>
          </w:p>
        </w:tc>
        <w:tc>
          <w:tcPr>
            <w:tcW w:w="1862" w:type="pct"/>
            <w:vAlign w:val="center"/>
          </w:tcPr>
          <w:p w14:paraId="42519BDE">
            <w:pPr>
              <w:spacing w:line="360" w:lineRule="auto"/>
              <w:contextualSpacing/>
              <w:jc w:val="center"/>
              <w:rPr>
                <w:rFonts w:ascii="仿宋" w:hAnsi="仿宋" w:eastAsia="仿宋" w:cs="宋体"/>
                <w:bCs/>
                <w:color w:val="auto"/>
                <w:sz w:val="24"/>
              </w:rPr>
            </w:pPr>
            <w:r>
              <w:rPr>
                <w:rFonts w:hint="eastAsia" w:ascii="仿宋" w:hAnsi="仿宋" w:eastAsia="仿宋" w:cs="宋体"/>
                <w:bCs/>
                <w:color w:val="auto"/>
                <w:sz w:val="24"/>
              </w:rPr>
              <w:t>否</w:t>
            </w:r>
          </w:p>
        </w:tc>
      </w:tr>
      <w:tr w14:paraId="495DC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7" w:type="pct"/>
            <w:vAlign w:val="center"/>
          </w:tcPr>
          <w:p w14:paraId="390B96AF">
            <w:pPr>
              <w:spacing w:line="360" w:lineRule="auto"/>
              <w:contextualSpacing/>
              <w:jc w:val="center"/>
              <w:rPr>
                <w:rFonts w:ascii="仿宋" w:hAnsi="仿宋" w:eastAsia="仿宋" w:cs="宋体"/>
                <w:bCs/>
                <w:color w:val="auto"/>
                <w:sz w:val="24"/>
              </w:rPr>
            </w:pPr>
            <w:r>
              <w:rPr>
                <w:rFonts w:hint="eastAsia" w:ascii="仿宋" w:hAnsi="仿宋" w:eastAsia="仿宋" w:cs="仿宋"/>
                <w:bCs/>
                <w:color w:val="auto"/>
                <w:sz w:val="24"/>
              </w:rPr>
              <w:t>2</w:t>
            </w:r>
          </w:p>
        </w:tc>
        <w:tc>
          <w:tcPr>
            <w:tcW w:w="1733" w:type="pct"/>
            <w:vAlign w:val="center"/>
          </w:tcPr>
          <w:p w14:paraId="0CA08402">
            <w:pPr>
              <w:tabs>
                <w:tab w:val="left" w:pos="360"/>
                <w:tab w:val="left" w:pos="900"/>
              </w:tabs>
              <w:snapToGrid w:val="0"/>
              <w:spacing w:line="360" w:lineRule="auto"/>
              <w:jc w:val="center"/>
              <w:outlineLvl w:val="1"/>
              <w:rPr>
                <w:rFonts w:ascii="仿宋" w:hAnsi="仿宋" w:eastAsia="仿宋" w:cs="宋体"/>
                <w:bCs/>
                <w:color w:val="auto"/>
                <w:sz w:val="24"/>
              </w:rPr>
            </w:pPr>
            <w:r>
              <w:rPr>
                <w:rFonts w:hint="eastAsia" w:ascii="仿宋" w:hAnsi="仿宋" w:eastAsia="仿宋" w:cs="仿宋"/>
                <w:color w:val="auto"/>
                <w:kern w:val="0"/>
                <w:sz w:val="24"/>
                <w:lang w:bidi="ar"/>
              </w:rPr>
              <w:t>测试化验加工委托服务2</w:t>
            </w:r>
          </w:p>
        </w:tc>
        <w:tc>
          <w:tcPr>
            <w:tcW w:w="868" w:type="pct"/>
            <w:vAlign w:val="center"/>
          </w:tcPr>
          <w:p w14:paraId="04F4EF56">
            <w:pPr>
              <w:spacing w:line="360" w:lineRule="auto"/>
              <w:contextualSpacing/>
              <w:jc w:val="center"/>
              <w:rPr>
                <w:rFonts w:ascii="仿宋" w:hAnsi="仿宋" w:eastAsia="仿宋" w:cs="宋体"/>
                <w:bCs/>
                <w:color w:val="auto"/>
                <w:sz w:val="24"/>
              </w:rPr>
            </w:pPr>
            <w:r>
              <w:rPr>
                <w:rFonts w:hint="eastAsia" w:ascii="仿宋" w:hAnsi="仿宋" w:eastAsia="仿宋" w:cs="仿宋"/>
                <w:bCs/>
                <w:color w:val="auto"/>
                <w:sz w:val="24"/>
              </w:rPr>
              <w:t>1项</w:t>
            </w:r>
          </w:p>
        </w:tc>
        <w:tc>
          <w:tcPr>
            <w:tcW w:w="1862" w:type="pct"/>
            <w:vAlign w:val="center"/>
          </w:tcPr>
          <w:p w14:paraId="438E68F8">
            <w:pPr>
              <w:spacing w:line="360" w:lineRule="auto"/>
              <w:contextualSpacing/>
              <w:jc w:val="center"/>
              <w:rPr>
                <w:rFonts w:ascii="仿宋" w:hAnsi="仿宋" w:eastAsia="仿宋" w:cs="宋体"/>
                <w:bCs/>
                <w:color w:val="auto"/>
                <w:sz w:val="24"/>
              </w:rPr>
            </w:pPr>
            <w:r>
              <w:rPr>
                <w:rFonts w:hint="eastAsia" w:ascii="仿宋" w:hAnsi="仿宋" w:eastAsia="仿宋" w:cs="宋体"/>
                <w:bCs/>
                <w:color w:val="auto"/>
                <w:sz w:val="24"/>
              </w:rPr>
              <w:t>否</w:t>
            </w:r>
          </w:p>
        </w:tc>
      </w:tr>
      <w:tr w14:paraId="0726C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7" w:type="pct"/>
            <w:vAlign w:val="center"/>
          </w:tcPr>
          <w:p w14:paraId="0DF81B08">
            <w:pPr>
              <w:spacing w:line="360" w:lineRule="auto"/>
              <w:contextualSpacing/>
              <w:jc w:val="center"/>
              <w:rPr>
                <w:rFonts w:ascii="仿宋" w:hAnsi="仿宋" w:eastAsia="仿宋" w:cs="宋体"/>
                <w:bCs/>
                <w:color w:val="auto"/>
                <w:sz w:val="24"/>
              </w:rPr>
            </w:pPr>
            <w:r>
              <w:rPr>
                <w:rFonts w:hint="eastAsia" w:ascii="仿宋" w:hAnsi="仿宋" w:eastAsia="仿宋" w:cs="仿宋"/>
                <w:bCs/>
                <w:color w:val="auto"/>
                <w:sz w:val="24"/>
              </w:rPr>
              <w:t>3</w:t>
            </w:r>
          </w:p>
        </w:tc>
        <w:tc>
          <w:tcPr>
            <w:tcW w:w="1733" w:type="pct"/>
            <w:vAlign w:val="center"/>
          </w:tcPr>
          <w:p w14:paraId="0231C81E">
            <w:pPr>
              <w:tabs>
                <w:tab w:val="left" w:pos="360"/>
                <w:tab w:val="left" w:pos="900"/>
              </w:tabs>
              <w:snapToGrid w:val="0"/>
              <w:spacing w:line="360" w:lineRule="auto"/>
              <w:jc w:val="center"/>
              <w:outlineLvl w:val="1"/>
              <w:rPr>
                <w:rFonts w:ascii="仿宋" w:hAnsi="仿宋" w:eastAsia="仿宋" w:cs="宋体"/>
                <w:bCs/>
                <w:color w:val="auto"/>
                <w:sz w:val="24"/>
              </w:rPr>
            </w:pPr>
            <w:r>
              <w:rPr>
                <w:rFonts w:hint="eastAsia" w:ascii="仿宋" w:hAnsi="仿宋" w:eastAsia="仿宋" w:cs="仿宋"/>
                <w:color w:val="auto"/>
                <w:kern w:val="0"/>
                <w:sz w:val="24"/>
                <w:lang w:bidi="ar"/>
              </w:rPr>
              <w:t>测试化验加工委托服务3</w:t>
            </w:r>
          </w:p>
        </w:tc>
        <w:tc>
          <w:tcPr>
            <w:tcW w:w="868" w:type="pct"/>
            <w:vAlign w:val="center"/>
          </w:tcPr>
          <w:p w14:paraId="4AD6E1F1">
            <w:pPr>
              <w:spacing w:line="360" w:lineRule="auto"/>
              <w:contextualSpacing/>
              <w:jc w:val="center"/>
              <w:rPr>
                <w:rFonts w:ascii="仿宋" w:hAnsi="仿宋" w:eastAsia="仿宋" w:cs="宋体"/>
                <w:bCs/>
                <w:color w:val="auto"/>
                <w:sz w:val="24"/>
              </w:rPr>
            </w:pPr>
            <w:r>
              <w:rPr>
                <w:rFonts w:hint="eastAsia" w:ascii="仿宋" w:hAnsi="仿宋" w:eastAsia="仿宋" w:cs="仿宋"/>
                <w:bCs/>
                <w:color w:val="auto"/>
                <w:sz w:val="24"/>
              </w:rPr>
              <w:t>1项</w:t>
            </w:r>
          </w:p>
        </w:tc>
        <w:tc>
          <w:tcPr>
            <w:tcW w:w="1862" w:type="pct"/>
            <w:vAlign w:val="center"/>
          </w:tcPr>
          <w:p w14:paraId="30A6B97D">
            <w:pPr>
              <w:spacing w:line="360" w:lineRule="auto"/>
              <w:contextualSpacing/>
              <w:jc w:val="center"/>
              <w:rPr>
                <w:rFonts w:ascii="仿宋" w:hAnsi="仿宋" w:eastAsia="仿宋" w:cs="宋体"/>
                <w:bCs/>
                <w:color w:val="auto"/>
                <w:sz w:val="24"/>
              </w:rPr>
            </w:pPr>
            <w:r>
              <w:rPr>
                <w:rFonts w:hint="eastAsia" w:ascii="仿宋" w:hAnsi="仿宋" w:eastAsia="仿宋" w:cs="宋体"/>
                <w:bCs/>
                <w:color w:val="auto"/>
                <w:sz w:val="24"/>
              </w:rPr>
              <w:t>否</w:t>
            </w:r>
          </w:p>
        </w:tc>
      </w:tr>
      <w:tr w14:paraId="07DDE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7" w:type="pct"/>
            <w:vAlign w:val="center"/>
          </w:tcPr>
          <w:p w14:paraId="291BA6C9">
            <w:pPr>
              <w:spacing w:line="360" w:lineRule="auto"/>
              <w:contextualSpacing/>
              <w:jc w:val="center"/>
              <w:rPr>
                <w:rFonts w:ascii="仿宋" w:hAnsi="仿宋" w:eastAsia="仿宋" w:cs="宋体"/>
                <w:bCs/>
                <w:color w:val="auto"/>
                <w:sz w:val="24"/>
              </w:rPr>
            </w:pPr>
            <w:r>
              <w:rPr>
                <w:rFonts w:hint="eastAsia" w:ascii="仿宋" w:hAnsi="仿宋" w:eastAsia="仿宋" w:cs="仿宋"/>
                <w:bCs/>
                <w:color w:val="auto"/>
                <w:sz w:val="24"/>
              </w:rPr>
              <w:t>4</w:t>
            </w:r>
          </w:p>
        </w:tc>
        <w:tc>
          <w:tcPr>
            <w:tcW w:w="1733" w:type="pct"/>
            <w:vAlign w:val="center"/>
          </w:tcPr>
          <w:p w14:paraId="24DA4549">
            <w:pPr>
              <w:tabs>
                <w:tab w:val="left" w:pos="360"/>
                <w:tab w:val="left" w:pos="900"/>
              </w:tabs>
              <w:snapToGrid w:val="0"/>
              <w:spacing w:line="360" w:lineRule="auto"/>
              <w:jc w:val="center"/>
              <w:outlineLvl w:val="1"/>
              <w:rPr>
                <w:rFonts w:ascii="仿宋" w:hAnsi="仿宋" w:eastAsia="仿宋" w:cs="宋体"/>
                <w:bCs/>
                <w:color w:val="auto"/>
                <w:sz w:val="24"/>
              </w:rPr>
            </w:pPr>
            <w:r>
              <w:rPr>
                <w:rFonts w:hint="eastAsia" w:ascii="仿宋" w:hAnsi="仿宋" w:eastAsia="仿宋" w:cs="仿宋"/>
                <w:color w:val="auto"/>
                <w:kern w:val="0"/>
                <w:sz w:val="24"/>
                <w:lang w:bidi="ar"/>
              </w:rPr>
              <w:t>测试化验加工委托服务4</w:t>
            </w:r>
          </w:p>
        </w:tc>
        <w:tc>
          <w:tcPr>
            <w:tcW w:w="868" w:type="pct"/>
            <w:vAlign w:val="center"/>
          </w:tcPr>
          <w:p w14:paraId="64A0DA4F">
            <w:pPr>
              <w:spacing w:line="360" w:lineRule="auto"/>
              <w:contextualSpacing/>
              <w:jc w:val="center"/>
              <w:rPr>
                <w:rFonts w:ascii="仿宋" w:hAnsi="仿宋" w:eastAsia="仿宋" w:cs="宋体"/>
                <w:bCs/>
                <w:color w:val="auto"/>
                <w:sz w:val="24"/>
              </w:rPr>
            </w:pPr>
            <w:r>
              <w:rPr>
                <w:rFonts w:hint="eastAsia" w:ascii="仿宋" w:hAnsi="仿宋" w:eastAsia="仿宋" w:cs="仿宋"/>
                <w:bCs/>
                <w:color w:val="auto"/>
                <w:sz w:val="24"/>
              </w:rPr>
              <w:t>1项</w:t>
            </w:r>
          </w:p>
        </w:tc>
        <w:tc>
          <w:tcPr>
            <w:tcW w:w="1862" w:type="pct"/>
            <w:vAlign w:val="center"/>
          </w:tcPr>
          <w:p w14:paraId="09E3EBE8">
            <w:pPr>
              <w:spacing w:line="360" w:lineRule="auto"/>
              <w:contextualSpacing/>
              <w:jc w:val="center"/>
              <w:rPr>
                <w:rFonts w:ascii="仿宋" w:hAnsi="仿宋" w:eastAsia="仿宋" w:cs="宋体"/>
                <w:bCs/>
                <w:color w:val="auto"/>
                <w:sz w:val="24"/>
              </w:rPr>
            </w:pPr>
            <w:r>
              <w:rPr>
                <w:rFonts w:hint="eastAsia" w:ascii="仿宋" w:hAnsi="仿宋" w:eastAsia="仿宋" w:cs="宋体"/>
                <w:bCs/>
                <w:color w:val="auto"/>
                <w:sz w:val="24"/>
              </w:rPr>
              <w:t>否</w:t>
            </w:r>
          </w:p>
        </w:tc>
      </w:tr>
      <w:tr w14:paraId="63D0F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7" w:type="pct"/>
            <w:vAlign w:val="center"/>
          </w:tcPr>
          <w:p w14:paraId="19E31A50">
            <w:pPr>
              <w:spacing w:line="360" w:lineRule="auto"/>
              <w:contextualSpacing/>
              <w:jc w:val="center"/>
              <w:rPr>
                <w:rFonts w:ascii="仿宋" w:hAnsi="仿宋" w:eastAsia="仿宋" w:cs="宋体"/>
                <w:bCs/>
                <w:color w:val="auto"/>
                <w:sz w:val="24"/>
              </w:rPr>
            </w:pPr>
            <w:r>
              <w:rPr>
                <w:rFonts w:hint="eastAsia" w:ascii="仿宋" w:hAnsi="仿宋" w:eastAsia="仿宋" w:cs="仿宋"/>
                <w:bCs/>
                <w:color w:val="auto"/>
                <w:sz w:val="24"/>
              </w:rPr>
              <w:t>5</w:t>
            </w:r>
          </w:p>
        </w:tc>
        <w:tc>
          <w:tcPr>
            <w:tcW w:w="1733" w:type="pct"/>
            <w:vAlign w:val="center"/>
          </w:tcPr>
          <w:p w14:paraId="38752576">
            <w:pPr>
              <w:tabs>
                <w:tab w:val="left" w:pos="360"/>
                <w:tab w:val="left" w:pos="900"/>
              </w:tabs>
              <w:snapToGrid w:val="0"/>
              <w:spacing w:line="360" w:lineRule="auto"/>
              <w:jc w:val="center"/>
              <w:outlineLvl w:val="1"/>
              <w:rPr>
                <w:rFonts w:ascii="仿宋" w:hAnsi="仿宋" w:eastAsia="仿宋" w:cs="宋体"/>
                <w:bCs/>
                <w:color w:val="auto"/>
                <w:sz w:val="24"/>
              </w:rPr>
            </w:pPr>
            <w:r>
              <w:rPr>
                <w:rFonts w:hint="eastAsia" w:ascii="仿宋" w:hAnsi="仿宋" w:eastAsia="仿宋" w:cs="仿宋"/>
                <w:color w:val="auto"/>
                <w:kern w:val="0"/>
                <w:sz w:val="24"/>
                <w:lang w:bidi="ar"/>
              </w:rPr>
              <w:t>测试化验加工委托服务5</w:t>
            </w:r>
          </w:p>
        </w:tc>
        <w:tc>
          <w:tcPr>
            <w:tcW w:w="868" w:type="pct"/>
            <w:vAlign w:val="center"/>
          </w:tcPr>
          <w:p w14:paraId="012AF4C4">
            <w:pPr>
              <w:spacing w:line="360" w:lineRule="auto"/>
              <w:contextualSpacing/>
              <w:jc w:val="center"/>
              <w:rPr>
                <w:rFonts w:ascii="仿宋" w:hAnsi="仿宋" w:eastAsia="仿宋" w:cs="宋体"/>
                <w:bCs/>
                <w:color w:val="auto"/>
                <w:sz w:val="24"/>
              </w:rPr>
            </w:pPr>
            <w:r>
              <w:rPr>
                <w:rFonts w:hint="eastAsia" w:ascii="仿宋" w:hAnsi="仿宋" w:eastAsia="仿宋" w:cs="仿宋"/>
                <w:bCs/>
                <w:color w:val="auto"/>
                <w:sz w:val="24"/>
              </w:rPr>
              <w:t>1项</w:t>
            </w:r>
          </w:p>
        </w:tc>
        <w:tc>
          <w:tcPr>
            <w:tcW w:w="1862" w:type="pct"/>
            <w:vAlign w:val="center"/>
          </w:tcPr>
          <w:p w14:paraId="67FCAEF6">
            <w:pPr>
              <w:spacing w:line="360" w:lineRule="auto"/>
              <w:contextualSpacing/>
              <w:jc w:val="center"/>
              <w:rPr>
                <w:rFonts w:ascii="仿宋" w:hAnsi="仿宋" w:eastAsia="仿宋" w:cs="宋体"/>
                <w:bCs/>
                <w:color w:val="auto"/>
                <w:sz w:val="24"/>
              </w:rPr>
            </w:pPr>
            <w:r>
              <w:rPr>
                <w:rFonts w:hint="eastAsia" w:ascii="仿宋" w:hAnsi="仿宋" w:eastAsia="仿宋" w:cs="宋体"/>
                <w:bCs/>
                <w:color w:val="auto"/>
                <w:sz w:val="24"/>
              </w:rPr>
              <w:t>否</w:t>
            </w:r>
          </w:p>
        </w:tc>
      </w:tr>
      <w:tr w14:paraId="5A1B3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7" w:type="pct"/>
            <w:vAlign w:val="center"/>
          </w:tcPr>
          <w:p w14:paraId="72840FC0">
            <w:pPr>
              <w:spacing w:line="360" w:lineRule="auto"/>
              <w:contextualSpacing/>
              <w:jc w:val="center"/>
              <w:rPr>
                <w:rFonts w:ascii="仿宋" w:hAnsi="仿宋" w:eastAsia="仿宋" w:cs="宋体"/>
                <w:bCs/>
                <w:color w:val="auto"/>
                <w:sz w:val="24"/>
              </w:rPr>
            </w:pPr>
            <w:r>
              <w:rPr>
                <w:rFonts w:hint="eastAsia" w:ascii="仿宋" w:hAnsi="仿宋" w:eastAsia="仿宋" w:cs="仿宋"/>
                <w:bCs/>
                <w:color w:val="auto"/>
                <w:sz w:val="24"/>
              </w:rPr>
              <w:t>6</w:t>
            </w:r>
          </w:p>
        </w:tc>
        <w:tc>
          <w:tcPr>
            <w:tcW w:w="1733" w:type="pct"/>
            <w:vAlign w:val="center"/>
          </w:tcPr>
          <w:p w14:paraId="4F5D28FE">
            <w:pPr>
              <w:tabs>
                <w:tab w:val="left" w:pos="360"/>
                <w:tab w:val="left" w:pos="900"/>
              </w:tabs>
              <w:snapToGrid w:val="0"/>
              <w:spacing w:line="360" w:lineRule="auto"/>
              <w:jc w:val="center"/>
              <w:outlineLvl w:val="1"/>
              <w:rPr>
                <w:rFonts w:ascii="仿宋" w:hAnsi="仿宋" w:eastAsia="仿宋" w:cs="宋体"/>
                <w:bCs/>
                <w:color w:val="auto"/>
                <w:sz w:val="24"/>
              </w:rPr>
            </w:pPr>
            <w:r>
              <w:rPr>
                <w:rFonts w:hint="eastAsia" w:ascii="仿宋" w:hAnsi="仿宋" w:eastAsia="仿宋" w:cs="仿宋"/>
                <w:color w:val="auto"/>
                <w:kern w:val="0"/>
                <w:sz w:val="24"/>
                <w:lang w:bidi="ar"/>
              </w:rPr>
              <w:t>测试化验加工委托服务6</w:t>
            </w:r>
          </w:p>
        </w:tc>
        <w:tc>
          <w:tcPr>
            <w:tcW w:w="868" w:type="pct"/>
            <w:vAlign w:val="center"/>
          </w:tcPr>
          <w:p w14:paraId="43FA75DC">
            <w:pPr>
              <w:spacing w:line="360" w:lineRule="auto"/>
              <w:contextualSpacing/>
              <w:jc w:val="center"/>
              <w:rPr>
                <w:rFonts w:ascii="仿宋" w:hAnsi="仿宋" w:eastAsia="仿宋" w:cs="宋体"/>
                <w:bCs/>
                <w:color w:val="auto"/>
                <w:sz w:val="24"/>
              </w:rPr>
            </w:pPr>
            <w:r>
              <w:rPr>
                <w:rFonts w:hint="eastAsia" w:ascii="仿宋" w:hAnsi="仿宋" w:eastAsia="仿宋" w:cs="仿宋"/>
                <w:bCs/>
                <w:color w:val="auto"/>
                <w:sz w:val="24"/>
              </w:rPr>
              <w:t>1项</w:t>
            </w:r>
          </w:p>
        </w:tc>
        <w:tc>
          <w:tcPr>
            <w:tcW w:w="1862" w:type="pct"/>
            <w:vAlign w:val="center"/>
          </w:tcPr>
          <w:p w14:paraId="7A884DBD">
            <w:pPr>
              <w:spacing w:line="360" w:lineRule="auto"/>
              <w:contextualSpacing/>
              <w:jc w:val="center"/>
              <w:rPr>
                <w:rFonts w:ascii="仿宋" w:hAnsi="仿宋" w:eastAsia="仿宋" w:cs="宋体"/>
                <w:bCs/>
                <w:color w:val="auto"/>
                <w:sz w:val="24"/>
              </w:rPr>
            </w:pPr>
            <w:r>
              <w:rPr>
                <w:rFonts w:hint="eastAsia" w:ascii="仿宋" w:hAnsi="仿宋" w:eastAsia="仿宋" w:cs="宋体"/>
                <w:bCs/>
                <w:color w:val="auto"/>
                <w:sz w:val="24"/>
              </w:rPr>
              <w:t>否</w:t>
            </w:r>
          </w:p>
        </w:tc>
      </w:tr>
      <w:tr w14:paraId="60EEF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7" w:type="pct"/>
            <w:vAlign w:val="center"/>
          </w:tcPr>
          <w:p w14:paraId="17D4321B">
            <w:pPr>
              <w:spacing w:line="360" w:lineRule="auto"/>
              <w:contextualSpacing/>
              <w:jc w:val="center"/>
              <w:rPr>
                <w:rFonts w:ascii="仿宋" w:hAnsi="仿宋" w:eastAsia="仿宋" w:cs="宋体"/>
                <w:bCs/>
                <w:color w:val="auto"/>
                <w:sz w:val="24"/>
              </w:rPr>
            </w:pPr>
            <w:r>
              <w:rPr>
                <w:rFonts w:hint="eastAsia" w:ascii="仿宋" w:hAnsi="仿宋" w:eastAsia="仿宋" w:cs="仿宋"/>
                <w:bCs/>
                <w:color w:val="auto"/>
                <w:sz w:val="24"/>
              </w:rPr>
              <w:t>7</w:t>
            </w:r>
          </w:p>
        </w:tc>
        <w:tc>
          <w:tcPr>
            <w:tcW w:w="1733" w:type="pct"/>
            <w:vAlign w:val="center"/>
          </w:tcPr>
          <w:p w14:paraId="4292F679">
            <w:pPr>
              <w:tabs>
                <w:tab w:val="left" w:pos="360"/>
                <w:tab w:val="left" w:pos="900"/>
              </w:tabs>
              <w:snapToGrid w:val="0"/>
              <w:spacing w:line="360" w:lineRule="auto"/>
              <w:jc w:val="center"/>
              <w:outlineLvl w:val="1"/>
              <w:rPr>
                <w:rFonts w:ascii="仿宋" w:hAnsi="仿宋" w:eastAsia="仿宋" w:cs="宋体"/>
                <w:bCs/>
                <w:color w:val="auto"/>
                <w:sz w:val="24"/>
              </w:rPr>
            </w:pPr>
            <w:r>
              <w:rPr>
                <w:rFonts w:hint="eastAsia" w:ascii="仿宋" w:hAnsi="仿宋" w:eastAsia="仿宋" w:cs="仿宋"/>
                <w:color w:val="auto"/>
                <w:kern w:val="0"/>
                <w:sz w:val="24"/>
                <w:lang w:bidi="ar"/>
              </w:rPr>
              <w:t>测试化验加工委托服务7</w:t>
            </w:r>
          </w:p>
        </w:tc>
        <w:tc>
          <w:tcPr>
            <w:tcW w:w="868" w:type="pct"/>
            <w:vAlign w:val="center"/>
          </w:tcPr>
          <w:p w14:paraId="1B06506F">
            <w:pPr>
              <w:spacing w:line="360" w:lineRule="auto"/>
              <w:contextualSpacing/>
              <w:jc w:val="center"/>
              <w:rPr>
                <w:rFonts w:ascii="仿宋" w:hAnsi="仿宋" w:eastAsia="仿宋" w:cs="宋体"/>
                <w:bCs/>
                <w:color w:val="auto"/>
                <w:sz w:val="24"/>
              </w:rPr>
            </w:pPr>
            <w:r>
              <w:rPr>
                <w:rFonts w:hint="eastAsia" w:ascii="仿宋" w:hAnsi="仿宋" w:eastAsia="仿宋" w:cs="仿宋"/>
                <w:bCs/>
                <w:color w:val="auto"/>
                <w:sz w:val="24"/>
              </w:rPr>
              <w:t>1项</w:t>
            </w:r>
          </w:p>
        </w:tc>
        <w:tc>
          <w:tcPr>
            <w:tcW w:w="1862" w:type="pct"/>
            <w:vAlign w:val="center"/>
          </w:tcPr>
          <w:p w14:paraId="5C4868F2">
            <w:pPr>
              <w:spacing w:line="360" w:lineRule="auto"/>
              <w:contextualSpacing/>
              <w:jc w:val="center"/>
              <w:rPr>
                <w:rFonts w:ascii="仿宋" w:hAnsi="仿宋" w:eastAsia="仿宋" w:cs="宋体"/>
                <w:bCs/>
                <w:color w:val="auto"/>
                <w:sz w:val="24"/>
              </w:rPr>
            </w:pPr>
            <w:r>
              <w:rPr>
                <w:rFonts w:hint="eastAsia" w:ascii="仿宋" w:hAnsi="仿宋" w:eastAsia="仿宋" w:cs="宋体"/>
                <w:bCs/>
                <w:color w:val="auto"/>
                <w:sz w:val="24"/>
              </w:rPr>
              <w:t>否</w:t>
            </w:r>
          </w:p>
        </w:tc>
      </w:tr>
      <w:tr w14:paraId="671D4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7" w:type="pct"/>
            <w:vAlign w:val="center"/>
          </w:tcPr>
          <w:p w14:paraId="2D7CF65A">
            <w:pPr>
              <w:spacing w:line="360" w:lineRule="auto"/>
              <w:contextualSpacing/>
              <w:jc w:val="center"/>
              <w:rPr>
                <w:rFonts w:ascii="仿宋" w:hAnsi="仿宋" w:eastAsia="仿宋" w:cs="宋体"/>
                <w:bCs/>
                <w:color w:val="auto"/>
                <w:sz w:val="24"/>
              </w:rPr>
            </w:pPr>
            <w:r>
              <w:rPr>
                <w:rFonts w:hint="eastAsia" w:ascii="仿宋" w:hAnsi="仿宋" w:eastAsia="仿宋" w:cs="仿宋"/>
                <w:bCs/>
                <w:color w:val="auto"/>
                <w:sz w:val="24"/>
              </w:rPr>
              <w:t>8</w:t>
            </w:r>
          </w:p>
        </w:tc>
        <w:tc>
          <w:tcPr>
            <w:tcW w:w="1733" w:type="pct"/>
            <w:vAlign w:val="center"/>
          </w:tcPr>
          <w:p w14:paraId="2E0394D7">
            <w:pPr>
              <w:tabs>
                <w:tab w:val="left" w:pos="360"/>
                <w:tab w:val="left" w:pos="900"/>
              </w:tabs>
              <w:snapToGrid w:val="0"/>
              <w:spacing w:line="360" w:lineRule="auto"/>
              <w:jc w:val="center"/>
              <w:outlineLvl w:val="1"/>
              <w:rPr>
                <w:rFonts w:ascii="仿宋" w:hAnsi="仿宋" w:eastAsia="仿宋" w:cs="宋体"/>
                <w:bCs/>
                <w:color w:val="auto"/>
                <w:sz w:val="24"/>
              </w:rPr>
            </w:pPr>
            <w:r>
              <w:rPr>
                <w:rFonts w:hint="eastAsia" w:ascii="仿宋" w:hAnsi="仿宋" w:eastAsia="仿宋" w:cs="仿宋"/>
                <w:color w:val="auto"/>
                <w:kern w:val="0"/>
                <w:sz w:val="24"/>
                <w:lang w:bidi="ar"/>
              </w:rPr>
              <w:t>测试化验加工委托服务8</w:t>
            </w:r>
          </w:p>
        </w:tc>
        <w:tc>
          <w:tcPr>
            <w:tcW w:w="868" w:type="pct"/>
            <w:vAlign w:val="center"/>
          </w:tcPr>
          <w:p w14:paraId="5A71D425">
            <w:pPr>
              <w:spacing w:line="360" w:lineRule="auto"/>
              <w:contextualSpacing/>
              <w:jc w:val="center"/>
              <w:rPr>
                <w:rFonts w:ascii="仿宋" w:hAnsi="仿宋" w:eastAsia="仿宋" w:cs="宋体"/>
                <w:bCs/>
                <w:color w:val="auto"/>
                <w:sz w:val="24"/>
              </w:rPr>
            </w:pPr>
            <w:r>
              <w:rPr>
                <w:rFonts w:hint="eastAsia" w:ascii="仿宋" w:hAnsi="仿宋" w:eastAsia="仿宋" w:cs="仿宋"/>
                <w:bCs/>
                <w:color w:val="auto"/>
                <w:sz w:val="24"/>
              </w:rPr>
              <w:t>1项</w:t>
            </w:r>
          </w:p>
        </w:tc>
        <w:tc>
          <w:tcPr>
            <w:tcW w:w="1862" w:type="pct"/>
            <w:vAlign w:val="center"/>
          </w:tcPr>
          <w:p w14:paraId="5BE479B0">
            <w:pPr>
              <w:spacing w:line="360" w:lineRule="auto"/>
              <w:contextualSpacing/>
              <w:jc w:val="center"/>
              <w:rPr>
                <w:rFonts w:ascii="仿宋" w:hAnsi="仿宋" w:eastAsia="仿宋" w:cs="宋体"/>
                <w:bCs/>
                <w:color w:val="auto"/>
                <w:sz w:val="24"/>
              </w:rPr>
            </w:pPr>
            <w:r>
              <w:rPr>
                <w:rFonts w:hint="eastAsia" w:ascii="仿宋" w:hAnsi="仿宋" w:eastAsia="仿宋" w:cs="宋体"/>
                <w:bCs/>
                <w:color w:val="auto"/>
                <w:sz w:val="24"/>
              </w:rPr>
              <w:t>否</w:t>
            </w:r>
          </w:p>
        </w:tc>
      </w:tr>
      <w:tr w14:paraId="050B5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7" w:type="pct"/>
            <w:vAlign w:val="center"/>
          </w:tcPr>
          <w:p w14:paraId="68B54FC7">
            <w:pPr>
              <w:spacing w:line="360" w:lineRule="auto"/>
              <w:contextualSpacing/>
              <w:jc w:val="center"/>
              <w:rPr>
                <w:rFonts w:ascii="仿宋" w:hAnsi="仿宋" w:eastAsia="仿宋" w:cs="宋体"/>
                <w:bCs/>
                <w:color w:val="auto"/>
                <w:sz w:val="24"/>
              </w:rPr>
            </w:pPr>
            <w:r>
              <w:rPr>
                <w:rFonts w:hint="eastAsia" w:ascii="仿宋" w:hAnsi="仿宋" w:eastAsia="仿宋" w:cs="仿宋"/>
                <w:bCs/>
                <w:color w:val="auto"/>
                <w:sz w:val="24"/>
              </w:rPr>
              <w:t>9</w:t>
            </w:r>
          </w:p>
        </w:tc>
        <w:tc>
          <w:tcPr>
            <w:tcW w:w="1733" w:type="pct"/>
            <w:vAlign w:val="center"/>
          </w:tcPr>
          <w:p w14:paraId="0EC26DE5">
            <w:pPr>
              <w:tabs>
                <w:tab w:val="left" w:pos="360"/>
                <w:tab w:val="left" w:pos="900"/>
              </w:tabs>
              <w:snapToGrid w:val="0"/>
              <w:spacing w:line="360" w:lineRule="auto"/>
              <w:jc w:val="center"/>
              <w:outlineLvl w:val="1"/>
              <w:rPr>
                <w:rFonts w:ascii="仿宋" w:hAnsi="仿宋" w:eastAsia="仿宋" w:cs="宋体"/>
                <w:bCs/>
                <w:color w:val="auto"/>
                <w:sz w:val="24"/>
              </w:rPr>
            </w:pPr>
            <w:r>
              <w:rPr>
                <w:rFonts w:hint="eastAsia" w:ascii="仿宋" w:hAnsi="仿宋" w:eastAsia="仿宋" w:cs="仿宋"/>
                <w:color w:val="auto"/>
                <w:kern w:val="0"/>
                <w:sz w:val="24"/>
                <w:lang w:bidi="ar"/>
              </w:rPr>
              <w:t>测试化验加工委托服务9</w:t>
            </w:r>
          </w:p>
        </w:tc>
        <w:tc>
          <w:tcPr>
            <w:tcW w:w="868" w:type="pct"/>
            <w:vAlign w:val="center"/>
          </w:tcPr>
          <w:p w14:paraId="53FEB38C">
            <w:pPr>
              <w:spacing w:line="360" w:lineRule="auto"/>
              <w:contextualSpacing/>
              <w:jc w:val="center"/>
              <w:rPr>
                <w:rFonts w:ascii="仿宋" w:hAnsi="仿宋" w:eastAsia="仿宋" w:cs="宋体"/>
                <w:bCs/>
                <w:color w:val="auto"/>
                <w:sz w:val="24"/>
              </w:rPr>
            </w:pPr>
            <w:r>
              <w:rPr>
                <w:rFonts w:hint="eastAsia" w:ascii="仿宋" w:hAnsi="仿宋" w:eastAsia="仿宋" w:cs="仿宋"/>
                <w:bCs/>
                <w:color w:val="auto"/>
                <w:sz w:val="24"/>
              </w:rPr>
              <w:t>1项</w:t>
            </w:r>
          </w:p>
        </w:tc>
        <w:tc>
          <w:tcPr>
            <w:tcW w:w="1862" w:type="pct"/>
            <w:vAlign w:val="center"/>
          </w:tcPr>
          <w:p w14:paraId="6D3AD507">
            <w:pPr>
              <w:spacing w:line="360" w:lineRule="auto"/>
              <w:contextualSpacing/>
              <w:jc w:val="center"/>
              <w:rPr>
                <w:rFonts w:ascii="仿宋" w:hAnsi="仿宋" w:eastAsia="仿宋" w:cs="宋体"/>
                <w:bCs/>
                <w:color w:val="auto"/>
                <w:sz w:val="24"/>
              </w:rPr>
            </w:pPr>
            <w:r>
              <w:rPr>
                <w:rFonts w:hint="eastAsia" w:ascii="仿宋" w:hAnsi="仿宋" w:eastAsia="仿宋" w:cs="宋体"/>
                <w:bCs/>
                <w:color w:val="auto"/>
                <w:sz w:val="24"/>
              </w:rPr>
              <w:t>否</w:t>
            </w:r>
          </w:p>
        </w:tc>
      </w:tr>
      <w:tr w14:paraId="22434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7" w:type="pct"/>
            <w:vAlign w:val="center"/>
          </w:tcPr>
          <w:p w14:paraId="1C27C3E4">
            <w:pPr>
              <w:spacing w:line="360" w:lineRule="auto"/>
              <w:contextualSpacing/>
              <w:jc w:val="center"/>
              <w:rPr>
                <w:rFonts w:ascii="仿宋" w:hAnsi="仿宋" w:eastAsia="仿宋" w:cs="宋体"/>
                <w:bCs/>
                <w:color w:val="auto"/>
                <w:sz w:val="24"/>
              </w:rPr>
            </w:pPr>
            <w:r>
              <w:rPr>
                <w:rFonts w:hint="eastAsia" w:ascii="仿宋" w:hAnsi="仿宋" w:eastAsia="仿宋" w:cs="仿宋"/>
                <w:bCs/>
                <w:color w:val="auto"/>
                <w:sz w:val="24"/>
              </w:rPr>
              <w:t>10</w:t>
            </w:r>
          </w:p>
        </w:tc>
        <w:tc>
          <w:tcPr>
            <w:tcW w:w="1733" w:type="pct"/>
            <w:vAlign w:val="center"/>
          </w:tcPr>
          <w:p w14:paraId="3C92B1DC">
            <w:pPr>
              <w:tabs>
                <w:tab w:val="left" w:pos="360"/>
                <w:tab w:val="left" w:pos="900"/>
              </w:tabs>
              <w:snapToGrid w:val="0"/>
              <w:spacing w:line="360" w:lineRule="auto"/>
              <w:jc w:val="center"/>
              <w:outlineLvl w:val="1"/>
              <w:rPr>
                <w:rFonts w:ascii="仿宋" w:hAnsi="仿宋" w:eastAsia="仿宋" w:cs="宋体"/>
                <w:bCs/>
                <w:color w:val="auto"/>
                <w:sz w:val="24"/>
              </w:rPr>
            </w:pPr>
            <w:r>
              <w:rPr>
                <w:rFonts w:hint="eastAsia" w:ascii="仿宋" w:hAnsi="仿宋" w:eastAsia="仿宋" w:cs="仿宋"/>
                <w:color w:val="auto"/>
                <w:kern w:val="0"/>
                <w:sz w:val="24"/>
                <w:lang w:bidi="ar"/>
              </w:rPr>
              <w:t>测试化验加工委托服务10</w:t>
            </w:r>
          </w:p>
        </w:tc>
        <w:tc>
          <w:tcPr>
            <w:tcW w:w="868" w:type="pct"/>
            <w:vAlign w:val="center"/>
          </w:tcPr>
          <w:p w14:paraId="62BE08F4">
            <w:pPr>
              <w:spacing w:line="360" w:lineRule="auto"/>
              <w:contextualSpacing/>
              <w:jc w:val="center"/>
              <w:rPr>
                <w:rFonts w:ascii="仿宋" w:hAnsi="仿宋" w:eastAsia="仿宋" w:cs="宋体"/>
                <w:bCs/>
                <w:color w:val="auto"/>
                <w:sz w:val="24"/>
              </w:rPr>
            </w:pPr>
            <w:r>
              <w:rPr>
                <w:rFonts w:hint="eastAsia" w:ascii="仿宋" w:hAnsi="仿宋" w:eastAsia="仿宋" w:cs="仿宋"/>
                <w:bCs/>
                <w:color w:val="auto"/>
                <w:sz w:val="24"/>
              </w:rPr>
              <w:t>1项</w:t>
            </w:r>
          </w:p>
        </w:tc>
        <w:tc>
          <w:tcPr>
            <w:tcW w:w="1862" w:type="pct"/>
            <w:vAlign w:val="center"/>
          </w:tcPr>
          <w:p w14:paraId="2F6A7626">
            <w:pPr>
              <w:spacing w:line="360" w:lineRule="auto"/>
              <w:contextualSpacing/>
              <w:jc w:val="center"/>
              <w:rPr>
                <w:rFonts w:ascii="仿宋" w:hAnsi="仿宋" w:eastAsia="仿宋" w:cs="宋体"/>
                <w:bCs/>
                <w:color w:val="auto"/>
                <w:sz w:val="24"/>
              </w:rPr>
            </w:pPr>
            <w:r>
              <w:rPr>
                <w:rFonts w:hint="eastAsia" w:ascii="仿宋" w:hAnsi="仿宋" w:eastAsia="仿宋" w:cs="宋体"/>
                <w:bCs/>
                <w:color w:val="auto"/>
                <w:sz w:val="24"/>
              </w:rPr>
              <w:t>否</w:t>
            </w:r>
          </w:p>
        </w:tc>
      </w:tr>
    </w:tbl>
    <w:p w14:paraId="4749A370">
      <w:pPr>
        <w:spacing w:line="360" w:lineRule="auto"/>
        <w:ind w:firstLine="482"/>
        <w:contextualSpacing/>
        <w:rPr>
          <w:rFonts w:ascii="仿宋" w:hAnsi="仿宋" w:eastAsia="仿宋" w:cs="宋体"/>
          <w:b/>
          <w:bCs/>
          <w:color w:val="auto"/>
          <w:sz w:val="24"/>
        </w:rPr>
      </w:pPr>
      <w:r>
        <w:rPr>
          <w:rFonts w:hint="eastAsia" w:ascii="仿宋" w:hAnsi="仿宋" w:eastAsia="仿宋" w:cs="宋体"/>
          <w:b/>
          <w:bCs/>
          <w:color w:val="auto"/>
          <w:sz w:val="24"/>
        </w:rPr>
        <w:t>2.项目背景/项目概述</w:t>
      </w:r>
    </w:p>
    <w:p w14:paraId="6F0FE7D6">
      <w:pPr>
        <w:spacing w:line="360" w:lineRule="auto"/>
        <w:ind w:firstLine="480"/>
        <w:rPr>
          <w:rFonts w:ascii="仿宋" w:hAnsi="仿宋" w:eastAsia="仿宋" w:cs="宋体"/>
          <w:color w:val="auto"/>
          <w:sz w:val="24"/>
        </w:rPr>
      </w:pPr>
      <w:bookmarkStart w:id="1" w:name="OLE_LINK15"/>
      <w:bookmarkStart w:id="2" w:name="OLE_LINK16"/>
      <w:r>
        <w:rPr>
          <w:rFonts w:hint="eastAsia" w:ascii="仿宋" w:hAnsi="仿宋" w:eastAsia="仿宋"/>
          <w:color w:val="auto"/>
          <w:sz w:val="24"/>
        </w:rPr>
        <w:t>本次招标采购为</w:t>
      </w:r>
      <w:r>
        <w:rPr>
          <w:rFonts w:hint="eastAsia" w:ascii="仿宋" w:hAnsi="仿宋" w:eastAsia="仿宋"/>
          <w:color w:val="auto"/>
          <w:sz w:val="24"/>
        </w:rPr>
        <w:t>改革与发展2026（儿科发育多组学技术平台的建立和应用性基础研究）测试化验加工委托服务</w:t>
      </w:r>
      <w:r>
        <w:rPr>
          <w:rFonts w:hint="eastAsia" w:ascii="仿宋" w:hAnsi="仿宋" w:eastAsia="仿宋"/>
          <w:color w:val="auto"/>
          <w:sz w:val="24"/>
        </w:rPr>
        <w:t>，投标人应根据招标文件所提出的技术规格和服务要求，综合考虑设备的适用性，选择需要最佳性能价格比的设备前来投标。投标人应以技术先进的设备、优良的服务和优惠的价格，充分显示自己的竞争实力。</w:t>
      </w:r>
      <w:bookmarkEnd w:id="1"/>
      <w:bookmarkEnd w:id="2"/>
    </w:p>
    <w:p w14:paraId="503DE903">
      <w:pPr>
        <w:numPr>
          <w:ilvl w:val="0"/>
          <w:numId w:val="1"/>
        </w:numPr>
        <w:spacing w:line="360" w:lineRule="auto"/>
        <w:ind w:firstLine="482" w:firstLineChars="200"/>
        <w:contextualSpacing/>
        <w:jc w:val="left"/>
        <w:rPr>
          <w:rFonts w:ascii="仿宋" w:hAnsi="仿宋" w:eastAsia="仿宋" w:cs="宋体"/>
          <w:b/>
          <w:color w:val="auto"/>
          <w:sz w:val="24"/>
        </w:rPr>
      </w:pPr>
      <w:r>
        <w:rPr>
          <w:rFonts w:hint="eastAsia" w:ascii="仿宋" w:hAnsi="仿宋" w:eastAsia="仿宋" w:cs="宋体"/>
          <w:b/>
          <w:color w:val="auto"/>
          <w:sz w:val="24"/>
        </w:rPr>
        <w:t>商务要求</w:t>
      </w:r>
    </w:p>
    <w:p w14:paraId="7221040F">
      <w:pPr>
        <w:spacing w:line="360" w:lineRule="auto"/>
        <w:ind w:firstLine="482"/>
        <w:contextualSpacing/>
        <w:rPr>
          <w:rFonts w:ascii="仿宋" w:hAnsi="仿宋" w:eastAsia="仿宋" w:cs="宋体"/>
          <w:b/>
          <w:color w:val="auto"/>
          <w:sz w:val="24"/>
        </w:rPr>
      </w:pPr>
      <w:r>
        <w:rPr>
          <w:rFonts w:hint="eastAsia" w:ascii="仿宋" w:hAnsi="仿宋" w:eastAsia="仿宋" w:cs="宋体"/>
          <w:b/>
          <w:color w:val="auto"/>
          <w:sz w:val="24"/>
        </w:rPr>
        <w:t>1. 交付（实施）的时间（期限）和地点（范围）</w:t>
      </w:r>
    </w:p>
    <w:p w14:paraId="77A5A9D5">
      <w:pPr>
        <w:spacing w:line="360" w:lineRule="auto"/>
        <w:ind w:firstLine="480"/>
        <w:rPr>
          <w:rFonts w:ascii="仿宋" w:hAnsi="仿宋" w:eastAsia="仿宋" w:cs="宋体"/>
          <w:color w:val="auto"/>
          <w:sz w:val="24"/>
        </w:rPr>
      </w:pPr>
      <w:r>
        <w:rPr>
          <w:rFonts w:hint="eastAsia" w:ascii="仿宋" w:hAnsi="仿宋" w:eastAsia="仿宋" w:cs="宋体"/>
          <w:color w:val="auto"/>
          <w:sz w:val="24"/>
        </w:rPr>
        <w:t>服务期限：</w:t>
      </w:r>
      <w:bookmarkStart w:id="3" w:name="OLE_LINK18"/>
      <w:r>
        <w:rPr>
          <w:rFonts w:hint="eastAsia" w:ascii="仿宋" w:hAnsi="仿宋" w:eastAsia="仿宋"/>
          <w:color w:val="auto"/>
          <w:sz w:val="24"/>
        </w:rPr>
        <w:t>自签订合同之日起1年。</w:t>
      </w:r>
      <w:bookmarkEnd w:id="3"/>
    </w:p>
    <w:p w14:paraId="29715049">
      <w:pPr>
        <w:spacing w:line="360" w:lineRule="auto"/>
        <w:ind w:firstLine="480"/>
        <w:rPr>
          <w:rFonts w:ascii="仿宋" w:hAnsi="仿宋" w:eastAsia="仿宋" w:cs="宋体"/>
          <w:color w:val="auto"/>
          <w:sz w:val="24"/>
        </w:rPr>
      </w:pPr>
      <w:r>
        <w:rPr>
          <w:rFonts w:hint="eastAsia" w:ascii="仿宋" w:hAnsi="仿宋" w:eastAsia="仿宋" w:cs="宋体"/>
          <w:color w:val="auto"/>
          <w:sz w:val="24"/>
        </w:rPr>
        <w:t>服务地点：</w:t>
      </w:r>
      <w:r>
        <w:rPr>
          <w:rFonts w:hint="eastAsia" w:ascii="仿宋" w:hAnsi="仿宋" w:eastAsia="仿宋"/>
          <w:color w:val="auto"/>
          <w:sz w:val="24"/>
        </w:rPr>
        <w:t>首都儿科研究所指定地点。</w:t>
      </w:r>
    </w:p>
    <w:p w14:paraId="7B21B664">
      <w:pPr>
        <w:spacing w:line="360" w:lineRule="auto"/>
        <w:ind w:firstLine="482"/>
        <w:contextualSpacing/>
        <w:rPr>
          <w:rFonts w:ascii="仿宋" w:hAnsi="仿宋" w:eastAsia="仿宋" w:cs="宋体"/>
          <w:b/>
          <w:color w:val="auto"/>
          <w:sz w:val="24"/>
        </w:rPr>
      </w:pPr>
      <w:r>
        <w:rPr>
          <w:rFonts w:hint="eastAsia" w:ascii="仿宋" w:hAnsi="仿宋" w:eastAsia="仿宋" w:cs="宋体"/>
          <w:b/>
          <w:color w:val="auto"/>
          <w:sz w:val="24"/>
        </w:rPr>
        <w:t>2. 付款条件（进度和方式）</w:t>
      </w:r>
    </w:p>
    <w:p w14:paraId="575F0B2B">
      <w:pPr>
        <w:spacing w:line="360" w:lineRule="auto"/>
        <w:ind w:firstLine="480"/>
        <w:rPr>
          <w:rFonts w:ascii="仿宋" w:hAnsi="仿宋" w:eastAsia="仿宋"/>
          <w:color w:val="auto"/>
          <w:sz w:val="24"/>
        </w:rPr>
      </w:pPr>
      <w:r>
        <w:rPr>
          <w:rFonts w:hint="eastAsia" w:ascii="仿宋" w:hAnsi="仿宋" w:eastAsia="仿宋"/>
          <w:color w:val="auto"/>
          <w:sz w:val="24"/>
        </w:rPr>
        <w:t>参照拟签订的合同文本中的付款方式及进度执行。</w:t>
      </w:r>
    </w:p>
    <w:p w14:paraId="743C5FBD">
      <w:pPr>
        <w:spacing w:line="360" w:lineRule="auto"/>
        <w:ind w:firstLine="482"/>
        <w:rPr>
          <w:rFonts w:ascii="仿宋" w:hAnsi="仿宋" w:eastAsia="仿宋" w:cs="宋体"/>
          <w:b/>
          <w:color w:val="auto"/>
          <w:sz w:val="24"/>
        </w:rPr>
      </w:pPr>
      <w:r>
        <w:rPr>
          <w:rFonts w:hint="eastAsia" w:ascii="仿宋" w:hAnsi="仿宋" w:eastAsia="仿宋" w:cs="宋体"/>
          <w:b/>
          <w:color w:val="auto"/>
          <w:sz w:val="24"/>
        </w:rPr>
        <w:t>3.</w:t>
      </w:r>
      <w:r>
        <w:rPr>
          <w:rFonts w:ascii="仿宋" w:hAnsi="仿宋" w:eastAsia="仿宋" w:cs="宋体"/>
          <w:b/>
          <w:color w:val="auto"/>
          <w:sz w:val="24"/>
        </w:rPr>
        <w:t>包装和运输</w:t>
      </w:r>
    </w:p>
    <w:p w14:paraId="4B31BDCF">
      <w:pPr>
        <w:spacing w:line="360" w:lineRule="auto"/>
        <w:ind w:firstLine="480"/>
        <w:rPr>
          <w:rFonts w:ascii="仿宋" w:hAnsi="仿宋" w:eastAsia="仿宋"/>
          <w:color w:val="auto"/>
          <w:sz w:val="24"/>
        </w:rPr>
      </w:pPr>
      <w:r>
        <w:rPr>
          <w:rFonts w:hint="eastAsia" w:ascii="仿宋" w:hAnsi="仿宋" w:eastAsia="仿宋"/>
          <w:color w:val="auto"/>
          <w:sz w:val="24"/>
        </w:rPr>
        <w:t>无。</w:t>
      </w:r>
    </w:p>
    <w:p w14:paraId="4E4B9A9F">
      <w:pPr>
        <w:spacing w:line="360" w:lineRule="auto"/>
        <w:ind w:firstLine="482"/>
        <w:rPr>
          <w:rFonts w:ascii="仿宋" w:hAnsi="仿宋" w:eastAsia="仿宋"/>
          <w:color w:val="auto"/>
          <w:sz w:val="24"/>
        </w:rPr>
      </w:pPr>
      <w:r>
        <w:rPr>
          <w:rFonts w:hint="eastAsia" w:ascii="仿宋" w:hAnsi="仿宋" w:eastAsia="仿宋" w:cs="宋体"/>
          <w:b/>
          <w:color w:val="auto"/>
          <w:sz w:val="24"/>
        </w:rPr>
        <w:t>4.</w:t>
      </w:r>
      <w:r>
        <w:rPr>
          <w:rFonts w:ascii="仿宋" w:hAnsi="仿宋" w:eastAsia="仿宋" w:cs="宋体"/>
          <w:b/>
          <w:color w:val="auto"/>
          <w:sz w:val="24"/>
        </w:rPr>
        <w:t>售后服务（质保期）（如适用）</w:t>
      </w:r>
    </w:p>
    <w:p w14:paraId="4577993B">
      <w:pPr>
        <w:spacing w:line="360" w:lineRule="auto"/>
        <w:ind w:firstLine="480"/>
        <w:rPr>
          <w:rFonts w:ascii="仿宋" w:hAnsi="仿宋" w:eastAsia="仿宋"/>
          <w:color w:val="auto"/>
          <w:sz w:val="24"/>
        </w:rPr>
      </w:pPr>
      <w:r>
        <w:rPr>
          <w:rFonts w:hint="eastAsia" w:ascii="仿宋" w:hAnsi="仿宋" w:eastAsia="仿宋"/>
          <w:color w:val="auto"/>
          <w:sz w:val="24"/>
        </w:rPr>
        <w:t>无。</w:t>
      </w:r>
    </w:p>
    <w:p w14:paraId="183E539D">
      <w:pPr>
        <w:spacing w:line="360" w:lineRule="auto"/>
        <w:ind w:firstLine="482"/>
        <w:rPr>
          <w:rFonts w:ascii="仿宋" w:hAnsi="仿宋" w:eastAsia="仿宋" w:cs="宋体"/>
          <w:color w:val="auto"/>
          <w:sz w:val="24"/>
        </w:rPr>
      </w:pPr>
      <w:r>
        <w:rPr>
          <w:rFonts w:hint="eastAsia" w:ascii="仿宋" w:hAnsi="仿宋" w:eastAsia="仿宋" w:cs="宋体"/>
          <w:b/>
          <w:color w:val="auto"/>
          <w:sz w:val="24"/>
        </w:rPr>
        <w:t>5.</w:t>
      </w:r>
      <w:r>
        <w:rPr>
          <w:rFonts w:ascii="仿宋" w:hAnsi="仿宋" w:eastAsia="仿宋" w:cs="宋体"/>
          <w:b/>
          <w:color w:val="auto"/>
          <w:sz w:val="24"/>
        </w:rPr>
        <w:t>保险（</w:t>
      </w:r>
      <w:r>
        <w:rPr>
          <w:rFonts w:hint="eastAsia" w:ascii="仿宋" w:hAnsi="仿宋" w:eastAsia="仿宋" w:cs="宋体"/>
          <w:b/>
          <w:color w:val="auto"/>
          <w:sz w:val="24"/>
        </w:rPr>
        <w:t>不</w:t>
      </w:r>
      <w:r>
        <w:rPr>
          <w:rFonts w:ascii="仿宋" w:hAnsi="仿宋" w:eastAsia="仿宋" w:cs="宋体"/>
          <w:b/>
          <w:color w:val="auto"/>
          <w:sz w:val="24"/>
        </w:rPr>
        <w:t>适用）</w:t>
      </w:r>
    </w:p>
    <w:p w14:paraId="2A1A6615">
      <w:pPr>
        <w:spacing w:line="360" w:lineRule="auto"/>
        <w:ind w:firstLine="480"/>
        <w:rPr>
          <w:rFonts w:ascii="仿宋" w:hAnsi="仿宋" w:eastAsia="仿宋"/>
          <w:color w:val="auto"/>
          <w:sz w:val="24"/>
        </w:rPr>
      </w:pPr>
      <w:r>
        <w:rPr>
          <w:rFonts w:hint="eastAsia" w:ascii="仿宋" w:hAnsi="仿宋" w:eastAsia="仿宋"/>
          <w:color w:val="auto"/>
          <w:sz w:val="24"/>
        </w:rPr>
        <w:t>无。</w:t>
      </w:r>
    </w:p>
    <w:p w14:paraId="51CB085F">
      <w:pPr>
        <w:numPr>
          <w:ilvl w:val="0"/>
          <w:numId w:val="1"/>
        </w:numPr>
        <w:spacing w:line="360" w:lineRule="auto"/>
        <w:ind w:firstLine="482" w:firstLineChars="200"/>
        <w:contextualSpacing/>
        <w:jc w:val="left"/>
        <w:rPr>
          <w:rFonts w:ascii="仿宋" w:hAnsi="仿宋" w:eastAsia="仿宋" w:cs="宋体"/>
          <w:b/>
          <w:color w:val="auto"/>
          <w:sz w:val="24"/>
        </w:rPr>
      </w:pPr>
      <w:r>
        <w:rPr>
          <w:rFonts w:hint="eastAsia" w:ascii="仿宋" w:hAnsi="仿宋" w:eastAsia="仿宋" w:cs="宋体"/>
          <w:b/>
          <w:color w:val="auto"/>
          <w:sz w:val="24"/>
        </w:rPr>
        <w:t>技术要求</w:t>
      </w:r>
    </w:p>
    <w:p w14:paraId="750D0F0F">
      <w:pPr>
        <w:spacing w:line="360" w:lineRule="auto"/>
        <w:ind w:firstLine="503"/>
        <w:rPr>
          <w:rFonts w:ascii="仿宋" w:hAnsi="仿宋" w:eastAsia="仿宋"/>
          <w:b/>
          <w:color w:val="auto"/>
          <w:sz w:val="24"/>
        </w:rPr>
      </w:pPr>
      <w:r>
        <w:rPr>
          <w:rFonts w:ascii="仿宋" w:hAnsi="仿宋" w:eastAsia="仿宋" w:cs="Arial"/>
          <w:b/>
          <w:color w:val="auto"/>
          <w:w w:val="105"/>
          <w:sz w:val="24"/>
        </w:rPr>
        <w:t>1.</w:t>
      </w:r>
      <w:r>
        <w:rPr>
          <w:rFonts w:ascii="仿宋" w:hAnsi="仿宋" w:eastAsia="仿宋"/>
          <w:b/>
          <w:color w:val="auto"/>
          <w:w w:val="105"/>
          <w:sz w:val="24"/>
        </w:rPr>
        <w:t>基本要求</w:t>
      </w:r>
    </w:p>
    <w:p w14:paraId="11079788">
      <w:pPr>
        <w:spacing w:line="360" w:lineRule="auto"/>
        <w:ind w:firstLine="480"/>
        <w:rPr>
          <w:rFonts w:ascii="仿宋" w:hAnsi="仿宋" w:eastAsia="仿宋"/>
          <w:b/>
          <w:color w:val="auto"/>
          <w:sz w:val="24"/>
        </w:rPr>
      </w:pPr>
      <w:r>
        <w:rPr>
          <w:rFonts w:ascii="仿宋" w:hAnsi="仿宋" w:eastAsia="仿宋" w:cs="Arial"/>
          <w:b/>
          <w:color w:val="auto"/>
          <w:sz w:val="24"/>
        </w:rPr>
        <w:t>1.1</w:t>
      </w:r>
      <w:r>
        <w:rPr>
          <w:rFonts w:ascii="仿宋" w:hAnsi="仿宋" w:eastAsia="仿宋"/>
          <w:b/>
          <w:color w:val="auto"/>
          <w:sz w:val="24"/>
        </w:rPr>
        <w:t>采购标的需实现的功能或者目标</w:t>
      </w:r>
      <w:r>
        <w:rPr>
          <w:rFonts w:hint="eastAsia" w:ascii="仿宋" w:hAnsi="仿宋" w:eastAsia="仿宋"/>
          <w:b/>
          <w:color w:val="auto"/>
          <w:sz w:val="24"/>
        </w:rPr>
        <w:t>。</w:t>
      </w:r>
    </w:p>
    <w:p w14:paraId="6B4CF13A">
      <w:pPr>
        <w:spacing w:line="360" w:lineRule="auto"/>
        <w:ind w:firstLine="482"/>
        <w:contextualSpacing/>
        <w:rPr>
          <w:rFonts w:ascii="仿宋" w:hAnsi="仿宋" w:eastAsia="仿宋"/>
          <w:color w:val="auto"/>
          <w:sz w:val="24"/>
        </w:rPr>
      </w:pPr>
      <w:bookmarkStart w:id="4" w:name="OLE_LINK53"/>
      <w:bookmarkStart w:id="5" w:name="OLE_LINK54"/>
      <w:r>
        <w:rPr>
          <w:rFonts w:hint="eastAsia" w:ascii="仿宋" w:hAnsi="仿宋" w:eastAsia="仿宋"/>
          <w:color w:val="auto"/>
          <w:sz w:val="24"/>
        </w:rPr>
        <w:t>本次招标采购是</w:t>
      </w:r>
      <w:r>
        <w:rPr>
          <w:rFonts w:hint="eastAsia" w:ascii="仿宋" w:hAnsi="仿宋" w:eastAsia="仿宋" w:cs="仿宋"/>
          <w:color w:val="auto"/>
          <w:kern w:val="0"/>
          <w:sz w:val="24"/>
          <w:lang w:bidi="ar"/>
        </w:rPr>
        <w:t>改革与发展2026（儿科发育多组学技术平台的建立和应用性基础研究）测试化验加工委托服务</w:t>
      </w:r>
      <w:r>
        <w:rPr>
          <w:rFonts w:hint="eastAsia" w:ascii="仿宋" w:hAnsi="仿宋" w:eastAsia="仿宋"/>
          <w:color w:val="auto"/>
          <w:sz w:val="24"/>
        </w:rPr>
        <w:t>，投标人应根据招标文件所提出的技术规格和服务要求，综合考虑前来投标。投标人应以技术先进的设备、优良的服务和优惠的价格，充分显示自己的竞争实力。</w:t>
      </w:r>
      <w:bookmarkEnd w:id="4"/>
      <w:bookmarkEnd w:id="5"/>
    </w:p>
    <w:p w14:paraId="01CF4073">
      <w:pPr>
        <w:spacing w:line="360" w:lineRule="auto"/>
        <w:ind w:firstLine="482"/>
        <w:contextualSpacing/>
        <w:rPr>
          <w:rFonts w:ascii="仿宋" w:hAnsi="仿宋" w:eastAsia="仿宋"/>
          <w:b/>
          <w:color w:val="auto"/>
          <w:sz w:val="24"/>
        </w:rPr>
      </w:pPr>
      <w:r>
        <w:rPr>
          <w:rFonts w:ascii="仿宋" w:hAnsi="仿宋" w:eastAsia="仿宋" w:cs="Arial"/>
          <w:b/>
          <w:color w:val="auto"/>
          <w:sz w:val="24"/>
        </w:rPr>
        <w:t>1.2</w:t>
      </w:r>
      <w:r>
        <w:rPr>
          <w:rFonts w:ascii="仿宋" w:hAnsi="仿宋" w:eastAsia="仿宋"/>
          <w:b/>
          <w:color w:val="auto"/>
          <w:sz w:val="24"/>
        </w:rPr>
        <w:t>需执行的国家相关标准、行业标准、地方标准或者其他标准、规范</w:t>
      </w:r>
    </w:p>
    <w:p w14:paraId="06E8315B">
      <w:pPr>
        <w:spacing w:line="360" w:lineRule="auto"/>
        <w:ind w:firstLine="482"/>
        <w:contextualSpacing/>
        <w:rPr>
          <w:rFonts w:ascii="仿宋" w:hAnsi="仿宋" w:eastAsia="仿宋" w:cs="宋体"/>
          <w:bCs/>
          <w:color w:val="auto"/>
          <w:sz w:val="24"/>
        </w:rPr>
      </w:pPr>
      <w:r>
        <w:rPr>
          <w:rFonts w:hint="eastAsia" w:ascii="仿宋" w:hAnsi="仿宋" w:eastAsia="仿宋" w:cs="Arial"/>
          <w:bCs/>
          <w:color w:val="auto"/>
          <w:sz w:val="24"/>
        </w:rPr>
        <w:t>需执行的国家相关标准、行业标准、地方标准或者其他标准、规范。符合已颁布的现行中华人民共和国认可的国家标准、地方标准和行业标准。如果这些标准内容有矛盾时，应按最高标准的条款执行。</w:t>
      </w:r>
    </w:p>
    <w:p w14:paraId="14BA1EAB">
      <w:pPr>
        <w:spacing w:line="360" w:lineRule="auto"/>
        <w:ind w:firstLine="480"/>
        <w:rPr>
          <w:rFonts w:ascii="仿宋" w:hAnsi="仿宋" w:eastAsia="仿宋"/>
          <w:b/>
          <w:color w:val="auto"/>
          <w:sz w:val="24"/>
        </w:rPr>
      </w:pPr>
      <w:r>
        <w:rPr>
          <w:rFonts w:ascii="仿宋" w:hAnsi="仿宋" w:eastAsia="仿宋" w:cs="Arial"/>
          <w:b/>
          <w:color w:val="auto"/>
          <w:sz w:val="24"/>
        </w:rPr>
        <w:t>2.</w:t>
      </w:r>
      <w:r>
        <w:rPr>
          <w:rFonts w:ascii="仿宋" w:hAnsi="仿宋" w:eastAsia="仿宋"/>
          <w:b/>
          <w:color w:val="auto"/>
          <w:sz w:val="24"/>
        </w:rPr>
        <w:t>服务内容及要求</w:t>
      </w:r>
      <w:r>
        <w:rPr>
          <w:rFonts w:ascii="仿宋" w:hAnsi="仿宋" w:eastAsia="仿宋" w:cs="Arial"/>
          <w:b/>
          <w:color w:val="auto"/>
          <w:sz w:val="24"/>
        </w:rPr>
        <w:t>/</w:t>
      </w:r>
      <w:r>
        <w:rPr>
          <w:rFonts w:ascii="仿宋" w:hAnsi="仿宋" w:eastAsia="仿宋"/>
          <w:b/>
          <w:color w:val="auto"/>
          <w:sz w:val="24"/>
        </w:rPr>
        <w:t>货物技术要求</w:t>
      </w:r>
    </w:p>
    <w:p w14:paraId="43374FD7">
      <w:pPr>
        <w:spacing w:line="360" w:lineRule="auto"/>
        <w:ind w:firstLine="480"/>
        <w:rPr>
          <w:rFonts w:ascii="仿宋" w:hAnsi="仿宋" w:eastAsia="仿宋"/>
          <w:b/>
          <w:color w:val="auto"/>
          <w:sz w:val="24"/>
        </w:rPr>
      </w:pPr>
      <w:r>
        <w:rPr>
          <w:rFonts w:ascii="仿宋" w:hAnsi="仿宋" w:eastAsia="仿宋" w:cs="Arial"/>
          <w:b/>
          <w:color w:val="auto"/>
          <w:sz w:val="24"/>
        </w:rPr>
        <w:t>2.1</w:t>
      </w:r>
      <w:r>
        <w:rPr>
          <w:rFonts w:ascii="仿宋" w:hAnsi="仿宋" w:eastAsia="仿宋"/>
          <w:b/>
          <w:color w:val="auto"/>
          <w:sz w:val="24"/>
        </w:rPr>
        <w:t>采购标的需满足的性能、材料、结构、外观、质量、安全、技术规格、物理特性等要求</w:t>
      </w:r>
      <w:r>
        <w:rPr>
          <w:rFonts w:hint="eastAsia" w:ascii="仿宋" w:hAnsi="仿宋" w:eastAsia="仿宋"/>
          <w:b/>
          <w:color w:val="auto"/>
          <w:sz w:val="24"/>
        </w:rPr>
        <w:t>。</w:t>
      </w:r>
    </w:p>
    <w:p w14:paraId="3BFED1DF">
      <w:pPr>
        <w:spacing w:line="360" w:lineRule="auto"/>
        <w:ind w:firstLine="480"/>
        <w:rPr>
          <w:rFonts w:ascii="仿宋" w:hAnsi="仿宋" w:eastAsia="仿宋"/>
          <w:color w:val="auto"/>
          <w:sz w:val="24"/>
        </w:rPr>
      </w:pPr>
      <w:r>
        <w:rPr>
          <w:rFonts w:ascii="仿宋" w:hAnsi="仿宋" w:eastAsia="仿宋"/>
          <w:color w:val="auto"/>
          <w:sz w:val="24"/>
        </w:rPr>
        <w:t>无。</w:t>
      </w:r>
    </w:p>
    <w:p w14:paraId="39C6233E">
      <w:pPr>
        <w:spacing w:line="360" w:lineRule="auto"/>
        <w:ind w:firstLine="480"/>
        <w:rPr>
          <w:rFonts w:ascii="仿宋" w:hAnsi="仿宋" w:eastAsia="仿宋"/>
          <w:b/>
          <w:color w:val="auto"/>
          <w:sz w:val="24"/>
        </w:rPr>
      </w:pPr>
      <w:r>
        <w:rPr>
          <w:rFonts w:ascii="仿宋" w:hAnsi="仿宋" w:eastAsia="仿宋" w:cs="Arial"/>
          <w:b/>
          <w:color w:val="auto"/>
          <w:sz w:val="24"/>
        </w:rPr>
        <w:t>2.2</w:t>
      </w:r>
      <w:r>
        <w:rPr>
          <w:rFonts w:ascii="仿宋" w:hAnsi="仿宋" w:eastAsia="仿宋"/>
          <w:b/>
          <w:color w:val="auto"/>
          <w:sz w:val="24"/>
        </w:rPr>
        <w:t>采购标的需满足的服务标准、期限、效率等要求</w:t>
      </w:r>
    </w:p>
    <w:p w14:paraId="0142C317">
      <w:pPr>
        <w:spacing w:line="360" w:lineRule="auto"/>
        <w:ind w:firstLine="480"/>
        <w:rPr>
          <w:rFonts w:ascii="仿宋" w:hAnsi="仿宋" w:eastAsia="仿宋"/>
          <w:color w:val="auto"/>
          <w:sz w:val="24"/>
        </w:rPr>
      </w:pPr>
      <w:r>
        <w:rPr>
          <w:rFonts w:hint="eastAsia" w:ascii="仿宋" w:hAnsi="仿宋" w:eastAsia="仿宋"/>
          <w:color w:val="auto"/>
          <w:sz w:val="24"/>
        </w:rPr>
        <w:t>服务期限：自签订合同之日起1年。</w:t>
      </w:r>
    </w:p>
    <w:p w14:paraId="7942FA5B">
      <w:pPr>
        <w:spacing w:line="360" w:lineRule="auto"/>
        <w:ind w:firstLine="480"/>
        <w:rPr>
          <w:rFonts w:ascii="仿宋" w:hAnsi="仿宋" w:eastAsia="仿宋"/>
          <w:b/>
          <w:color w:val="auto"/>
          <w:sz w:val="24"/>
        </w:rPr>
      </w:pPr>
      <w:r>
        <w:rPr>
          <w:rFonts w:ascii="仿宋" w:hAnsi="仿宋" w:eastAsia="仿宋" w:cs="Arial"/>
          <w:b/>
          <w:color w:val="auto"/>
          <w:sz w:val="24"/>
        </w:rPr>
        <w:t>2.3</w:t>
      </w:r>
      <w:r>
        <w:rPr>
          <w:rFonts w:ascii="仿宋" w:hAnsi="仿宋" w:eastAsia="仿宋"/>
          <w:b/>
          <w:color w:val="auto"/>
          <w:sz w:val="24"/>
        </w:rPr>
        <w:t>为落实政府采购政策需满足的要求</w:t>
      </w:r>
    </w:p>
    <w:p w14:paraId="198B6D53">
      <w:pPr>
        <w:spacing w:line="360" w:lineRule="auto"/>
        <w:ind w:firstLine="480"/>
        <w:rPr>
          <w:rFonts w:ascii="仿宋" w:hAnsi="仿宋" w:eastAsia="仿宋" w:cs="宋体"/>
          <w:color w:val="auto"/>
          <w:sz w:val="24"/>
        </w:rPr>
      </w:pPr>
      <w:r>
        <w:rPr>
          <w:rFonts w:hint="eastAsia" w:ascii="仿宋" w:hAnsi="仿宋" w:eastAsia="仿宋" w:cs="宋体"/>
          <w:color w:val="auto"/>
          <w:sz w:val="24"/>
        </w:rPr>
        <w:t>（1）促进中小企业发展政策：根据《政府采购促进中小企业发展管理办法》规定，本项目采购服务由</w:t>
      </w:r>
      <w:r>
        <w:rPr>
          <w:rFonts w:hint="eastAsia" w:ascii="仿宋" w:hAnsi="仿宋" w:eastAsia="仿宋" w:cs="宋体"/>
          <w:color w:val="auto"/>
          <w:sz w:val="24"/>
          <w:lang w:val="en-US" w:eastAsia="zh-CN"/>
        </w:rPr>
        <w:t>中型、</w:t>
      </w:r>
      <w:r>
        <w:rPr>
          <w:rFonts w:hint="eastAsia" w:ascii="仿宋" w:hAnsi="仿宋" w:eastAsia="仿宋" w:cs="宋体"/>
          <w:color w:val="auto"/>
          <w:sz w:val="24"/>
        </w:rPr>
        <w:t>小型或微型企业承接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14EDB656">
      <w:pPr>
        <w:spacing w:line="360" w:lineRule="auto"/>
        <w:ind w:firstLine="480"/>
        <w:rPr>
          <w:rFonts w:ascii="仿宋" w:hAnsi="仿宋" w:eastAsia="仿宋" w:cs="宋体"/>
          <w:color w:val="auto"/>
          <w:sz w:val="24"/>
        </w:rPr>
      </w:pPr>
      <w:r>
        <w:rPr>
          <w:rFonts w:hint="eastAsia" w:ascii="仿宋" w:hAnsi="仿宋" w:eastAsia="仿宋" w:cs="宋体"/>
          <w:color w:val="auto"/>
          <w:sz w:val="24"/>
        </w:rPr>
        <w:t>（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7E78C905">
      <w:pPr>
        <w:spacing w:line="360" w:lineRule="auto"/>
        <w:ind w:firstLine="480"/>
        <w:rPr>
          <w:rFonts w:ascii="仿宋" w:hAnsi="仿宋" w:eastAsia="仿宋" w:cs="宋体"/>
          <w:color w:val="auto"/>
          <w:sz w:val="24"/>
        </w:rPr>
      </w:pPr>
      <w:r>
        <w:rPr>
          <w:rFonts w:hint="eastAsia" w:ascii="仿宋" w:hAnsi="仿宋" w:eastAsia="仿宋" w:cs="宋体"/>
          <w:color w:val="auto"/>
          <w:sz w:val="24"/>
        </w:rPr>
        <w:t>（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14:paraId="7AC4C577">
      <w:pPr>
        <w:spacing w:line="360" w:lineRule="auto"/>
        <w:ind w:firstLine="480"/>
        <w:rPr>
          <w:rFonts w:ascii="仿宋" w:hAnsi="仿宋" w:eastAsia="仿宋" w:cs="宋体"/>
          <w:color w:val="auto"/>
          <w:sz w:val="24"/>
        </w:rPr>
      </w:pPr>
      <w:r>
        <w:rPr>
          <w:rFonts w:hint="eastAsia" w:ascii="仿宋" w:hAnsi="仿宋" w:eastAsia="仿宋" w:cs="宋体"/>
          <w:color w:val="auto"/>
          <w:sz w:val="24"/>
        </w:rPr>
        <w:t>（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14:paraId="69D861C9">
      <w:pPr>
        <w:pStyle w:val="6"/>
        <w:spacing w:line="360" w:lineRule="auto"/>
        <w:ind w:firstLine="480"/>
        <w:rPr>
          <w:rFonts w:ascii="仿宋" w:hAnsi="仿宋" w:eastAsia="仿宋"/>
          <w:color w:val="auto"/>
        </w:rPr>
      </w:pPr>
      <w:r>
        <w:rPr>
          <w:rFonts w:hint="eastAsia" w:ascii="仿宋" w:hAnsi="仿宋" w:eastAsia="仿宋" w:cs="宋体"/>
          <w:color w:val="auto"/>
        </w:rPr>
        <w:t>（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14:paraId="2D2C4A17">
      <w:pPr>
        <w:pStyle w:val="6"/>
        <w:spacing w:line="360" w:lineRule="auto"/>
        <w:ind w:firstLine="480"/>
        <w:rPr>
          <w:rFonts w:ascii="仿宋" w:hAnsi="仿宋" w:eastAsia="仿宋"/>
          <w:color w:val="auto"/>
        </w:rPr>
      </w:pPr>
      <w:r>
        <w:rPr>
          <w:rFonts w:hint="eastAsia" w:ascii="仿宋" w:hAnsi="仿宋" w:eastAsia="仿宋"/>
          <w:color w:val="auto"/>
        </w:rPr>
        <w:t>（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投标人应出具招标文件要求的证明材料给予证明，否则评标时不予认可。投标人应对提交的证明材料真实性负责，提交证明材料不真实的，应承担相应的法律责任。</w:t>
      </w:r>
    </w:p>
    <w:p w14:paraId="172327AE">
      <w:pPr>
        <w:spacing w:line="360" w:lineRule="auto"/>
        <w:ind w:firstLine="480"/>
        <w:rPr>
          <w:rFonts w:ascii="仿宋" w:hAnsi="仿宋" w:eastAsia="仿宋"/>
          <w:b/>
          <w:color w:val="auto"/>
          <w:sz w:val="24"/>
        </w:rPr>
      </w:pPr>
      <w:bookmarkStart w:id="6" w:name="OLE_LINK253"/>
      <w:bookmarkStart w:id="7" w:name="OLE_LINK254"/>
      <w:r>
        <w:rPr>
          <w:rFonts w:ascii="仿宋" w:hAnsi="仿宋" w:eastAsia="仿宋" w:cs="Arial"/>
          <w:b/>
          <w:color w:val="auto"/>
          <w:sz w:val="24"/>
        </w:rPr>
        <w:t>2.4</w:t>
      </w:r>
      <w:r>
        <w:rPr>
          <w:rFonts w:ascii="仿宋" w:hAnsi="仿宋" w:eastAsia="仿宋"/>
          <w:b/>
          <w:color w:val="auto"/>
          <w:sz w:val="24"/>
        </w:rPr>
        <w:t>采购标的其他技术、服务等要求</w:t>
      </w:r>
      <w:bookmarkEnd w:id="6"/>
      <w:bookmarkEnd w:id="7"/>
    </w:p>
    <w:p w14:paraId="4C65B8A8">
      <w:pPr>
        <w:pStyle w:val="6"/>
        <w:spacing w:line="360" w:lineRule="auto"/>
        <w:ind w:firstLine="482"/>
        <w:contextualSpacing/>
        <w:jc w:val="center"/>
        <w:rPr>
          <w:rFonts w:ascii="仿宋" w:hAnsi="仿宋" w:eastAsia="仿宋"/>
          <w:b/>
          <w:color w:val="auto"/>
        </w:rPr>
      </w:pPr>
      <w:bookmarkStart w:id="8" w:name="OLE_LINK120"/>
      <w:bookmarkStart w:id="9" w:name="OLE_LINK121"/>
      <w:r>
        <w:rPr>
          <w:rFonts w:ascii="仿宋" w:hAnsi="仿宋" w:eastAsia="仿宋"/>
          <w:b/>
          <w:color w:val="auto"/>
        </w:rPr>
        <w:t>第</w:t>
      </w:r>
      <w:r>
        <w:rPr>
          <w:rFonts w:hint="eastAsia" w:ascii="仿宋" w:hAnsi="仿宋" w:eastAsia="仿宋"/>
          <w:b/>
          <w:color w:val="auto"/>
        </w:rPr>
        <w:t>1包 测试化验加工委托服务1</w:t>
      </w:r>
      <w:bookmarkEnd w:id="8"/>
      <w:bookmarkEnd w:id="9"/>
    </w:p>
    <w:p w14:paraId="7052153F">
      <w:pPr>
        <w:pStyle w:val="6"/>
        <w:spacing w:line="360" w:lineRule="auto"/>
        <w:ind w:firstLine="482"/>
        <w:contextualSpacing/>
        <w:rPr>
          <w:rFonts w:ascii="仿宋" w:hAnsi="仿宋" w:eastAsia="仿宋"/>
          <w:b/>
          <w:color w:val="auto"/>
          <w:sz w:val="21"/>
          <w:szCs w:val="21"/>
        </w:rPr>
      </w:pPr>
      <w:bookmarkStart w:id="10" w:name="OLE_LINK178"/>
      <w:bookmarkStart w:id="11" w:name="OLE_LINK179"/>
      <w:r>
        <w:rPr>
          <w:rFonts w:hint="eastAsia" w:ascii="仿宋" w:hAnsi="仿宋" w:eastAsia="仿宋"/>
          <w:b/>
          <w:color w:val="auto"/>
          <w:sz w:val="21"/>
          <w:szCs w:val="21"/>
        </w:rPr>
        <w:t>（一）委托服务</w:t>
      </w:r>
      <w:bookmarkEnd w:id="10"/>
      <w:bookmarkEnd w:id="11"/>
    </w:p>
    <w:tbl>
      <w:tblPr>
        <w:tblStyle w:val="4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0"/>
        <w:gridCol w:w="1447"/>
        <w:gridCol w:w="1561"/>
        <w:gridCol w:w="2320"/>
      </w:tblGrid>
      <w:tr w14:paraId="26C15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876" w:type="pct"/>
            <w:shd w:val="clear" w:color="auto" w:fill="auto"/>
            <w:vAlign w:val="center"/>
          </w:tcPr>
          <w:p w14:paraId="18CBF9F0">
            <w:pPr>
              <w:widowControl/>
              <w:spacing w:line="276" w:lineRule="auto"/>
              <w:contextualSpacing/>
              <w:jc w:val="center"/>
              <w:rPr>
                <w:rFonts w:ascii="仿宋" w:hAnsi="仿宋" w:eastAsia="仿宋" w:cs="宋体"/>
                <w:b/>
                <w:bCs/>
                <w:color w:val="auto"/>
                <w:kern w:val="0"/>
                <w:szCs w:val="21"/>
              </w:rPr>
            </w:pPr>
            <w:bookmarkStart w:id="12" w:name="_Hlk234265047"/>
            <w:r>
              <w:rPr>
                <w:rFonts w:hint="eastAsia" w:ascii="仿宋" w:hAnsi="仿宋" w:eastAsia="仿宋" w:cs="宋体"/>
                <w:b/>
                <w:bCs/>
                <w:color w:val="auto"/>
                <w:kern w:val="0"/>
                <w:szCs w:val="21"/>
              </w:rPr>
              <w:t>委托服务明细</w:t>
            </w:r>
          </w:p>
        </w:tc>
        <w:tc>
          <w:tcPr>
            <w:tcW w:w="848" w:type="pct"/>
            <w:shd w:val="clear" w:color="auto" w:fill="auto"/>
            <w:noWrap/>
            <w:vAlign w:val="center"/>
          </w:tcPr>
          <w:p w14:paraId="644020C9">
            <w:pPr>
              <w:widowControl/>
              <w:spacing w:line="276" w:lineRule="auto"/>
              <w:contextualSpacing/>
              <w:jc w:val="center"/>
              <w:rPr>
                <w:rFonts w:ascii="仿宋" w:hAnsi="仿宋" w:eastAsia="仿宋" w:cs="宋体"/>
                <w:b/>
                <w:color w:val="auto"/>
                <w:kern w:val="0"/>
                <w:szCs w:val="21"/>
              </w:rPr>
            </w:pPr>
            <w:r>
              <w:rPr>
                <w:rFonts w:hint="eastAsia" w:ascii="仿宋" w:hAnsi="仿宋" w:eastAsia="仿宋" w:cs="宋体"/>
                <w:b/>
                <w:color w:val="auto"/>
                <w:kern w:val="0"/>
                <w:szCs w:val="21"/>
              </w:rPr>
              <w:t>单位</w:t>
            </w:r>
          </w:p>
        </w:tc>
        <w:tc>
          <w:tcPr>
            <w:tcW w:w="915" w:type="pct"/>
            <w:shd w:val="clear" w:color="auto" w:fill="auto"/>
            <w:vAlign w:val="center"/>
          </w:tcPr>
          <w:p w14:paraId="0B36AC7E">
            <w:pPr>
              <w:widowControl/>
              <w:spacing w:line="276" w:lineRule="auto"/>
              <w:contextualSpacing/>
              <w:jc w:val="center"/>
              <w:rPr>
                <w:rFonts w:ascii="仿宋" w:hAnsi="仿宋" w:eastAsia="仿宋" w:cs="宋体"/>
                <w:b/>
                <w:color w:val="auto"/>
                <w:kern w:val="0"/>
                <w:szCs w:val="21"/>
              </w:rPr>
            </w:pPr>
            <w:r>
              <w:rPr>
                <w:rFonts w:hint="eastAsia" w:ascii="仿宋" w:hAnsi="仿宋" w:eastAsia="仿宋" w:cs="宋体"/>
                <w:b/>
                <w:color w:val="auto"/>
                <w:kern w:val="0"/>
                <w:szCs w:val="21"/>
              </w:rPr>
              <w:t>数量</w:t>
            </w:r>
          </w:p>
        </w:tc>
        <w:tc>
          <w:tcPr>
            <w:tcW w:w="1360" w:type="pct"/>
            <w:shd w:val="clear" w:color="auto" w:fill="auto"/>
            <w:vAlign w:val="center"/>
          </w:tcPr>
          <w:p w14:paraId="4B841FB6">
            <w:pPr>
              <w:widowControl/>
              <w:spacing w:line="276" w:lineRule="auto"/>
              <w:contextualSpacing/>
              <w:jc w:val="center"/>
              <w:rPr>
                <w:rFonts w:ascii="仿宋" w:hAnsi="仿宋" w:eastAsia="仿宋" w:cs="宋体"/>
                <w:b/>
                <w:color w:val="auto"/>
                <w:kern w:val="0"/>
                <w:szCs w:val="21"/>
              </w:rPr>
            </w:pPr>
            <w:r>
              <w:rPr>
                <w:rFonts w:hint="eastAsia" w:ascii="仿宋" w:hAnsi="仿宋" w:eastAsia="仿宋" w:cs="宋体"/>
                <w:b/>
                <w:color w:val="auto"/>
                <w:kern w:val="0"/>
                <w:szCs w:val="21"/>
              </w:rPr>
              <w:t>单价</w:t>
            </w:r>
            <w:bookmarkStart w:id="13" w:name="OLE_LINK211"/>
            <w:bookmarkStart w:id="14" w:name="OLE_LINK171"/>
            <w:bookmarkStart w:id="15" w:name="OLE_LINK170"/>
            <w:r>
              <w:rPr>
                <w:rFonts w:hint="eastAsia" w:ascii="仿宋" w:hAnsi="仿宋" w:eastAsia="仿宋" w:cs="宋体"/>
                <w:b/>
                <w:color w:val="auto"/>
                <w:kern w:val="0"/>
                <w:szCs w:val="21"/>
              </w:rPr>
              <w:t>限价（人民币元）</w:t>
            </w:r>
            <w:bookmarkEnd w:id="13"/>
            <w:bookmarkEnd w:id="14"/>
            <w:bookmarkEnd w:id="15"/>
          </w:p>
        </w:tc>
      </w:tr>
      <w:tr w14:paraId="1AA1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876" w:type="pct"/>
            <w:shd w:val="clear" w:color="auto" w:fill="auto"/>
            <w:vAlign w:val="center"/>
          </w:tcPr>
          <w:p w14:paraId="63182D05">
            <w:pPr>
              <w:widowControl/>
              <w:spacing w:line="276" w:lineRule="auto"/>
              <w:contextualSpacing/>
              <w:jc w:val="center"/>
              <w:rPr>
                <w:rFonts w:ascii="仿宋" w:hAnsi="仿宋" w:eastAsia="仿宋" w:cs="宋体"/>
                <w:color w:val="auto"/>
                <w:kern w:val="0"/>
                <w:szCs w:val="21"/>
              </w:rPr>
            </w:pPr>
            <w:bookmarkStart w:id="16" w:name="OLE_LINK256"/>
            <w:bookmarkStart w:id="17" w:name="OLE_LINK255"/>
            <w:r>
              <w:rPr>
                <w:rFonts w:hint="eastAsia" w:ascii="仿宋" w:hAnsi="仿宋" w:eastAsia="仿宋" w:cs="宋体"/>
                <w:color w:val="auto"/>
                <w:kern w:val="0"/>
                <w:szCs w:val="21"/>
              </w:rPr>
              <w:t>DNA测序</w:t>
            </w:r>
            <w:bookmarkEnd w:id="16"/>
            <w:bookmarkEnd w:id="17"/>
          </w:p>
        </w:tc>
        <w:tc>
          <w:tcPr>
            <w:tcW w:w="848" w:type="pct"/>
            <w:shd w:val="clear" w:color="auto" w:fill="auto"/>
            <w:noWrap/>
            <w:vAlign w:val="center"/>
          </w:tcPr>
          <w:p w14:paraId="318408FC">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个</w:t>
            </w:r>
          </w:p>
        </w:tc>
        <w:tc>
          <w:tcPr>
            <w:tcW w:w="915" w:type="pct"/>
            <w:shd w:val="clear" w:color="auto" w:fill="auto"/>
            <w:vAlign w:val="center"/>
          </w:tcPr>
          <w:p w14:paraId="3159822A">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9500</w:t>
            </w:r>
          </w:p>
        </w:tc>
        <w:tc>
          <w:tcPr>
            <w:tcW w:w="1360" w:type="pct"/>
            <w:shd w:val="clear" w:color="auto" w:fill="auto"/>
            <w:vAlign w:val="center"/>
          </w:tcPr>
          <w:p w14:paraId="51E35E32">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16.00</w:t>
            </w:r>
          </w:p>
        </w:tc>
      </w:tr>
      <w:bookmarkEnd w:id="12"/>
      <w:tr w14:paraId="77527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876" w:type="pct"/>
            <w:shd w:val="clear" w:color="auto" w:fill="auto"/>
            <w:vAlign w:val="center"/>
          </w:tcPr>
          <w:p w14:paraId="43E9B5D1">
            <w:pPr>
              <w:widowControl/>
              <w:spacing w:line="276" w:lineRule="auto"/>
              <w:contextualSpacing/>
              <w:jc w:val="center"/>
              <w:rPr>
                <w:rFonts w:ascii="仿宋" w:hAnsi="仿宋" w:eastAsia="仿宋" w:cs="宋体"/>
                <w:color w:val="auto"/>
                <w:kern w:val="0"/>
                <w:szCs w:val="21"/>
              </w:rPr>
            </w:pPr>
            <w:bookmarkStart w:id="18" w:name="OLE_LINK257"/>
            <w:r>
              <w:rPr>
                <w:rFonts w:hint="eastAsia" w:ascii="仿宋" w:hAnsi="仿宋" w:eastAsia="仿宋" w:cs="宋体"/>
                <w:color w:val="auto"/>
                <w:kern w:val="0"/>
                <w:szCs w:val="21"/>
              </w:rPr>
              <w:t>PCR产物、质粒测序</w:t>
            </w:r>
            <w:bookmarkEnd w:id="18"/>
          </w:p>
        </w:tc>
        <w:tc>
          <w:tcPr>
            <w:tcW w:w="848" w:type="pct"/>
            <w:shd w:val="clear" w:color="auto" w:fill="auto"/>
            <w:noWrap/>
            <w:vAlign w:val="center"/>
          </w:tcPr>
          <w:p w14:paraId="77F0DCA7">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反应</w:t>
            </w:r>
          </w:p>
        </w:tc>
        <w:tc>
          <w:tcPr>
            <w:tcW w:w="915" w:type="pct"/>
            <w:shd w:val="clear" w:color="auto" w:fill="auto"/>
            <w:vAlign w:val="center"/>
          </w:tcPr>
          <w:p w14:paraId="6E4DE8AD">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10000</w:t>
            </w:r>
          </w:p>
        </w:tc>
        <w:tc>
          <w:tcPr>
            <w:tcW w:w="1360" w:type="pct"/>
            <w:shd w:val="clear" w:color="auto" w:fill="auto"/>
            <w:vAlign w:val="center"/>
          </w:tcPr>
          <w:p w14:paraId="3DE43859">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10.00</w:t>
            </w:r>
          </w:p>
        </w:tc>
      </w:tr>
      <w:tr w14:paraId="7DEF1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876" w:type="pct"/>
            <w:shd w:val="clear" w:color="auto" w:fill="auto"/>
            <w:vAlign w:val="center"/>
          </w:tcPr>
          <w:p w14:paraId="32FCE024">
            <w:pPr>
              <w:widowControl/>
              <w:spacing w:line="276" w:lineRule="auto"/>
              <w:contextualSpacing/>
              <w:jc w:val="center"/>
              <w:rPr>
                <w:rFonts w:ascii="仿宋" w:hAnsi="仿宋" w:eastAsia="仿宋" w:cs="宋体"/>
                <w:color w:val="auto"/>
                <w:kern w:val="0"/>
                <w:szCs w:val="21"/>
              </w:rPr>
            </w:pPr>
            <w:bookmarkStart w:id="19" w:name="OLE_LINK258"/>
            <w:r>
              <w:rPr>
                <w:rFonts w:hint="eastAsia" w:ascii="仿宋" w:hAnsi="仿宋" w:eastAsia="仿宋" w:cs="宋体"/>
                <w:color w:val="auto"/>
                <w:kern w:val="0"/>
                <w:szCs w:val="21"/>
              </w:rPr>
              <w:t>探针合成</w:t>
            </w:r>
            <w:bookmarkEnd w:id="19"/>
          </w:p>
        </w:tc>
        <w:tc>
          <w:tcPr>
            <w:tcW w:w="848" w:type="pct"/>
            <w:shd w:val="clear" w:color="auto" w:fill="auto"/>
            <w:noWrap/>
            <w:vAlign w:val="center"/>
          </w:tcPr>
          <w:p w14:paraId="2A2F9FAB">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条</w:t>
            </w:r>
          </w:p>
        </w:tc>
        <w:tc>
          <w:tcPr>
            <w:tcW w:w="915" w:type="pct"/>
            <w:shd w:val="clear" w:color="auto" w:fill="auto"/>
            <w:vAlign w:val="center"/>
          </w:tcPr>
          <w:p w14:paraId="000D2DC1">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65</w:t>
            </w:r>
          </w:p>
        </w:tc>
        <w:tc>
          <w:tcPr>
            <w:tcW w:w="1360" w:type="pct"/>
            <w:shd w:val="clear" w:color="auto" w:fill="auto"/>
            <w:vAlign w:val="center"/>
          </w:tcPr>
          <w:p w14:paraId="14A0F54C">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1,500.00</w:t>
            </w:r>
          </w:p>
        </w:tc>
      </w:tr>
      <w:tr w14:paraId="2396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876" w:type="pct"/>
            <w:shd w:val="clear" w:color="auto" w:fill="auto"/>
            <w:vAlign w:val="center"/>
          </w:tcPr>
          <w:p w14:paraId="574E10E6">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引物合成</w:t>
            </w:r>
          </w:p>
        </w:tc>
        <w:tc>
          <w:tcPr>
            <w:tcW w:w="848" w:type="pct"/>
            <w:shd w:val="clear" w:color="auto" w:fill="auto"/>
            <w:noWrap/>
            <w:vAlign w:val="center"/>
          </w:tcPr>
          <w:p w14:paraId="68EB2609">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碱基</w:t>
            </w:r>
          </w:p>
        </w:tc>
        <w:tc>
          <w:tcPr>
            <w:tcW w:w="915" w:type="pct"/>
            <w:shd w:val="clear" w:color="auto" w:fill="auto"/>
            <w:vAlign w:val="center"/>
          </w:tcPr>
          <w:p w14:paraId="201F2959">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35000</w:t>
            </w:r>
          </w:p>
        </w:tc>
        <w:tc>
          <w:tcPr>
            <w:tcW w:w="1360" w:type="pct"/>
            <w:shd w:val="clear" w:color="auto" w:fill="auto"/>
            <w:vAlign w:val="center"/>
          </w:tcPr>
          <w:p w14:paraId="6681FB65">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2.00</w:t>
            </w:r>
          </w:p>
        </w:tc>
      </w:tr>
    </w:tbl>
    <w:p w14:paraId="16BDC80C">
      <w:pPr>
        <w:spacing w:line="360" w:lineRule="auto"/>
        <w:contextualSpacing/>
        <w:rPr>
          <w:rFonts w:ascii="仿宋" w:hAnsi="仿宋" w:eastAsia="仿宋" w:cs="仿宋"/>
          <w:b/>
          <w:bCs/>
          <w:color w:val="auto"/>
          <w:szCs w:val="21"/>
        </w:rPr>
      </w:pPr>
      <w:bookmarkStart w:id="20" w:name="OLE_LINK199"/>
      <w:bookmarkStart w:id="21" w:name="OLE_LINK183"/>
      <w:bookmarkStart w:id="22" w:name="OLE_LINK243"/>
      <w:bookmarkStart w:id="23" w:name="OLE_LINK173"/>
      <w:bookmarkStart w:id="24" w:name="OLE_LINK172"/>
      <w:r>
        <w:rPr>
          <w:rFonts w:hint="eastAsia" w:ascii="仿宋" w:hAnsi="仿宋" w:eastAsia="仿宋" w:cs="仿宋"/>
          <w:b/>
          <w:bCs/>
          <w:color w:val="auto"/>
          <w:szCs w:val="21"/>
        </w:rPr>
        <w:t>注：1）投标人所报委托服务明细单价不能超过上述单价限价，否则按废标处理。</w:t>
      </w:r>
    </w:p>
    <w:p w14:paraId="2654C7D3">
      <w:pPr>
        <w:spacing w:line="360" w:lineRule="auto"/>
        <w:ind w:firstLine="422" w:firstLineChars="200"/>
        <w:contextualSpacing/>
        <w:rPr>
          <w:rFonts w:ascii="仿宋" w:hAnsi="仿宋" w:eastAsia="仿宋"/>
          <w:b/>
          <w:color w:val="auto"/>
          <w:szCs w:val="21"/>
        </w:rPr>
      </w:pPr>
      <w:r>
        <w:rPr>
          <w:rFonts w:hint="eastAsia" w:ascii="仿宋" w:hAnsi="仿宋" w:eastAsia="仿宋" w:cs="仿宋"/>
          <w:b/>
          <w:bCs/>
          <w:color w:val="auto"/>
          <w:szCs w:val="21"/>
        </w:rPr>
        <w:t>2）投标人所报数量不能低于上述委托服务中列明的数量，否则按废标处理。</w:t>
      </w:r>
      <w:bookmarkEnd w:id="20"/>
      <w:bookmarkEnd w:id="21"/>
      <w:bookmarkEnd w:id="22"/>
      <w:bookmarkEnd w:id="23"/>
      <w:bookmarkEnd w:id="24"/>
    </w:p>
    <w:p w14:paraId="4FC82C73">
      <w:pPr>
        <w:pStyle w:val="6"/>
        <w:spacing w:line="360" w:lineRule="auto"/>
        <w:ind w:firstLine="482"/>
        <w:contextualSpacing/>
        <w:rPr>
          <w:rFonts w:ascii="仿宋" w:hAnsi="仿宋" w:eastAsia="仿宋"/>
          <w:b/>
          <w:color w:val="auto"/>
          <w:sz w:val="21"/>
          <w:szCs w:val="21"/>
        </w:rPr>
      </w:pPr>
      <w:bookmarkStart w:id="25" w:name="OLE_LINK174"/>
      <w:r>
        <w:rPr>
          <w:rFonts w:hint="eastAsia" w:ascii="仿宋" w:hAnsi="仿宋" w:eastAsia="仿宋"/>
          <w:b/>
          <w:color w:val="auto"/>
          <w:sz w:val="21"/>
          <w:szCs w:val="21"/>
        </w:rPr>
        <w:t>（二）商务要求</w:t>
      </w:r>
      <w:bookmarkEnd w:id="25"/>
    </w:p>
    <w:p w14:paraId="00AF6B6E">
      <w:pPr>
        <w:pStyle w:val="6"/>
        <w:spacing w:line="360" w:lineRule="auto"/>
        <w:contextualSpacing/>
        <w:rPr>
          <w:rFonts w:ascii="仿宋" w:hAnsi="仿宋" w:eastAsia="仿宋"/>
          <w:color w:val="auto"/>
          <w:sz w:val="21"/>
          <w:szCs w:val="21"/>
        </w:rPr>
      </w:pPr>
      <w:r>
        <w:rPr>
          <w:rFonts w:hint="eastAsia" w:ascii="仿宋" w:hAnsi="仿宋" w:eastAsia="仿宋"/>
          <w:color w:val="auto"/>
          <w:sz w:val="21"/>
          <w:szCs w:val="21"/>
        </w:rPr>
        <w:t>1.测试化验加工服务方案能清晰理解采购人测试服务要求，并能全面覆盖项目所有测试化验加工内容，标准明确，流程清晰，技术措施具体，有切实可行的协调、解决和完成项目的工作方法和措施。</w:t>
      </w:r>
    </w:p>
    <w:p w14:paraId="64B90645">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2.合同签订后根据用户具体需求分批次把样品交付给投标人，收到样品后按照合同要求时间交付相应结果。</w:t>
      </w:r>
    </w:p>
    <w:p w14:paraId="29325E75">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3.结果(含检测序列)遵照生物安全和信息保密相关规定按用户要求发往指定服务地点。</w:t>
      </w:r>
    </w:p>
    <w:p w14:paraId="0C5E8832">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4.采购人有权要求投标人提供本服务检测过程中的任何相关数据。</w:t>
      </w:r>
    </w:p>
    <w:p w14:paraId="219BA9E7">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5.售后服务：投标人中标后，需每月向采购人提供服务进度报告(包含每份样本收费明细)。</w:t>
      </w:r>
    </w:p>
    <w:p w14:paraId="6BD1BE2F">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6.技术履约验收内容：采购人按照国家有关规定以及招标文件的要求、投标人的投标文件及承诺与本项目合同约定标准进行验收。</w:t>
      </w:r>
    </w:p>
    <w:p w14:paraId="687A04E9">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7.投标人</w:t>
      </w:r>
      <w:r>
        <w:rPr>
          <w:rFonts w:ascii="仿宋" w:hAnsi="仿宋" w:eastAsia="仿宋"/>
          <w:color w:val="auto"/>
          <w:sz w:val="21"/>
          <w:szCs w:val="21"/>
        </w:rPr>
        <w:t>实验室具有96通道测序仪并</w:t>
      </w:r>
      <w:r>
        <w:rPr>
          <w:rFonts w:hint="eastAsia" w:ascii="仿宋" w:hAnsi="仿宋" w:eastAsia="仿宋"/>
          <w:color w:val="auto"/>
          <w:sz w:val="21"/>
          <w:szCs w:val="21"/>
        </w:rPr>
        <w:t>提供仪器购置合同或发票等证明材料</w:t>
      </w:r>
      <w:r>
        <w:rPr>
          <w:rFonts w:ascii="仿宋" w:hAnsi="仿宋" w:eastAsia="仿宋"/>
          <w:color w:val="auto"/>
          <w:sz w:val="21"/>
          <w:szCs w:val="21"/>
        </w:rPr>
        <w:t>。</w:t>
      </w:r>
    </w:p>
    <w:p w14:paraId="0B02E2B0">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8.项目管理人员1人，具有高级技术职务职称，提供管理人员证书为准；拟投入本项目的检测人员具备相关专业中级或以上职称≥3人。</w:t>
      </w:r>
    </w:p>
    <w:p w14:paraId="7557B770">
      <w:pPr>
        <w:pStyle w:val="6"/>
        <w:spacing w:line="360" w:lineRule="auto"/>
        <w:ind w:firstLine="482"/>
        <w:contextualSpacing/>
        <w:rPr>
          <w:rFonts w:ascii="仿宋" w:hAnsi="仿宋" w:eastAsia="仿宋" w:cs="宋体"/>
          <w:color w:val="auto"/>
          <w:sz w:val="21"/>
          <w:szCs w:val="21"/>
        </w:rPr>
      </w:pPr>
      <w:r>
        <w:rPr>
          <w:rFonts w:hint="eastAsia" w:ascii="仿宋" w:hAnsi="仿宋" w:eastAsia="仿宋"/>
          <w:color w:val="auto"/>
          <w:sz w:val="21"/>
          <w:szCs w:val="21"/>
        </w:rPr>
        <w:t>9.投标人需针对在</w:t>
      </w:r>
      <w:r>
        <w:rPr>
          <w:rFonts w:hint="eastAsia" w:ascii="仿宋" w:hAnsi="仿宋" w:eastAsia="仿宋" w:cs="宋体"/>
          <w:color w:val="auto"/>
          <w:sz w:val="21"/>
          <w:szCs w:val="21"/>
        </w:rPr>
        <w:t>样品采集、测序分析中可能发生的情况分析及应急处理方案，并对每一项内容进行详细阐述，具有具体实施细节。</w:t>
      </w:r>
    </w:p>
    <w:p w14:paraId="61002A82">
      <w:pPr>
        <w:pStyle w:val="6"/>
        <w:spacing w:line="360" w:lineRule="auto"/>
        <w:ind w:firstLine="482"/>
        <w:contextualSpacing/>
        <w:rPr>
          <w:rFonts w:ascii="仿宋" w:hAnsi="仿宋" w:eastAsia="仿宋"/>
          <w:color w:val="auto"/>
          <w:sz w:val="21"/>
          <w:szCs w:val="21"/>
        </w:rPr>
      </w:pPr>
      <w:bookmarkStart w:id="26" w:name="OLE_LINK261"/>
      <w:bookmarkStart w:id="27" w:name="OLE_LINK262"/>
      <w:r>
        <w:rPr>
          <w:rFonts w:hint="eastAsia" w:ascii="仿宋" w:hAnsi="仿宋" w:eastAsia="仿宋"/>
          <w:color w:val="auto"/>
          <w:sz w:val="21"/>
          <w:szCs w:val="21"/>
        </w:rPr>
        <w:t>10.投标人应建立完善的数据安全和保密管理制度，对采购人提供的样本信息、检测数据、研究成果等承担保密义务。未经采购人书面同意，不得将任何数据资料用于本项目以外的用途。项目完成后，应按采购人要求返还或销毁相关数据。</w:t>
      </w:r>
    </w:p>
    <w:p w14:paraId="6AF86B2E">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11.本项目产生的检测数据、分析结果及相关研究成果的知识产权归采购人所有。</w:t>
      </w:r>
    </w:p>
    <w:p w14:paraId="42F0A56F">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12.投标人应建立样品接收、登记、储存、处理、销毁的全流程管理制度，确保样品可追溯、可核查。</w:t>
      </w:r>
      <w:bookmarkEnd w:id="26"/>
      <w:bookmarkEnd w:id="27"/>
      <w:r>
        <w:rPr>
          <w:rFonts w:hint="eastAsia" w:ascii="仿宋" w:hAnsi="仿宋" w:eastAsia="仿宋"/>
          <w:color w:val="auto"/>
          <w:sz w:val="21"/>
        </w:rPr>
        <w:t>需安排专人上门接收样品，并提供取样人员名单及联系方式。</w:t>
      </w:r>
    </w:p>
    <w:p w14:paraId="7433571A">
      <w:pPr>
        <w:pStyle w:val="6"/>
        <w:spacing w:line="360" w:lineRule="auto"/>
        <w:ind w:firstLine="482"/>
        <w:contextualSpacing/>
        <w:rPr>
          <w:rFonts w:ascii="仿宋" w:hAnsi="仿宋" w:eastAsia="仿宋"/>
          <w:b/>
          <w:color w:val="auto"/>
          <w:sz w:val="21"/>
          <w:szCs w:val="21"/>
        </w:rPr>
      </w:pPr>
      <w:r>
        <w:rPr>
          <w:rFonts w:hint="eastAsia" w:ascii="仿宋" w:hAnsi="仿宋" w:eastAsia="仿宋"/>
          <w:b/>
          <w:color w:val="auto"/>
          <w:sz w:val="21"/>
          <w:szCs w:val="21"/>
        </w:rPr>
        <w:t>（三）技术要求</w:t>
      </w:r>
    </w:p>
    <w:p w14:paraId="6FDD2245">
      <w:pPr>
        <w:pStyle w:val="6"/>
        <w:spacing w:line="360" w:lineRule="auto"/>
        <w:ind w:firstLine="482"/>
        <w:contextualSpacing/>
        <w:rPr>
          <w:rFonts w:ascii="仿宋" w:hAnsi="仿宋" w:eastAsia="仿宋"/>
          <w:color w:val="auto"/>
          <w:sz w:val="21"/>
          <w:szCs w:val="21"/>
        </w:rPr>
      </w:pPr>
      <w:r>
        <w:rPr>
          <w:rFonts w:ascii="仿宋" w:hAnsi="仿宋" w:eastAsia="仿宋"/>
          <w:color w:val="auto"/>
          <w:sz w:val="21"/>
          <w:szCs w:val="21"/>
        </w:rPr>
        <w:t>1.能提供符合该项基因检测分析要求的测序能力，可适用于市场上各品牌核酸扩增试剂检测产物</w:t>
      </w:r>
      <w:r>
        <w:rPr>
          <w:rFonts w:hint="eastAsia" w:ascii="仿宋" w:hAnsi="仿宋" w:eastAsia="仿宋"/>
          <w:color w:val="auto"/>
          <w:sz w:val="21"/>
          <w:szCs w:val="21"/>
        </w:rPr>
        <w:t>。</w:t>
      </w:r>
    </w:p>
    <w:p w14:paraId="1178A7C2">
      <w:pPr>
        <w:pStyle w:val="6"/>
        <w:spacing w:line="360" w:lineRule="auto"/>
        <w:ind w:firstLine="482"/>
        <w:contextualSpacing/>
        <w:rPr>
          <w:rFonts w:ascii="仿宋" w:hAnsi="仿宋" w:eastAsia="仿宋"/>
          <w:color w:val="auto"/>
          <w:sz w:val="21"/>
          <w:szCs w:val="21"/>
        </w:rPr>
      </w:pPr>
      <w:r>
        <w:rPr>
          <w:rFonts w:ascii="仿宋" w:hAnsi="仿宋" w:eastAsia="仿宋"/>
          <w:color w:val="auto"/>
          <w:sz w:val="21"/>
          <w:szCs w:val="21"/>
        </w:rPr>
        <w:t>2.实验室分区明确符合测序实验要求，测序质量稳定;</w:t>
      </w:r>
      <w:r>
        <w:rPr>
          <w:rFonts w:hint="eastAsia" w:ascii="仿宋" w:hAnsi="仿宋" w:eastAsia="仿宋"/>
          <w:color w:val="auto"/>
          <w:sz w:val="21"/>
          <w:szCs w:val="21"/>
        </w:rPr>
        <w:t>同时对于测序使用的引物可以免费保存1年。</w:t>
      </w:r>
    </w:p>
    <w:p w14:paraId="5CC86629">
      <w:pPr>
        <w:pStyle w:val="6"/>
        <w:tabs>
          <w:tab w:val="left" w:pos="7655"/>
          <w:tab w:val="left" w:pos="8306"/>
        </w:tabs>
        <w:spacing w:line="360" w:lineRule="auto"/>
        <w:ind w:firstLine="482"/>
        <w:contextualSpacing/>
        <w:rPr>
          <w:rFonts w:ascii="仿宋" w:hAnsi="仿宋" w:eastAsia="仿宋"/>
          <w:color w:val="auto"/>
          <w:sz w:val="21"/>
          <w:szCs w:val="21"/>
        </w:rPr>
      </w:pPr>
      <w:r>
        <w:rPr>
          <w:rFonts w:ascii="仿宋" w:hAnsi="仿宋" w:eastAsia="仿宋"/>
          <w:color w:val="auto"/>
          <w:sz w:val="21"/>
          <w:szCs w:val="21"/>
        </w:rPr>
        <w:t>3.在一条终序列中表示一个成功反应，保证测序色谱图文件峰型清晰度</w:t>
      </w:r>
      <w:r>
        <w:rPr>
          <w:rFonts w:hint="eastAsia" w:ascii="仿宋" w:hAnsi="仿宋" w:eastAsia="仿宋"/>
          <w:color w:val="auto"/>
          <w:sz w:val="21"/>
          <w:szCs w:val="21"/>
        </w:rPr>
        <w:t>＞</w:t>
      </w:r>
      <w:r>
        <w:rPr>
          <w:rFonts w:ascii="仿宋" w:hAnsi="仿宋" w:eastAsia="仿宋"/>
          <w:color w:val="auto"/>
          <w:sz w:val="21"/>
          <w:szCs w:val="21"/>
        </w:rPr>
        <w:t>700bp</w:t>
      </w:r>
      <w:r>
        <w:rPr>
          <w:rFonts w:hint="eastAsia" w:ascii="仿宋" w:hAnsi="仿宋" w:eastAsia="仿宋"/>
          <w:color w:val="auto"/>
          <w:sz w:val="21"/>
          <w:szCs w:val="21"/>
        </w:rPr>
        <w:t>。</w:t>
      </w:r>
    </w:p>
    <w:p w14:paraId="0F0424F0">
      <w:pPr>
        <w:pStyle w:val="6"/>
        <w:spacing w:line="360" w:lineRule="auto"/>
        <w:ind w:firstLine="482"/>
        <w:contextualSpacing/>
        <w:rPr>
          <w:rFonts w:ascii="仿宋" w:hAnsi="仿宋" w:eastAsia="仿宋"/>
          <w:color w:val="auto"/>
          <w:sz w:val="21"/>
          <w:szCs w:val="21"/>
        </w:rPr>
      </w:pPr>
      <w:r>
        <w:rPr>
          <w:rFonts w:ascii="仿宋" w:hAnsi="仿宋" w:eastAsia="仿宋"/>
          <w:color w:val="auto"/>
          <w:sz w:val="21"/>
          <w:szCs w:val="21"/>
        </w:rPr>
        <w:t>4.条带位置正确和清晰的情况下，</w:t>
      </w:r>
      <w:r>
        <w:rPr>
          <w:rFonts w:hint="eastAsia" w:ascii="仿宋" w:hAnsi="仿宋" w:eastAsia="仿宋"/>
          <w:color w:val="auto"/>
          <w:sz w:val="21"/>
          <w:szCs w:val="21"/>
        </w:rPr>
        <w:t>采用切胶纯化（免费提供纯化）</w:t>
      </w:r>
      <w:r>
        <w:rPr>
          <w:rFonts w:ascii="仿宋" w:hAnsi="仿宋" w:eastAsia="仿宋"/>
          <w:color w:val="auto"/>
          <w:sz w:val="21"/>
          <w:szCs w:val="21"/>
        </w:rPr>
        <w:t>测序成功率</w:t>
      </w:r>
      <w:r>
        <w:rPr>
          <w:rFonts w:hint="eastAsia" w:ascii="仿宋" w:hAnsi="仿宋" w:eastAsia="仿宋"/>
          <w:color w:val="auto"/>
          <w:sz w:val="21"/>
          <w:szCs w:val="21"/>
        </w:rPr>
        <w:t>需</w:t>
      </w:r>
      <w:r>
        <w:rPr>
          <w:rFonts w:ascii="仿宋" w:hAnsi="仿宋" w:eastAsia="仿宋"/>
          <w:color w:val="auto"/>
          <w:sz w:val="21"/>
          <w:szCs w:val="21"/>
        </w:rPr>
        <w:t>在90%以上</w:t>
      </w:r>
      <w:r>
        <w:rPr>
          <w:rFonts w:hint="eastAsia" w:ascii="仿宋" w:hAnsi="仿宋" w:eastAsia="仿宋"/>
          <w:color w:val="auto"/>
          <w:sz w:val="21"/>
          <w:szCs w:val="21"/>
        </w:rPr>
        <w:t>。</w:t>
      </w:r>
    </w:p>
    <w:p w14:paraId="2D09D033">
      <w:pPr>
        <w:pStyle w:val="6"/>
        <w:spacing w:line="360" w:lineRule="auto"/>
        <w:ind w:firstLine="482"/>
        <w:contextualSpacing/>
        <w:rPr>
          <w:rFonts w:ascii="仿宋" w:hAnsi="仿宋" w:eastAsia="仿宋"/>
          <w:color w:val="auto"/>
          <w:sz w:val="21"/>
          <w:szCs w:val="21"/>
        </w:rPr>
      </w:pPr>
      <w:r>
        <w:rPr>
          <w:rFonts w:ascii="仿宋" w:hAnsi="仿宋" w:eastAsia="仿宋"/>
          <w:color w:val="auto"/>
          <w:sz w:val="21"/>
          <w:szCs w:val="21"/>
        </w:rPr>
        <w:t>5.对于测序反应不成功，或者部分成功但是测序后不能完整拼接的样本记为失败测序，不计费且要提供相应的解决方案，并重复测序。</w:t>
      </w:r>
    </w:p>
    <w:p w14:paraId="6C84F32A">
      <w:pPr>
        <w:pStyle w:val="6"/>
        <w:spacing w:line="360" w:lineRule="auto"/>
        <w:ind w:firstLine="482"/>
        <w:contextualSpacing/>
        <w:rPr>
          <w:rFonts w:ascii="仿宋" w:hAnsi="仿宋" w:eastAsia="仿宋"/>
          <w:color w:val="auto"/>
          <w:sz w:val="21"/>
          <w:szCs w:val="21"/>
        </w:rPr>
      </w:pPr>
      <w:r>
        <w:rPr>
          <w:rFonts w:ascii="仿宋" w:hAnsi="仿宋" w:eastAsia="仿宋"/>
          <w:color w:val="auto"/>
          <w:sz w:val="21"/>
          <w:szCs w:val="21"/>
        </w:rPr>
        <w:t>6.混合样本扩增效果不理想时，可以做克隆测序</w:t>
      </w:r>
      <w:r>
        <w:rPr>
          <w:rFonts w:hint="eastAsia" w:ascii="仿宋" w:hAnsi="仿宋" w:eastAsia="仿宋"/>
          <w:color w:val="auto"/>
          <w:sz w:val="21"/>
          <w:szCs w:val="21"/>
        </w:rPr>
        <w:t>，载体免费提供。</w:t>
      </w:r>
    </w:p>
    <w:p w14:paraId="43718CC4">
      <w:pPr>
        <w:pStyle w:val="6"/>
        <w:spacing w:line="360" w:lineRule="auto"/>
        <w:ind w:firstLine="482"/>
        <w:contextualSpacing/>
        <w:rPr>
          <w:rFonts w:ascii="仿宋" w:hAnsi="仿宋" w:eastAsia="仿宋"/>
          <w:color w:val="auto"/>
          <w:sz w:val="21"/>
          <w:szCs w:val="21"/>
        </w:rPr>
      </w:pPr>
      <w:r>
        <w:rPr>
          <w:rFonts w:ascii="仿宋" w:hAnsi="仿宋" w:eastAsia="仿宋"/>
          <w:color w:val="auto"/>
          <w:sz w:val="21"/>
          <w:szCs w:val="21"/>
        </w:rPr>
        <w:t>7.有能力提供测序全程服务,即采购人提供未知病原核酸原始样本,</w:t>
      </w:r>
      <w:r>
        <w:rPr>
          <w:rFonts w:hint="eastAsia" w:ascii="仿宋" w:hAnsi="仿宋" w:eastAsia="仿宋"/>
          <w:color w:val="auto"/>
          <w:sz w:val="21"/>
          <w:szCs w:val="21"/>
        </w:rPr>
        <w:t>投标人</w:t>
      </w:r>
      <w:r>
        <w:rPr>
          <w:rFonts w:ascii="仿宋" w:hAnsi="仿宋" w:eastAsia="仿宋"/>
          <w:color w:val="auto"/>
          <w:sz w:val="21"/>
          <w:szCs w:val="21"/>
        </w:rPr>
        <w:t>提供扩增、测序、拼接、分析等全部服务</w:t>
      </w:r>
    </w:p>
    <w:p w14:paraId="76321471">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8.引物合成提供OPC,PAGE,HPLC三种纯化方式，可根据采购人需求进行定制合成，一次性最多可提供4OD，接收引物订单之后1个工作日送货上门。</w:t>
      </w:r>
    </w:p>
    <w:p w14:paraId="7A4719B3">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9.引物合成序列分子量误差(%)≤±0.05%（兼并碱基除外），可进行质谱检测。干粉引物外观为均一的粉末或透明晶体，无明显杂质；液体引物外观为无色/特定颜色液体，澄清透明，无明显杂质。</w:t>
      </w:r>
    </w:p>
    <w:p w14:paraId="14B1E263">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10</w:t>
      </w:r>
      <w:r>
        <w:rPr>
          <w:rFonts w:ascii="仿宋" w:hAnsi="仿宋" w:eastAsia="仿宋"/>
          <w:color w:val="auto"/>
          <w:sz w:val="21"/>
          <w:szCs w:val="21"/>
        </w:rPr>
        <w:t>.接收样品后1个工作日内即可通过E-mail发送测序结果。</w:t>
      </w:r>
    </w:p>
    <w:p w14:paraId="0746BB46">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11</w:t>
      </w:r>
      <w:r>
        <w:rPr>
          <w:rFonts w:ascii="仿宋" w:hAnsi="仿宋" w:eastAsia="仿宋"/>
          <w:color w:val="auto"/>
          <w:sz w:val="21"/>
          <w:szCs w:val="21"/>
        </w:rPr>
        <w:t>.全年可接受样品测序，并上门取货。</w:t>
      </w:r>
    </w:p>
    <w:p w14:paraId="41E569DC">
      <w:pPr>
        <w:pStyle w:val="6"/>
        <w:spacing w:line="360" w:lineRule="auto"/>
        <w:ind w:firstLine="482"/>
        <w:contextualSpacing/>
        <w:rPr>
          <w:rFonts w:ascii="仿宋" w:hAnsi="仿宋" w:eastAsia="仿宋"/>
          <w:b/>
          <w:color w:val="auto"/>
          <w:sz w:val="21"/>
          <w:szCs w:val="21"/>
        </w:rPr>
      </w:pPr>
      <w:r>
        <w:rPr>
          <w:rFonts w:hint="eastAsia" w:ascii="仿宋" w:hAnsi="仿宋" w:eastAsia="仿宋"/>
          <w:color w:val="auto"/>
          <w:sz w:val="21"/>
          <w:szCs w:val="21"/>
        </w:rPr>
        <w:t>★</w:t>
      </w:r>
      <w:r>
        <w:rPr>
          <w:rFonts w:ascii="仿宋" w:hAnsi="仿宋" w:eastAsia="仿宋"/>
          <w:color w:val="auto"/>
          <w:sz w:val="21"/>
          <w:szCs w:val="21"/>
        </w:rPr>
        <w:t>1</w:t>
      </w:r>
      <w:r>
        <w:rPr>
          <w:rFonts w:hint="eastAsia" w:ascii="仿宋" w:hAnsi="仿宋" w:eastAsia="仿宋"/>
          <w:color w:val="auto"/>
          <w:sz w:val="21"/>
          <w:szCs w:val="21"/>
        </w:rPr>
        <w:t>2.</w:t>
      </w:r>
      <w:r>
        <w:rPr>
          <w:rFonts w:ascii="仿宋" w:hAnsi="仿宋" w:eastAsia="仿宋"/>
          <w:color w:val="auto"/>
          <w:sz w:val="21"/>
          <w:szCs w:val="21"/>
        </w:rPr>
        <w:t>结果反馈：</w:t>
      </w:r>
      <w:r>
        <w:rPr>
          <w:rFonts w:ascii="仿宋" w:hAnsi="仿宋" w:eastAsia="仿宋"/>
          <w:b/>
          <w:color w:val="auto"/>
          <w:sz w:val="21"/>
          <w:szCs w:val="21"/>
        </w:rPr>
        <w:t>投标人需提供承诺函并加盖公章。</w:t>
      </w:r>
    </w:p>
    <w:p w14:paraId="3A65496B">
      <w:pPr>
        <w:pStyle w:val="6"/>
        <w:spacing w:line="360" w:lineRule="auto"/>
        <w:ind w:firstLine="482"/>
        <w:contextualSpacing/>
        <w:rPr>
          <w:rFonts w:ascii="仿宋" w:hAnsi="仿宋" w:eastAsia="仿宋"/>
          <w:color w:val="auto"/>
          <w:sz w:val="21"/>
          <w:szCs w:val="21"/>
        </w:rPr>
      </w:pPr>
      <w:r>
        <w:rPr>
          <w:rFonts w:ascii="仿宋" w:hAnsi="仿宋" w:eastAsia="仿宋"/>
          <w:color w:val="auto"/>
          <w:sz w:val="21"/>
          <w:szCs w:val="21"/>
        </w:rPr>
        <w:t>（1）Abi格式原始测序结果、序列拼接过程文件和序列拼接结果（FASTA格式）等；</w:t>
      </w:r>
    </w:p>
    <w:p w14:paraId="541F33FD">
      <w:pPr>
        <w:pStyle w:val="6"/>
        <w:spacing w:line="360" w:lineRule="auto"/>
        <w:ind w:firstLine="482"/>
        <w:contextualSpacing/>
        <w:rPr>
          <w:rFonts w:ascii="仿宋" w:hAnsi="仿宋" w:eastAsia="仿宋"/>
          <w:color w:val="auto"/>
          <w:sz w:val="21"/>
          <w:szCs w:val="21"/>
        </w:rPr>
      </w:pPr>
      <w:r>
        <w:rPr>
          <w:rFonts w:ascii="仿宋" w:hAnsi="仿宋" w:eastAsia="仿宋"/>
          <w:color w:val="auto"/>
          <w:sz w:val="21"/>
          <w:szCs w:val="21"/>
        </w:rPr>
        <w:t>（2）序列以Abi格式原始图谱文件方式反馈；</w:t>
      </w:r>
    </w:p>
    <w:p w14:paraId="6AB756C0">
      <w:pPr>
        <w:pStyle w:val="6"/>
        <w:spacing w:line="360" w:lineRule="auto"/>
        <w:ind w:firstLine="482"/>
        <w:contextualSpacing/>
        <w:rPr>
          <w:rFonts w:ascii="仿宋" w:hAnsi="仿宋" w:eastAsia="仿宋"/>
          <w:color w:val="auto"/>
          <w:sz w:val="21"/>
          <w:szCs w:val="21"/>
        </w:rPr>
      </w:pPr>
      <w:r>
        <w:rPr>
          <w:rFonts w:ascii="仿宋" w:hAnsi="仿宋" w:eastAsia="仿宋"/>
          <w:color w:val="auto"/>
          <w:sz w:val="21"/>
          <w:szCs w:val="21"/>
        </w:rPr>
        <w:t>（3）电泳图。</w:t>
      </w:r>
    </w:p>
    <w:p w14:paraId="2AD04BAA">
      <w:pPr>
        <w:pStyle w:val="6"/>
        <w:spacing w:line="360" w:lineRule="auto"/>
        <w:ind w:firstLine="482"/>
        <w:contextualSpacing/>
        <w:rPr>
          <w:rFonts w:ascii="仿宋" w:hAnsi="仿宋" w:eastAsia="仿宋"/>
          <w:b/>
          <w:color w:val="auto"/>
        </w:rPr>
      </w:pPr>
    </w:p>
    <w:p w14:paraId="51CC7C1F">
      <w:pPr>
        <w:pStyle w:val="6"/>
        <w:spacing w:line="360" w:lineRule="auto"/>
        <w:ind w:firstLine="482"/>
        <w:contextualSpacing/>
        <w:jc w:val="center"/>
        <w:rPr>
          <w:rFonts w:ascii="仿宋" w:hAnsi="仿宋" w:eastAsia="仿宋"/>
          <w:b/>
          <w:color w:val="auto"/>
        </w:rPr>
      </w:pPr>
      <w:r>
        <w:rPr>
          <w:rFonts w:ascii="仿宋" w:hAnsi="仿宋" w:eastAsia="仿宋"/>
          <w:b/>
          <w:color w:val="auto"/>
        </w:rPr>
        <w:t>第</w:t>
      </w:r>
      <w:r>
        <w:rPr>
          <w:rFonts w:hint="eastAsia" w:ascii="仿宋" w:hAnsi="仿宋" w:eastAsia="仿宋"/>
          <w:b/>
          <w:color w:val="auto"/>
        </w:rPr>
        <w:t>2包 测试化验加工委托服务2</w:t>
      </w:r>
    </w:p>
    <w:p w14:paraId="39B1E7F8">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（一）委托服务</w:t>
      </w:r>
    </w:p>
    <w:tbl>
      <w:tblPr>
        <w:tblStyle w:val="4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4"/>
        <w:gridCol w:w="1533"/>
        <w:gridCol w:w="1561"/>
        <w:gridCol w:w="2320"/>
      </w:tblGrid>
      <w:tr w14:paraId="73D7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14:paraId="0D7A310D">
            <w:pPr>
              <w:widowControl/>
              <w:spacing w:line="276" w:lineRule="auto"/>
              <w:contextualSpacing/>
              <w:jc w:val="center"/>
              <w:rPr>
                <w:rFonts w:ascii="仿宋" w:hAnsi="仿宋" w:eastAsia="仿宋" w:cs="宋体"/>
                <w:b/>
                <w:bCs/>
                <w:color w:val="auto"/>
                <w:kern w:val="0"/>
                <w:szCs w:val="21"/>
              </w:rPr>
            </w:pPr>
            <w:r>
              <w:rPr>
                <w:rFonts w:hint="eastAsia" w:ascii="仿宋" w:hAnsi="仿宋" w:eastAsia="仿宋" w:cs="宋体"/>
                <w:b/>
                <w:bCs/>
                <w:color w:val="auto"/>
                <w:kern w:val="0"/>
                <w:szCs w:val="21"/>
              </w:rPr>
              <w:t>委托服务明细</w:t>
            </w:r>
          </w:p>
        </w:tc>
        <w:tc>
          <w:tcPr>
            <w:tcW w:w="899" w:type="pct"/>
            <w:noWrap/>
            <w:vAlign w:val="center"/>
          </w:tcPr>
          <w:p w14:paraId="23B875F9">
            <w:pPr>
              <w:widowControl/>
              <w:spacing w:line="276" w:lineRule="auto"/>
              <w:contextualSpacing/>
              <w:jc w:val="center"/>
              <w:rPr>
                <w:rFonts w:ascii="仿宋" w:hAnsi="仿宋" w:eastAsia="仿宋" w:cs="宋体"/>
                <w:b/>
                <w:bCs/>
                <w:color w:val="auto"/>
                <w:kern w:val="0"/>
                <w:szCs w:val="21"/>
              </w:rPr>
            </w:pPr>
            <w:r>
              <w:rPr>
                <w:rFonts w:hint="eastAsia" w:ascii="仿宋" w:hAnsi="仿宋" w:eastAsia="仿宋" w:cs="宋体"/>
                <w:b/>
                <w:color w:val="auto"/>
                <w:kern w:val="0"/>
                <w:szCs w:val="21"/>
              </w:rPr>
              <w:t>单位</w:t>
            </w:r>
          </w:p>
        </w:tc>
        <w:tc>
          <w:tcPr>
            <w:tcW w:w="915" w:type="pct"/>
            <w:vAlign w:val="center"/>
          </w:tcPr>
          <w:p w14:paraId="76929869">
            <w:pPr>
              <w:widowControl/>
              <w:spacing w:line="276" w:lineRule="auto"/>
              <w:contextualSpacing/>
              <w:jc w:val="center"/>
              <w:rPr>
                <w:rFonts w:ascii="仿宋" w:hAnsi="仿宋" w:eastAsia="仿宋" w:cs="宋体"/>
                <w:b/>
                <w:color w:val="auto"/>
                <w:kern w:val="0"/>
                <w:szCs w:val="21"/>
              </w:rPr>
            </w:pPr>
            <w:r>
              <w:rPr>
                <w:rFonts w:hint="eastAsia" w:ascii="仿宋" w:hAnsi="仿宋" w:eastAsia="仿宋" w:cs="宋体"/>
                <w:b/>
                <w:color w:val="auto"/>
                <w:kern w:val="0"/>
                <w:szCs w:val="21"/>
              </w:rPr>
              <w:t>数量</w:t>
            </w:r>
          </w:p>
        </w:tc>
        <w:tc>
          <w:tcPr>
            <w:tcW w:w="1360" w:type="pct"/>
            <w:vAlign w:val="center"/>
          </w:tcPr>
          <w:p w14:paraId="70EDF4DE">
            <w:pPr>
              <w:widowControl/>
              <w:spacing w:line="276" w:lineRule="auto"/>
              <w:contextualSpacing/>
              <w:jc w:val="center"/>
              <w:rPr>
                <w:rFonts w:ascii="仿宋" w:hAnsi="仿宋" w:eastAsia="仿宋" w:cs="宋体"/>
                <w:b/>
                <w:color w:val="auto"/>
                <w:kern w:val="0"/>
                <w:szCs w:val="21"/>
              </w:rPr>
            </w:pPr>
            <w:r>
              <w:rPr>
                <w:rFonts w:hint="eastAsia" w:ascii="仿宋" w:hAnsi="仿宋" w:eastAsia="仿宋" w:cs="宋体"/>
                <w:b/>
                <w:color w:val="auto"/>
                <w:kern w:val="0"/>
                <w:szCs w:val="21"/>
              </w:rPr>
              <w:t>单价限价（人民币元）</w:t>
            </w:r>
          </w:p>
        </w:tc>
      </w:tr>
      <w:tr w14:paraId="4F539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14:paraId="3D630110">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代谢组</w:t>
            </w:r>
          </w:p>
        </w:tc>
        <w:tc>
          <w:tcPr>
            <w:tcW w:w="899" w:type="pct"/>
            <w:noWrap/>
            <w:vAlign w:val="center"/>
          </w:tcPr>
          <w:p w14:paraId="1A2C9AB5">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样本</w:t>
            </w:r>
          </w:p>
        </w:tc>
        <w:tc>
          <w:tcPr>
            <w:tcW w:w="915" w:type="pct"/>
            <w:vAlign w:val="center"/>
          </w:tcPr>
          <w:p w14:paraId="3C37C7B4">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25</w:t>
            </w:r>
          </w:p>
        </w:tc>
        <w:tc>
          <w:tcPr>
            <w:tcW w:w="1360" w:type="pct"/>
            <w:vAlign w:val="center"/>
          </w:tcPr>
          <w:p w14:paraId="42F515D6">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5</w:t>
            </w:r>
            <w:r>
              <w:rPr>
                <w:rFonts w:hint="default" w:ascii="仿宋" w:hAnsi="仿宋" w:eastAsia="仿宋" w:cs="宋体"/>
                <w:color w:val="auto"/>
                <w:kern w:val="0"/>
                <w:szCs w:val="21"/>
                <w:lang w:val="en-US"/>
              </w:rPr>
              <w:t>40</w:t>
            </w:r>
            <w:r>
              <w:rPr>
                <w:rFonts w:hint="eastAsia" w:ascii="仿宋" w:hAnsi="仿宋" w:eastAsia="仿宋" w:cs="宋体"/>
                <w:color w:val="auto"/>
                <w:kern w:val="0"/>
                <w:szCs w:val="21"/>
              </w:rPr>
              <w:t>.00</w:t>
            </w:r>
          </w:p>
        </w:tc>
      </w:tr>
      <w:tr w14:paraId="3DE5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14:paraId="55D18471">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单细胞测序</w:t>
            </w:r>
          </w:p>
        </w:tc>
        <w:tc>
          <w:tcPr>
            <w:tcW w:w="899" w:type="pct"/>
            <w:noWrap/>
            <w:vAlign w:val="center"/>
          </w:tcPr>
          <w:p w14:paraId="61D2D40A">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样本</w:t>
            </w:r>
          </w:p>
        </w:tc>
        <w:tc>
          <w:tcPr>
            <w:tcW w:w="915" w:type="pct"/>
            <w:vAlign w:val="center"/>
          </w:tcPr>
          <w:p w14:paraId="701D8089">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36</w:t>
            </w:r>
          </w:p>
        </w:tc>
        <w:tc>
          <w:tcPr>
            <w:tcW w:w="1360" w:type="pct"/>
            <w:vAlign w:val="center"/>
          </w:tcPr>
          <w:p w14:paraId="36D9001B">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10,000.00</w:t>
            </w:r>
          </w:p>
        </w:tc>
      </w:tr>
      <w:tr w14:paraId="7259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14:paraId="360435DC">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蛋白组</w:t>
            </w:r>
          </w:p>
        </w:tc>
        <w:tc>
          <w:tcPr>
            <w:tcW w:w="899" w:type="pct"/>
            <w:noWrap/>
            <w:vAlign w:val="center"/>
          </w:tcPr>
          <w:p w14:paraId="5A93062C">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样本</w:t>
            </w:r>
          </w:p>
        </w:tc>
        <w:tc>
          <w:tcPr>
            <w:tcW w:w="915" w:type="pct"/>
            <w:vAlign w:val="center"/>
          </w:tcPr>
          <w:p w14:paraId="5560AA3D">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20</w:t>
            </w:r>
          </w:p>
        </w:tc>
        <w:tc>
          <w:tcPr>
            <w:tcW w:w="1360" w:type="pct"/>
            <w:vAlign w:val="center"/>
          </w:tcPr>
          <w:p w14:paraId="786FC158">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1,500.00</w:t>
            </w:r>
          </w:p>
        </w:tc>
      </w:tr>
      <w:tr w14:paraId="257E9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14:paraId="6745BEE7">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高通量核糖体测序</w:t>
            </w:r>
          </w:p>
        </w:tc>
        <w:tc>
          <w:tcPr>
            <w:tcW w:w="899" w:type="pct"/>
            <w:noWrap/>
            <w:vAlign w:val="center"/>
          </w:tcPr>
          <w:p w14:paraId="79B99F52">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样本</w:t>
            </w:r>
          </w:p>
        </w:tc>
        <w:tc>
          <w:tcPr>
            <w:tcW w:w="915" w:type="pct"/>
            <w:vAlign w:val="center"/>
          </w:tcPr>
          <w:p w14:paraId="61221335">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12</w:t>
            </w:r>
          </w:p>
        </w:tc>
        <w:tc>
          <w:tcPr>
            <w:tcW w:w="1360" w:type="pct"/>
            <w:vAlign w:val="center"/>
          </w:tcPr>
          <w:p w14:paraId="7347D335">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6,000.00</w:t>
            </w:r>
          </w:p>
        </w:tc>
      </w:tr>
      <w:tr w14:paraId="56D2B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14:paraId="0515ED65">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宏基因组测序</w:t>
            </w:r>
          </w:p>
        </w:tc>
        <w:tc>
          <w:tcPr>
            <w:tcW w:w="899" w:type="pct"/>
            <w:noWrap/>
            <w:vAlign w:val="center"/>
          </w:tcPr>
          <w:p w14:paraId="3540EFB1">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样本</w:t>
            </w:r>
          </w:p>
        </w:tc>
        <w:tc>
          <w:tcPr>
            <w:tcW w:w="915" w:type="pct"/>
            <w:vAlign w:val="center"/>
          </w:tcPr>
          <w:p w14:paraId="17383564">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300</w:t>
            </w:r>
          </w:p>
        </w:tc>
        <w:tc>
          <w:tcPr>
            <w:tcW w:w="1360" w:type="pct"/>
            <w:vAlign w:val="center"/>
          </w:tcPr>
          <w:p w14:paraId="6264F9DE">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550.00</w:t>
            </w:r>
          </w:p>
        </w:tc>
      </w:tr>
      <w:tr w14:paraId="29712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14:paraId="6BD7C162">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基因组完成图</w:t>
            </w:r>
          </w:p>
        </w:tc>
        <w:tc>
          <w:tcPr>
            <w:tcW w:w="899" w:type="pct"/>
            <w:noWrap/>
            <w:vAlign w:val="center"/>
          </w:tcPr>
          <w:p w14:paraId="4F22C828">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菌株</w:t>
            </w:r>
          </w:p>
        </w:tc>
        <w:tc>
          <w:tcPr>
            <w:tcW w:w="915" w:type="pct"/>
            <w:vAlign w:val="center"/>
          </w:tcPr>
          <w:p w14:paraId="0465949B">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20</w:t>
            </w:r>
          </w:p>
        </w:tc>
        <w:tc>
          <w:tcPr>
            <w:tcW w:w="1360" w:type="pct"/>
            <w:vAlign w:val="center"/>
          </w:tcPr>
          <w:p w14:paraId="4802AB44">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5,500.00</w:t>
            </w:r>
          </w:p>
        </w:tc>
      </w:tr>
      <w:tr w14:paraId="082F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14:paraId="753C8C33">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甲基化测序</w:t>
            </w:r>
          </w:p>
        </w:tc>
        <w:tc>
          <w:tcPr>
            <w:tcW w:w="899" w:type="pct"/>
            <w:noWrap/>
            <w:vAlign w:val="center"/>
          </w:tcPr>
          <w:p w14:paraId="2EDB7AE3">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样本</w:t>
            </w:r>
          </w:p>
        </w:tc>
        <w:tc>
          <w:tcPr>
            <w:tcW w:w="915" w:type="pct"/>
            <w:vAlign w:val="center"/>
          </w:tcPr>
          <w:p w14:paraId="350621C5">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50</w:t>
            </w:r>
          </w:p>
        </w:tc>
        <w:tc>
          <w:tcPr>
            <w:tcW w:w="1360" w:type="pct"/>
            <w:vAlign w:val="center"/>
          </w:tcPr>
          <w:p w14:paraId="474A4B19">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3,000.00</w:t>
            </w:r>
          </w:p>
        </w:tc>
      </w:tr>
      <w:tr w14:paraId="5F79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14:paraId="2D7E55CA">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空间转录组测序</w:t>
            </w:r>
          </w:p>
        </w:tc>
        <w:tc>
          <w:tcPr>
            <w:tcW w:w="899" w:type="pct"/>
            <w:noWrap/>
            <w:vAlign w:val="center"/>
          </w:tcPr>
          <w:p w14:paraId="62ADEACA">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样本</w:t>
            </w:r>
          </w:p>
        </w:tc>
        <w:tc>
          <w:tcPr>
            <w:tcW w:w="915" w:type="pct"/>
            <w:vAlign w:val="center"/>
          </w:tcPr>
          <w:p w14:paraId="4515415E">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5</w:t>
            </w:r>
          </w:p>
        </w:tc>
        <w:tc>
          <w:tcPr>
            <w:tcW w:w="1360" w:type="pct"/>
            <w:vAlign w:val="center"/>
          </w:tcPr>
          <w:p w14:paraId="5B7981E6">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33,000.00</w:t>
            </w:r>
          </w:p>
        </w:tc>
      </w:tr>
      <w:tr w14:paraId="10B1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14:paraId="4668D0B3">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全基因组测序</w:t>
            </w:r>
          </w:p>
        </w:tc>
        <w:tc>
          <w:tcPr>
            <w:tcW w:w="899" w:type="pct"/>
            <w:noWrap/>
            <w:vAlign w:val="center"/>
          </w:tcPr>
          <w:p w14:paraId="3E1B4688">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样本</w:t>
            </w:r>
          </w:p>
        </w:tc>
        <w:tc>
          <w:tcPr>
            <w:tcW w:w="915" w:type="pct"/>
            <w:vAlign w:val="center"/>
          </w:tcPr>
          <w:p w14:paraId="376DB1A3">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30</w:t>
            </w:r>
          </w:p>
        </w:tc>
        <w:tc>
          <w:tcPr>
            <w:tcW w:w="1360" w:type="pct"/>
            <w:vAlign w:val="center"/>
          </w:tcPr>
          <w:p w14:paraId="06449914">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2,000.00</w:t>
            </w:r>
          </w:p>
        </w:tc>
      </w:tr>
      <w:tr w14:paraId="38CB9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14:paraId="7BDAD88A">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全外显子测序</w:t>
            </w:r>
          </w:p>
        </w:tc>
        <w:tc>
          <w:tcPr>
            <w:tcW w:w="899" w:type="pct"/>
            <w:noWrap/>
            <w:vAlign w:val="center"/>
          </w:tcPr>
          <w:p w14:paraId="15B20D76">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样本</w:t>
            </w:r>
          </w:p>
        </w:tc>
        <w:tc>
          <w:tcPr>
            <w:tcW w:w="915" w:type="pct"/>
            <w:vAlign w:val="center"/>
          </w:tcPr>
          <w:p w14:paraId="6ABB2DEC">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60</w:t>
            </w:r>
          </w:p>
        </w:tc>
        <w:tc>
          <w:tcPr>
            <w:tcW w:w="1360" w:type="pct"/>
            <w:vAlign w:val="center"/>
          </w:tcPr>
          <w:p w14:paraId="29DDB092">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1,500.00</w:t>
            </w:r>
          </w:p>
        </w:tc>
      </w:tr>
      <w:tr w14:paraId="422F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14:paraId="74A7369A">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三代16S测序</w:t>
            </w:r>
          </w:p>
        </w:tc>
        <w:tc>
          <w:tcPr>
            <w:tcW w:w="899" w:type="pct"/>
            <w:noWrap/>
            <w:vAlign w:val="center"/>
          </w:tcPr>
          <w:p w14:paraId="4DE6AD0D">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样本</w:t>
            </w:r>
          </w:p>
        </w:tc>
        <w:tc>
          <w:tcPr>
            <w:tcW w:w="915" w:type="pct"/>
            <w:vAlign w:val="center"/>
          </w:tcPr>
          <w:p w14:paraId="2589B659">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100</w:t>
            </w:r>
          </w:p>
        </w:tc>
        <w:tc>
          <w:tcPr>
            <w:tcW w:w="1360" w:type="pct"/>
            <w:vAlign w:val="center"/>
          </w:tcPr>
          <w:p w14:paraId="2F253A04">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300.00</w:t>
            </w:r>
          </w:p>
        </w:tc>
      </w:tr>
      <w:tr w14:paraId="6E098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14:paraId="33AC24D5">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三代全基因组测序</w:t>
            </w:r>
          </w:p>
        </w:tc>
        <w:tc>
          <w:tcPr>
            <w:tcW w:w="899" w:type="pct"/>
            <w:noWrap/>
            <w:vAlign w:val="center"/>
          </w:tcPr>
          <w:p w14:paraId="6E0DDBEA">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样本</w:t>
            </w:r>
          </w:p>
        </w:tc>
        <w:tc>
          <w:tcPr>
            <w:tcW w:w="915" w:type="pct"/>
            <w:vAlign w:val="center"/>
          </w:tcPr>
          <w:p w14:paraId="24BA865D">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5</w:t>
            </w:r>
          </w:p>
        </w:tc>
        <w:tc>
          <w:tcPr>
            <w:tcW w:w="1360" w:type="pct"/>
            <w:vAlign w:val="center"/>
          </w:tcPr>
          <w:p w14:paraId="22C155E9">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12,500.00</w:t>
            </w:r>
          </w:p>
        </w:tc>
      </w:tr>
      <w:tr w14:paraId="7F258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14:paraId="7DA676B2">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三代全长转录组测序</w:t>
            </w:r>
          </w:p>
        </w:tc>
        <w:tc>
          <w:tcPr>
            <w:tcW w:w="899" w:type="pct"/>
            <w:noWrap/>
            <w:vAlign w:val="center"/>
          </w:tcPr>
          <w:p w14:paraId="7624968D">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样本</w:t>
            </w:r>
          </w:p>
        </w:tc>
        <w:tc>
          <w:tcPr>
            <w:tcW w:w="915" w:type="pct"/>
            <w:vAlign w:val="center"/>
          </w:tcPr>
          <w:p w14:paraId="74B0A438">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5</w:t>
            </w:r>
          </w:p>
        </w:tc>
        <w:tc>
          <w:tcPr>
            <w:tcW w:w="1360" w:type="pct"/>
            <w:vAlign w:val="center"/>
          </w:tcPr>
          <w:p w14:paraId="3798E212">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5,500.00</w:t>
            </w:r>
          </w:p>
        </w:tc>
      </w:tr>
      <w:tr w14:paraId="20862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14:paraId="5E61D777">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转录组测序</w:t>
            </w:r>
          </w:p>
        </w:tc>
        <w:tc>
          <w:tcPr>
            <w:tcW w:w="899" w:type="pct"/>
            <w:noWrap/>
            <w:vAlign w:val="center"/>
          </w:tcPr>
          <w:p w14:paraId="6A93E365">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样本</w:t>
            </w:r>
          </w:p>
        </w:tc>
        <w:tc>
          <w:tcPr>
            <w:tcW w:w="915" w:type="pct"/>
            <w:vAlign w:val="center"/>
          </w:tcPr>
          <w:p w14:paraId="46877A80">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300</w:t>
            </w:r>
          </w:p>
        </w:tc>
        <w:tc>
          <w:tcPr>
            <w:tcW w:w="1360" w:type="pct"/>
            <w:vAlign w:val="center"/>
          </w:tcPr>
          <w:p w14:paraId="56734E0D">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500.00</w:t>
            </w:r>
          </w:p>
        </w:tc>
      </w:tr>
    </w:tbl>
    <w:p w14:paraId="0293921D">
      <w:pPr>
        <w:spacing w:line="360" w:lineRule="auto"/>
        <w:contextualSpacing/>
        <w:rPr>
          <w:rFonts w:ascii="仿宋" w:hAnsi="仿宋" w:eastAsia="仿宋" w:cs="仿宋"/>
          <w:b/>
          <w:bCs/>
          <w:color w:val="auto"/>
          <w:szCs w:val="21"/>
        </w:rPr>
      </w:pPr>
      <w:r>
        <w:rPr>
          <w:rFonts w:hint="eastAsia" w:ascii="仿宋" w:hAnsi="仿宋" w:eastAsia="仿宋" w:cs="仿宋"/>
          <w:b/>
          <w:bCs/>
          <w:color w:val="auto"/>
          <w:szCs w:val="21"/>
        </w:rPr>
        <w:t>注：1）投标人所报委托服务明细单价不能超过上述单价限价，否则按废标处理。</w:t>
      </w:r>
    </w:p>
    <w:p w14:paraId="791CE1AB">
      <w:pPr>
        <w:pStyle w:val="6"/>
        <w:spacing w:line="360" w:lineRule="auto"/>
        <w:ind w:firstLine="482"/>
        <w:contextualSpacing/>
        <w:rPr>
          <w:rFonts w:ascii="仿宋" w:hAnsi="仿宋" w:eastAsia="仿宋"/>
          <w:b/>
          <w:color w:val="auto"/>
          <w:sz w:val="21"/>
        </w:rPr>
      </w:pPr>
      <w:r>
        <w:rPr>
          <w:rFonts w:hint="eastAsia" w:ascii="仿宋" w:hAnsi="仿宋" w:eastAsia="仿宋" w:cs="仿宋"/>
          <w:b/>
          <w:bCs/>
          <w:color w:val="auto"/>
          <w:sz w:val="21"/>
          <w:szCs w:val="21"/>
        </w:rPr>
        <w:t>2）投标人所报数量不能低于上述委托服务中列明的数量，否则按废标处理。</w:t>
      </w:r>
    </w:p>
    <w:p w14:paraId="31104868">
      <w:pPr>
        <w:pStyle w:val="6"/>
        <w:spacing w:line="360" w:lineRule="auto"/>
        <w:ind w:firstLine="482"/>
        <w:contextualSpacing/>
        <w:rPr>
          <w:rFonts w:ascii="仿宋" w:hAnsi="仿宋" w:eastAsia="仿宋"/>
          <w:b/>
          <w:color w:val="auto"/>
        </w:rPr>
      </w:pPr>
      <w:r>
        <w:rPr>
          <w:rFonts w:hint="eastAsia" w:ascii="仿宋" w:hAnsi="仿宋" w:eastAsia="仿宋"/>
          <w:b/>
          <w:color w:val="auto"/>
          <w:sz w:val="21"/>
          <w:szCs w:val="21"/>
        </w:rPr>
        <w:t>（二）商务要求</w:t>
      </w:r>
    </w:p>
    <w:p w14:paraId="09647E41">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w:t>
      </w:r>
      <w:r>
        <w:rPr>
          <w:rFonts w:ascii="仿宋" w:hAnsi="仿宋" w:eastAsia="仿宋"/>
          <w:color w:val="auto"/>
          <w:sz w:val="21"/>
        </w:rPr>
        <w:t>.具有数据分析团队和服务器集群分析平台，服务器内存≥5T</w:t>
      </w:r>
      <w:r>
        <w:rPr>
          <w:rFonts w:hint="eastAsia" w:ascii="仿宋" w:hAnsi="仿宋" w:eastAsia="仿宋"/>
          <w:color w:val="auto"/>
          <w:sz w:val="21"/>
        </w:rPr>
        <w:t>B</w:t>
      </w:r>
      <w:r>
        <w:rPr>
          <w:rFonts w:ascii="仿宋" w:hAnsi="仿宋" w:eastAsia="仿宋"/>
          <w:color w:val="auto"/>
          <w:sz w:val="21"/>
        </w:rPr>
        <w:t>，服务器</w:t>
      </w:r>
      <w:r>
        <w:rPr>
          <w:rFonts w:hint="eastAsia" w:ascii="仿宋" w:hAnsi="仿宋" w:eastAsia="仿宋"/>
          <w:color w:val="auto"/>
          <w:sz w:val="21"/>
        </w:rPr>
        <w:t>总</w:t>
      </w:r>
      <w:r>
        <w:rPr>
          <w:rFonts w:ascii="仿宋" w:hAnsi="仿宋" w:eastAsia="仿宋"/>
          <w:color w:val="auto"/>
          <w:sz w:val="21"/>
        </w:rPr>
        <w:t>储存容量≥1PB储存</w:t>
      </w:r>
      <w:r>
        <w:rPr>
          <w:rFonts w:hint="eastAsia" w:ascii="仿宋" w:hAnsi="仿宋" w:eastAsia="仿宋"/>
          <w:color w:val="auto"/>
          <w:sz w:val="21"/>
        </w:rPr>
        <w:t>（可用存储≥800TB）</w:t>
      </w:r>
      <w:r>
        <w:rPr>
          <w:rFonts w:ascii="仿宋" w:hAnsi="仿宋" w:eastAsia="仿宋"/>
          <w:color w:val="auto"/>
          <w:sz w:val="21"/>
        </w:rPr>
        <w:t>；</w:t>
      </w:r>
    </w:p>
    <w:p w14:paraId="6F4C4ACB">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w:t>
      </w:r>
      <w:r>
        <w:rPr>
          <w:rFonts w:ascii="仿宋" w:hAnsi="仿宋" w:eastAsia="仿宋"/>
          <w:color w:val="auto"/>
          <w:sz w:val="21"/>
        </w:rPr>
        <w:t>.</w:t>
      </w:r>
      <w:r>
        <w:rPr>
          <w:rFonts w:hint="eastAsia" w:ascii="仿宋" w:hAnsi="仿宋" w:eastAsia="仿宋"/>
          <w:color w:val="auto"/>
          <w:sz w:val="21"/>
        </w:rPr>
        <w:t>投标人拥有或可合法适用的、满足本项目需求的独立分子生物学实验室；</w:t>
      </w:r>
    </w:p>
    <w:p w14:paraId="5CDE3D03">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w:t>
      </w:r>
      <w:r>
        <w:rPr>
          <w:rFonts w:ascii="仿宋" w:hAnsi="仿宋" w:eastAsia="仿宋"/>
          <w:color w:val="auto"/>
          <w:sz w:val="21"/>
        </w:rPr>
        <w:t>.</w:t>
      </w:r>
      <w:r>
        <w:rPr>
          <w:rFonts w:hint="eastAsia" w:ascii="仿宋" w:hAnsi="仿宋" w:eastAsia="仿宋"/>
          <w:color w:val="auto"/>
          <w:sz w:val="21"/>
        </w:rPr>
        <w:t>投标人具有线上分析平台；</w:t>
      </w:r>
    </w:p>
    <w:p w14:paraId="54D79240">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4.投入具备</w:t>
      </w:r>
      <w:bookmarkStart w:id="28" w:name="OLE_LINK34"/>
      <w:r>
        <w:rPr>
          <w:rFonts w:hint="eastAsia" w:ascii="仿宋" w:hAnsi="仿宋" w:eastAsia="仿宋"/>
          <w:color w:val="auto"/>
          <w:sz w:val="21"/>
        </w:rPr>
        <w:t>HiFi长读长测序能力的三代进口或国产测序平台等</w:t>
      </w:r>
      <w:bookmarkEnd w:id="28"/>
      <w:r>
        <w:rPr>
          <w:rFonts w:hint="eastAsia" w:ascii="仿宋" w:hAnsi="仿宋" w:eastAsia="仿宋"/>
          <w:color w:val="auto"/>
          <w:sz w:val="21"/>
        </w:rPr>
        <w:t>不低于3台；</w:t>
      </w:r>
    </w:p>
    <w:p w14:paraId="6D128C3F">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5.投入</w:t>
      </w:r>
      <w:bookmarkStart w:id="29" w:name="OLE_LINK36"/>
      <w:bookmarkStart w:id="30" w:name="OLE_LINK37"/>
      <w:r>
        <w:rPr>
          <w:rFonts w:hint="eastAsia" w:ascii="仿宋" w:hAnsi="仿宋" w:eastAsia="仿宋"/>
          <w:color w:val="auto"/>
          <w:sz w:val="21"/>
        </w:rPr>
        <w:t>进口</w:t>
      </w:r>
      <w:bookmarkStart w:id="31" w:name="OLE_LINK41"/>
      <w:r>
        <w:rPr>
          <w:rFonts w:hint="eastAsia" w:ascii="仿宋" w:hAnsi="仿宋" w:eastAsia="仿宋"/>
          <w:color w:val="auto"/>
          <w:sz w:val="21"/>
        </w:rPr>
        <w:t>平台或国产测序平台满足二代测序</w:t>
      </w:r>
      <w:bookmarkEnd w:id="29"/>
      <w:bookmarkEnd w:id="30"/>
      <w:bookmarkEnd w:id="31"/>
      <w:r>
        <w:rPr>
          <w:rFonts w:hint="eastAsia" w:ascii="仿宋" w:hAnsi="仿宋" w:eastAsia="仿宋"/>
          <w:color w:val="auto"/>
          <w:sz w:val="21"/>
        </w:rPr>
        <w:t>或单细胞和空间技术平台，测序模式满足PE150双端测序的需求，不低于5台；</w:t>
      </w:r>
    </w:p>
    <w:p w14:paraId="7B9B3569">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6</w:t>
      </w:r>
      <w:r>
        <w:rPr>
          <w:rFonts w:ascii="仿宋" w:hAnsi="仿宋" w:eastAsia="仿宋"/>
          <w:color w:val="auto"/>
          <w:sz w:val="21"/>
        </w:rPr>
        <w:t>.</w:t>
      </w:r>
      <w:r>
        <w:rPr>
          <w:rFonts w:hint="eastAsia" w:ascii="仿宋" w:hAnsi="仿宋" w:eastAsia="仿宋"/>
          <w:color w:val="auto"/>
          <w:sz w:val="21"/>
        </w:rPr>
        <w:t>投标人提供项目实施和技术方案。方案细致完整、合理严谨，完全符合项目实际需求，可操作性强；</w:t>
      </w:r>
    </w:p>
    <w:p w14:paraId="0C5CE5F9">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7.投标人提供的人员配置方案，服务团队中项目负责人持有生物专业类相关高级职称证书，服务团队中项目成员（除项目负责人以外）持有科学研究专业职称证书；项目实施团队人员配备齐全，包括整个项目实施过程中各个环节的具体执行人员。</w:t>
      </w:r>
    </w:p>
    <w:p w14:paraId="58B6905A">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8.投标人提供售后服务响应时间保证在24小时内，有完善的售后及应急服务方案针对本项目制定详细的培训计划，保证采购人充分理解报告中的数据和分析结果。</w:t>
      </w:r>
    </w:p>
    <w:p w14:paraId="75C6A331">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9.投标人应建立完善的数据安全和保密管理制度，对采购人提供的样本信息、检测数据、研究成果等承担保密义务。未经采购人书面同意，不得将任何数据资料用于本项目以外的用途。项目完成后，应按采购人要求返还或销毁相关数据。</w:t>
      </w:r>
    </w:p>
    <w:p w14:paraId="606F7C32">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10.本项目产生的检测数据、分析结果及相关研究成果的知识产权归采购人所有。</w:t>
      </w:r>
    </w:p>
    <w:p w14:paraId="7D309AF9">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11.投标人应建立样品接收、登记、储存、处理、销毁的全流程管理制度，确保样品可追溯、可核查。</w:t>
      </w:r>
      <w:bookmarkStart w:id="32" w:name="OLE_LINK119"/>
      <w:bookmarkStart w:id="33" w:name="OLE_LINK118"/>
      <w:r>
        <w:rPr>
          <w:rFonts w:hint="eastAsia" w:ascii="仿宋" w:hAnsi="仿宋" w:eastAsia="仿宋"/>
          <w:color w:val="auto"/>
          <w:sz w:val="21"/>
        </w:rPr>
        <w:t>需安排专人上门接收样品，并提供取样人员名单及联系方式。</w:t>
      </w:r>
      <w:bookmarkEnd w:id="32"/>
      <w:bookmarkEnd w:id="33"/>
    </w:p>
    <w:p w14:paraId="6ECCACFA">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（三）技术要求</w:t>
      </w:r>
    </w:p>
    <w:p w14:paraId="3E887925">
      <w:pPr>
        <w:spacing w:line="360" w:lineRule="auto"/>
        <w:ind w:firstLine="440" w:firstLineChars="200"/>
        <w:rPr>
          <w:rFonts w:ascii="仿宋" w:hAnsi="仿宋" w:eastAsia="仿宋"/>
          <w:color w:val="auto"/>
          <w:sz w:val="22"/>
          <w:szCs w:val="28"/>
        </w:rPr>
      </w:pPr>
      <w:r>
        <w:rPr>
          <w:rFonts w:hint="eastAsia" w:ascii="仿宋" w:hAnsi="仿宋" w:eastAsia="仿宋"/>
          <w:color w:val="auto"/>
          <w:sz w:val="22"/>
          <w:szCs w:val="28"/>
        </w:rPr>
        <w:t>1.代谢组：对25例样本开展代谢组检测及分析。基于LC-MS技术，无偏向性的检测样本所有小分子代谢物，通过生信分析筛选差异代谢物，对差异代谢物进行通路分析。具有数据分析团队和服务器集群分析平台，拥有LC-MS质谱平台实验能力，能够独立完成代谢组检测、数据质控及分析工作。25天完成代谢组学检测及质控分析工作。</w:t>
      </w:r>
    </w:p>
    <w:p w14:paraId="4B9CA0B6">
      <w:pPr>
        <w:spacing w:line="360" w:lineRule="auto"/>
        <w:ind w:firstLine="440" w:firstLineChars="200"/>
        <w:rPr>
          <w:rFonts w:ascii="仿宋" w:hAnsi="仿宋" w:eastAsia="仿宋"/>
          <w:color w:val="auto"/>
          <w:sz w:val="22"/>
          <w:szCs w:val="28"/>
        </w:rPr>
      </w:pPr>
      <w:r>
        <w:rPr>
          <w:rFonts w:hint="eastAsia" w:ascii="仿宋" w:hAnsi="仿宋" w:eastAsia="仿宋"/>
          <w:color w:val="auto"/>
          <w:sz w:val="22"/>
          <w:szCs w:val="28"/>
        </w:rPr>
        <w:t>2.单细胞测序：对36例组织样本开展单细胞转录组测序及分析。利用单细胞技术和二代测序平台（进口平台或者国产测序平台），完成组织样品的单细胞建库测序，测序模式为：PE150，交付数据为Fastq格式原始测序数据分析的result结果数据文件。每个样本数据量不低于目标数据量的95%。分析内容包括：测序数据质控、转录本定量、基因表达矩阵生成（原始矩阵和标准化矩阵）、数据过滤与标准化、细胞聚类与注释、差异表达分析等。每个样本细胞捕获数≥8000个、每个细胞中位基因数≥1000（质检符合上机标准的样本）。样本质检标准：细胞总量≥6w，细胞活率≥75%、碎片率≤30%、团率≤30%、细胞悬液浓度：700-1200个/μl、细胞悬液中不含钙镁等影响反转录效率的离子。测序数据量：100G/样、测序数据质量Q30≥85%。对于质检合格样本，数据未达到承诺指标或建库失败的的样本，应提供免费重做一次或全额退款保障。提供不少于20天的数据存储服务，并提供双备份存储。样本质检合格后，35天内完成样本解离、单细胞捕获标记、文库构建测序、数据下机及标准分析。</w:t>
      </w:r>
    </w:p>
    <w:p w14:paraId="4B958167">
      <w:pPr>
        <w:spacing w:line="360" w:lineRule="auto"/>
        <w:ind w:firstLine="440" w:firstLineChars="200"/>
        <w:rPr>
          <w:rFonts w:ascii="仿宋" w:hAnsi="仿宋" w:eastAsia="仿宋"/>
          <w:color w:val="auto"/>
          <w:sz w:val="22"/>
          <w:szCs w:val="28"/>
        </w:rPr>
      </w:pPr>
      <w:r>
        <w:rPr>
          <w:rFonts w:hint="eastAsia" w:ascii="仿宋" w:hAnsi="仿宋" w:eastAsia="仿宋"/>
          <w:color w:val="auto"/>
          <w:sz w:val="22"/>
          <w:szCs w:val="28"/>
        </w:rPr>
        <w:t>3.蛋白组：</w:t>
      </w:r>
      <w:r>
        <w:rPr>
          <w:rFonts w:ascii="仿宋" w:hAnsi="仿宋" w:eastAsia="仿宋"/>
          <w:color w:val="auto"/>
          <w:sz w:val="22"/>
          <w:szCs w:val="28"/>
        </w:rPr>
        <w:t>对</w:t>
      </w:r>
      <w:r>
        <w:rPr>
          <w:rFonts w:hint="eastAsia" w:ascii="仿宋" w:hAnsi="仿宋" w:eastAsia="仿宋"/>
          <w:color w:val="auto"/>
          <w:sz w:val="22"/>
          <w:szCs w:val="28"/>
        </w:rPr>
        <w:t>20例样本开展蛋白组学检测及分析，基于高分辨质谱平台DIA扫描方式得到下机谱图，进行搜库解谱、数据质控，完成蛋白质鉴定与功能注释，以及蛋白质的定量差异分析，针对筛选出来的差异蛋白进行GO、KEGG功能富集分析和互作网络分析。具有数据分析团队和服务器集群分析平台，拥有高分辨质谱仪实验能力，能够独立完成蛋白组检测及数据质控/分析工作。样本质检合格后，28天完成蛋白组检测及质控分析工作。</w:t>
      </w:r>
    </w:p>
    <w:p w14:paraId="4192279B">
      <w:pPr>
        <w:spacing w:line="360" w:lineRule="auto"/>
        <w:ind w:firstLine="440" w:firstLineChars="200"/>
        <w:rPr>
          <w:rFonts w:ascii="仿宋" w:hAnsi="仿宋" w:eastAsia="仿宋"/>
          <w:color w:val="auto"/>
          <w:sz w:val="22"/>
          <w:szCs w:val="28"/>
        </w:rPr>
      </w:pPr>
      <w:r>
        <w:rPr>
          <w:rFonts w:hint="eastAsia" w:ascii="仿宋" w:hAnsi="仿宋" w:eastAsia="仿宋"/>
          <w:color w:val="auto"/>
          <w:sz w:val="22"/>
          <w:szCs w:val="28"/>
        </w:rPr>
        <w:t>4.高通量核糖体测序：对12例样本开展高通量核糖体测序。并利用二代测序平台（进口平台或者国产测序平台）完成文库的测序，测序模式为PE150，总数据量不低于目标数据量的95%。需提供翻译水平分析、差异分析、功能分析、ORF分析及密码子分析等。样本质检合格后，65天内完成文库测序、数据下机及标准分析。</w:t>
      </w:r>
    </w:p>
    <w:p w14:paraId="1F064153">
      <w:pPr>
        <w:spacing w:line="360" w:lineRule="auto"/>
        <w:ind w:firstLine="440" w:firstLineChars="200"/>
        <w:rPr>
          <w:rFonts w:ascii="仿宋" w:hAnsi="仿宋" w:eastAsia="仿宋"/>
          <w:color w:val="auto"/>
          <w:sz w:val="22"/>
          <w:szCs w:val="28"/>
        </w:rPr>
      </w:pPr>
      <w:r>
        <w:rPr>
          <w:rFonts w:hint="eastAsia" w:ascii="仿宋" w:hAnsi="仿宋" w:eastAsia="仿宋"/>
          <w:color w:val="auto"/>
          <w:sz w:val="22"/>
          <w:szCs w:val="28"/>
        </w:rPr>
        <w:t>5.宏基因组测序：对300例样本开展二代宏基因组测序及分析。并利用二代测序平台（进口平台或者国产测序平台）完成文库的测序，数据质量Q30＞85%，测序模式为PE150，总数据量不低于10G。分析内容包括：测序数据评估、宏基因组组装、基因预测及丰度分析、物种注释和多样性分析、功能注释和多样性分析。样本质检合格后，55天内完成文库测序、数据下机及标准分析。</w:t>
      </w:r>
    </w:p>
    <w:p w14:paraId="4E04C2BA">
      <w:pPr>
        <w:spacing w:line="360" w:lineRule="auto"/>
        <w:ind w:firstLine="440" w:firstLineChars="200"/>
        <w:rPr>
          <w:rFonts w:ascii="仿宋" w:hAnsi="仿宋" w:eastAsia="仿宋"/>
          <w:color w:val="auto"/>
          <w:sz w:val="22"/>
          <w:szCs w:val="28"/>
        </w:rPr>
      </w:pPr>
      <w:r>
        <w:rPr>
          <w:rFonts w:hint="eastAsia" w:ascii="仿宋" w:hAnsi="仿宋" w:eastAsia="仿宋"/>
          <w:color w:val="auto"/>
          <w:sz w:val="22"/>
          <w:szCs w:val="28"/>
        </w:rPr>
        <w:t>6.甲基化测序：对50例样本开展甲基化测序。并利用二代测序平台（进口平台或者国产测序平台）完成文库的测序，数据质量Q30＞85%，测序模式为PE150，总数据量不低于目标数据量的95%。需提供甲基化位点分析、甲基化图谱分析、组间差异甲基化分析等。样本质检合格后，52天内完成文库测序、数据下机及标准分析。</w:t>
      </w:r>
    </w:p>
    <w:p w14:paraId="27AF2E8A">
      <w:pPr>
        <w:spacing w:line="360" w:lineRule="auto"/>
        <w:ind w:firstLine="440" w:firstLineChars="200"/>
        <w:rPr>
          <w:rFonts w:ascii="仿宋" w:hAnsi="仿宋" w:eastAsia="仿宋"/>
          <w:color w:val="auto"/>
          <w:sz w:val="22"/>
          <w:szCs w:val="28"/>
        </w:rPr>
      </w:pPr>
      <w:r>
        <w:rPr>
          <w:rFonts w:hint="eastAsia" w:ascii="仿宋" w:hAnsi="仿宋" w:eastAsia="仿宋"/>
          <w:color w:val="auto"/>
          <w:sz w:val="22"/>
          <w:szCs w:val="28"/>
        </w:rPr>
        <w:t>7.基因组完成图：对20例细菌样本开展细菌基因组完成图。并利用三代测序平台完成文库的测序，交付数据为HiFi Data，每个样本数据量不低于目标数据量的95%。分析内容包括：数据质控、基因组组装、基因组组分分析、基因功能注释。样本质检合格后，38天内完成文库构建测序、数据下机及标准分析。</w:t>
      </w:r>
    </w:p>
    <w:p w14:paraId="3FCE8C6C">
      <w:pPr>
        <w:spacing w:line="360" w:lineRule="auto"/>
        <w:ind w:firstLine="440" w:firstLineChars="200"/>
        <w:rPr>
          <w:rFonts w:ascii="仿宋" w:hAnsi="仿宋" w:eastAsia="仿宋"/>
          <w:color w:val="auto"/>
          <w:sz w:val="22"/>
          <w:szCs w:val="28"/>
        </w:rPr>
      </w:pPr>
      <w:r>
        <w:rPr>
          <w:rFonts w:hint="eastAsia" w:ascii="仿宋" w:hAnsi="仿宋" w:eastAsia="仿宋"/>
          <w:color w:val="auto"/>
          <w:sz w:val="22"/>
          <w:szCs w:val="28"/>
        </w:rPr>
        <w:t>8.空间转录组测序：对5例组织样本开展空间转录组测序及分析。利用空间转录组技术和二代测序平台（进口平台或者国产测序平台），完成组织样品的空间转录组建库测序，测序模式为：PE150，交付数据为Fastq格式原始测序数据分析的result结果数据文件。每个样本数据量不低于目标数据量的95%。分析内容包括：测序数据质控、转录本定量、组织图像与基因表达数据对齐、基因表达矩阵生成（2μm、8μm、16μm、cell bin）、数据过滤与标准化、空间聚类与分布可视化、空间表达谱分析等。10x Genomics Visium HD实验Protocol使用最新发布的Protocol 2.0开展实验，保证数据质量最优；支持FFPE样本和OCT包埋新鲜组织样本均可以进行H&amp;E染色和基因表达空间分析；组织捕获区域面积支持6.5×6.5mm</w:t>
      </w:r>
      <w:r>
        <w:rPr>
          <w:rFonts w:hint="eastAsia" w:ascii="宋体" w:hAnsi="宋体" w:cs="宋体"/>
          <w:color w:val="auto"/>
          <w:sz w:val="22"/>
          <w:szCs w:val="28"/>
        </w:rPr>
        <w:t>²</w:t>
      </w:r>
      <w:r>
        <w:rPr>
          <w:rFonts w:hint="eastAsia" w:ascii="仿宋" w:hAnsi="仿宋" w:eastAsia="仿宋" w:cs="仿宋"/>
          <w:color w:val="auto"/>
          <w:sz w:val="22"/>
          <w:szCs w:val="28"/>
        </w:rPr>
        <w:t>和</w:t>
      </w:r>
      <w:r>
        <w:rPr>
          <w:rFonts w:hint="eastAsia" w:ascii="仿宋" w:hAnsi="仿宋" w:eastAsia="仿宋"/>
          <w:color w:val="auto"/>
          <w:sz w:val="22"/>
          <w:szCs w:val="28"/>
        </w:rPr>
        <w:t>11×11mm</w:t>
      </w:r>
      <w:r>
        <w:rPr>
          <w:rFonts w:hint="eastAsia" w:ascii="宋体" w:hAnsi="宋体" w:cs="宋体"/>
          <w:color w:val="auto"/>
          <w:sz w:val="22"/>
          <w:szCs w:val="28"/>
        </w:rPr>
        <w:t>²</w:t>
      </w:r>
      <w:r>
        <w:rPr>
          <w:rFonts w:hint="eastAsia" w:ascii="仿宋" w:hAnsi="仿宋" w:eastAsia="仿宋" w:cs="仿宋"/>
          <w:color w:val="auto"/>
          <w:sz w:val="22"/>
          <w:szCs w:val="28"/>
        </w:rPr>
        <w:t>；分析分辨率支持</w:t>
      </w:r>
      <w:r>
        <w:rPr>
          <w:rFonts w:hint="eastAsia" w:ascii="仿宋" w:hAnsi="仿宋" w:eastAsia="仿宋"/>
          <w:color w:val="auto"/>
          <w:sz w:val="22"/>
          <w:szCs w:val="28"/>
        </w:rPr>
        <w:t>8um bin、16um bin和cell bin；切片厚度：OCT包埋组织新鲜样本（FF），切片厚度为10μm，FFPE样本切片厚度：5μm；RNA完整性要求：10x HD平台FF样本RIN值≥4、FFPE样本DV200值≥40%、RNA quantity per cell＞0.75pg、坏死或细胞有明显稀疏等异常区域＜1/4；提供拼片和脱片测序服务评估，高风险样本使用 10x推荐的Schott H-3D防脱玻片，排除可能导致实验失败的因素；测序数据量不低于100G/样（FFPE样本）或200G/样（FF样本）、测序数据质量Q30≥85%。提供不少于20天的数据存储服务，并提供双备份存储。样本质检合格后，45天内完成样本质检、HE染色、病理区域圈选、空间位置标记、mRNA捕获、文库构建测序、数据下机及标准分析。</w:t>
      </w:r>
    </w:p>
    <w:p w14:paraId="71EDE778">
      <w:pPr>
        <w:spacing w:line="360" w:lineRule="auto"/>
        <w:ind w:firstLine="440" w:firstLineChars="200"/>
        <w:rPr>
          <w:rFonts w:ascii="仿宋" w:hAnsi="仿宋" w:eastAsia="仿宋"/>
          <w:color w:val="auto"/>
          <w:sz w:val="22"/>
          <w:szCs w:val="28"/>
        </w:rPr>
      </w:pPr>
      <w:r>
        <w:rPr>
          <w:rFonts w:hint="eastAsia" w:ascii="仿宋" w:hAnsi="仿宋" w:eastAsia="仿宋"/>
          <w:color w:val="auto"/>
          <w:sz w:val="22"/>
          <w:szCs w:val="28"/>
        </w:rPr>
        <w:t>9.全基因组测序：对30例样本开展DNA测序。并利用二代测序平台（进口平台或者国产测序平台）完成文库的测序，数据质量Q30＞85%，测序模式为PE150，总数据量不低于目标数据量的95%。需提供变异检测及注释分析。样本质检合格后，30天内完成文库测序、数据下机及数据分析。</w:t>
      </w:r>
    </w:p>
    <w:p w14:paraId="4ED5D76F">
      <w:pPr>
        <w:spacing w:line="360" w:lineRule="auto"/>
        <w:ind w:firstLine="440" w:firstLineChars="200"/>
        <w:rPr>
          <w:rFonts w:ascii="仿宋" w:hAnsi="仿宋" w:eastAsia="仿宋"/>
          <w:color w:val="auto"/>
          <w:sz w:val="22"/>
          <w:szCs w:val="28"/>
        </w:rPr>
      </w:pPr>
      <w:r>
        <w:rPr>
          <w:rFonts w:hint="eastAsia" w:ascii="仿宋" w:hAnsi="仿宋" w:eastAsia="仿宋"/>
          <w:color w:val="auto"/>
          <w:sz w:val="22"/>
          <w:szCs w:val="28"/>
        </w:rPr>
        <w:t>10.全外显子测序</w:t>
      </w:r>
      <w:r>
        <w:rPr>
          <w:rFonts w:hint="eastAsia" w:ascii="仿宋" w:hAnsi="仿宋" w:eastAsia="仿宋"/>
          <w:color w:val="auto"/>
          <w:sz w:val="22"/>
          <w:szCs w:val="28"/>
        </w:rPr>
        <w:tab/>
      </w:r>
      <w:r>
        <w:rPr>
          <w:rFonts w:hint="eastAsia" w:ascii="仿宋" w:hAnsi="仿宋" w:eastAsia="仿宋"/>
          <w:color w:val="auto"/>
          <w:sz w:val="22"/>
          <w:szCs w:val="28"/>
        </w:rPr>
        <w:t>：对60例样本开展全外显子测序。并利用二代测序平台（进口平台或者国产测序平台）完成文库的测序，数据质量Q30＞85%，测序模式为PE150，总数据量不低于目标数据量的95%。需需提供变异检测及注释分析。样本质检合格后，28天内完成文库测序、数据下机及标准分析。</w:t>
      </w:r>
    </w:p>
    <w:p w14:paraId="7CB6AC4A">
      <w:pPr>
        <w:spacing w:line="360" w:lineRule="auto"/>
        <w:ind w:firstLine="440" w:firstLineChars="200"/>
        <w:rPr>
          <w:rFonts w:ascii="仿宋" w:hAnsi="仿宋" w:eastAsia="仿宋"/>
          <w:color w:val="auto"/>
          <w:sz w:val="22"/>
          <w:szCs w:val="28"/>
        </w:rPr>
      </w:pPr>
      <w:r>
        <w:rPr>
          <w:rFonts w:hint="eastAsia" w:ascii="仿宋" w:hAnsi="仿宋" w:eastAsia="仿宋"/>
          <w:color w:val="auto"/>
          <w:sz w:val="22"/>
          <w:szCs w:val="28"/>
        </w:rPr>
        <w:t>11.三代16s测序</w:t>
      </w:r>
      <w:r>
        <w:rPr>
          <w:rFonts w:hint="eastAsia" w:ascii="仿宋" w:hAnsi="仿宋" w:eastAsia="仿宋"/>
          <w:color w:val="auto"/>
          <w:sz w:val="22"/>
          <w:szCs w:val="28"/>
        </w:rPr>
        <w:tab/>
      </w:r>
      <w:r>
        <w:rPr>
          <w:rFonts w:hint="eastAsia" w:ascii="仿宋" w:hAnsi="仿宋" w:eastAsia="仿宋"/>
          <w:color w:val="auto"/>
          <w:sz w:val="22"/>
          <w:szCs w:val="28"/>
        </w:rPr>
        <w:t>：对100例样本开展三代16S测序及分析。并利用三代测序平台完成文库的测序，交付数据为HiFi Data，每个样本数据量不低于目标数据量的95%。分析内容包括：物种注释、物种组成分析、物种多样性分析、组间物种差异分析、功能预测分析、环境因子分析等。样本质检合格后，30天内完成文库测序、数据下机及标准分析。</w:t>
      </w:r>
    </w:p>
    <w:p w14:paraId="06FC9377">
      <w:pPr>
        <w:spacing w:line="360" w:lineRule="auto"/>
        <w:ind w:firstLine="440" w:firstLineChars="200"/>
        <w:rPr>
          <w:rFonts w:ascii="仿宋" w:hAnsi="仿宋" w:eastAsia="仿宋"/>
          <w:color w:val="auto"/>
          <w:sz w:val="22"/>
          <w:szCs w:val="28"/>
        </w:rPr>
      </w:pPr>
      <w:r>
        <w:rPr>
          <w:rFonts w:hint="eastAsia" w:ascii="仿宋" w:hAnsi="仿宋" w:eastAsia="仿宋"/>
          <w:color w:val="auto"/>
          <w:sz w:val="22"/>
          <w:szCs w:val="28"/>
        </w:rPr>
        <w:t>12.三代全基因组测序：对5例样本开展三代全基因组测序。并利用三代测序平台完成文库的测序，交付数据为HiFi Data，每个样本数据量不低于目标数据量的95%。需提供变异检测及注释分析。样本质检合格后，28天内完成文库测序、数据下机及标准分析。</w:t>
      </w:r>
    </w:p>
    <w:p w14:paraId="22B1E405">
      <w:pPr>
        <w:spacing w:line="360" w:lineRule="auto"/>
        <w:ind w:firstLine="440" w:firstLineChars="200"/>
        <w:rPr>
          <w:rFonts w:ascii="仿宋" w:hAnsi="仿宋" w:eastAsia="仿宋"/>
          <w:color w:val="auto"/>
          <w:sz w:val="22"/>
          <w:szCs w:val="28"/>
        </w:rPr>
      </w:pPr>
      <w:r>
        <w:rPr>
          <w:rFonts w:hint="eastAsia" w:ascii="仿宋" w:hAnsi="仿宋" w:eastAsia="仿宋"/>
          <w:color w:val="auto"/>
          <w:sz w:val="22"/>
          <w:szCs w:val="28"/>
        </w:rPr>
        <w:t>13.三代全长转录组测序：对5例样本开展三代全长转录组测序。并利用三代测序平台完成文库的测序，交付数据为HiFi Data，每个样本数据量不低于目标数据量的95%。需提供结构分析、转录组定量分析、基因定量分析、以及差异转录本/基因分析等。样本质检合格后，40天内完成文库测序、数据下机及标准分析。</w:t>
      </w:r>
    </w:p>
    <w:p w14:paraId="0F953782">
      <w:pPr>
        <w:spacing w:line="360" w:lineRule="auto"/>
        <w:ind w:firstLine="440" w:firstLineChars="200"/>
        <w:rPr>
          <w:rFonts w:ascii="仿宋" w:hAnsi="仿宋" w:eastAsia="仿宋"/>
          <w:b/>
          <w:color w:val="auto"/>
          <w:sz w:val="18"/>
        </w:rPr>
      </w:pPr>
      <w:r>
        <w:rPr>
          <w:rFonts w:hint="eastAsia" w:ascii="仿宋" w:hAnsi="仿宋" w:eastAsia="仿宋"/>
          <w:color w:val="auto"/>
          <w:sz w:val="22"/>
          <w:szCs w:val="28"/>
        </w:rPr>
        <w:t>14.转录组测序：对300例样本开展真核转录组测序及分析项目。并利用Illumina NovaSeq X Plus 平台完成文库的测序，数据质量Q30＞85%，测序模式为PE150，总数据量不低于6G（真核转录组交付6G数据量）。分析内容包括：测序质量评估、参考基因组比对、基因表达水平分析、基因差异表达分析、差异表达基因功能富集分析等。样本质检合格后，18天内完成文库测序、数据下机及标准分析。</w:t>
      </w:r>
    </w:p>
    <w:p w14:paraId="38E844D6">
      <w:pPr>
        <w:pStyle w:val="6"/>
        <w:spacing w:line="360" w:lineRule="auto"/>
        <w:ind w:firstLine="482"/>
        <w:contextualSpacing/>
        <w:jc w:val="center"/>
        <w:rPr>
          <w:rFonts w:ascii="仿宋" w:hAnsi="仿宋" w:eastAsia="仿宋"/>
          <w:b/>
          <w:color w:val="auto"/>
        </w:rPr>
      </w:pPr>
    </w:p>
    <w:p w14:paraId="410E3735">
      <w:pPr>
        <w:pStyle w:val="6"/>
        <w:spacing w:line="360" w:lineRule="auto"/>
        <w:ind w:firstLine="482"/>
        <w:contextualSpacing/>
        <w:jc w:val="center"/>
        <w:rPr>
          <w:rFonts w:ascii="仿宋" w:hAnsi="仿宋" w:eastAsia="仿宋"/>
          <w:b/>
          <w:color w:val="auto"/>
        </w:rPr>
      </w:pPr>
      <w:r>
        <w:rPr>
          <w:rFonts w:ascii="仿宋" w:hAnsi="仿宋" w:eastAsia="仿宋"/>
          <w:b/>
          <w:color w:val="auto"/>
        </w:rPr>
        <w:t>第</w:t>
      </w:r>
      <w:r>
        <w:rPr>
          <w:rFonts w:hint="eastAsia" w:ascii="仿宋" w:hAnsi="仿宋" w:eastAsia="仿宋"/>
          <w:b/>
          <w:color w:val="auto"/>
        </w:rPr>
        <w:t>3包 测试化验加工委托服务3</w:t>
      </w:r>
    </w:p>
    <w:p w14:paraId="640A4F63">
      <w:pPr>
        <w:pStyle w:val="6"/>
        <w:spacing w:line="360" w:lineRule="auto"/>
        <w:ind w:firstLine="482"/>
        <w:contextualSpacing/>
        <w:rPr>
          <w:rFonts w:ascii="仿宋" w:hAnsi="仿宋" w:eastAsia="仿宋"/>
          <w:b/>
          <w:color w:val="auto"/>
          <w:sz w:val="21"/>
          <w:szCs w:val="21"/>
        </w:rPr>
      </w:pPr>
      <w:r>
        <w:rPr>
          <w:rFonts w:hint="eastAsia" w:ascii="仿宋" w:hAnsi="仿宋" w:eastAsia="仿宋"/>
          <w:b/>
          <w:color w:val="auto"/>
          <w:sz w:val="21"/>
          <w:szCs w:val="21"/>
        </w:rPr>
        <w:t>（一）商务要求</w:t>
      </w:r>
    </w:p>
    <w:p w14:paraId="43D5D724">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1.质量保证：</w:t>
      </w:r>
    </w:p>
    <w:p w14:paraId="7DAB5B6A">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自收到合格样品之日起30个工作日内完成检测并交付报告。质控在标准参考值范围内，批内精密度、批间精密度CV均小于15%。</w:t>
      </w:r>
    </w:p>
    <w:p w14:paraId="31DEDB75">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2.售后服务工作和提供技术保障：</w:t>
      </w:r>
    </w:p>
    <w:p w14:paraId="4D95EB33">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2.1向用户提供各种与服务相关的免费技术咨询服务，包括电话、邮件等方式。以最快速度做出反应，提供解决方案。</w:t>
      </w:r>
    </w:p>
    <w:p w14:paraId="3E8DD28D">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2.2通过3种方式保障技术后援支持:远程支持采用电话指导或远程登录、电子邮件等方式提供技术支持，其他无法迅速解决的问题应在一周内解决或提出明确解决方案。</w:t>
      </w:r>
    </w:p>
    <w:p w14:paraId="6F10E192">
      <w:pPr>
        <w:pStyle w:val="6"/>
        <w:spacing w:line="360" w:lineRule="auto"/>
        <w:ind w:firstLine="482"/>
        <w:contextualSpacing/>
        <w:rPr>
          <w:rFonts w:ascii="仿宋" w:hAnsi="仿宋" w:eastAsia="仿宋"/>
          <w:color w:val="auto"/>
          <w:sz w:val="21"/>
        </w:rPr>
      </w:pPr>
      <w:bookmarkStart w:id="34" w:name="OLE_LINK264"/>
      <w:bookmarkStart w:id="35" w:name="OLE_LINK263"/>
      <w:bookmarkStart w:id="36" w:name="OLE_LINK323"/>
      <w:r>
        <w:rPr>
          <w:rFonts w:hint="eastAsia" w:ascii="仿宋" w:hAnsi="仿宋" w:eastAsia="仿宋"/>
          <w:color w:val="auto"/>
          <w:sz w:val="21"/>
        </w:rPr>
        <w:t>3.投标人应建立完善的数据安全和保密管理制度，对采购人提供的样本信息、检测数据、研究成果等承担保密义务。未经采购人书面同意，不得将任何数据资料用于本项目以外的用途。项目完成后，应按采购人要求返还或销毁相关数据。</w:t>
      </w:r>
    </w:p>
    <w:p w14:paraId="75AA8DE7">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4.本项目产生的检测数据、分析结果及相关研究成果的知识产权归采购人所有。</w:t>
      </w:r>
    </w:p>
    <w:p w14:paraId="0B080322">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5.投标人应建立样品接收、登记、储存、处理、销毁的全流程管理制度，确保样品可追溯、可核查。</w:t>
      </w:r>
      <w:bookmarkEnd w:id="34"/>
      <w:bookmarkEnd w:id="35"/>
      <w:bookmarkEnd w:id="36"/>
      <w:r>
        <w:rPr>
          <w:rFonts w:hint="eastAsia" w:ascii="仿宋" w:hAnsi="仿宋" w:eastAsia="仿宋"/>
          <w:color w:val="auto"/>
          <w:sz w:val="21"/>
        </w:rPr>
        <w:t>需安排专人上门接收样品，并提供取样人员名单及联系方式。</w:t>
      </w:r>
    </w:p>
    <w:p w14:paraId="7A9462F3">
      <w:pPr>
        <w:pStyle w:val="6"/>
        <w:spacing w:line="360" w:lineRule="auto"/>
        <w:ind w:firstLine="482"/>
        <w:contextualSpacing/>
        <w:rPr>
          <w:rFonts w:ascii="仿宋" w:hAnsi="仿宋" w:eastAsia="仿宋"/>
          <w:b/>
          <w:color w:val="auto"/>
          <w:sz w:val="21"/>
          <w:szCs w:val="21"/>
        </w:rPr>
      </w:pPr>
      <w:r>
        <w:rPr>
          <w:rFonts w:hint="eastAsia" w:ascii="仿宋" w:hAnsi="仿宋" w:eastAsia="仿宋"/>
          <w:b/>
          <w:color w:val="auto"/>
          <w:sz w:val="21"/>
          <w:szCs w:val="21"/>
        </w:rPr>
        <w:t>（二）技术要求</w:t>
      </w:r>
    </w:p>
    <w:p w14:paraId="701C1F9E">
      <w:pPr>
        <w:pStyle w:val="6"/>
        <w:spacing w:line="360" w:lineRule="auto"/>
        <w:ind w:firstLine="482"/>
        <w:contextualSpacing/>
        <w:rPr>
          <w:rFonts w:ascii="仿宋" w:hAnsi="仿宋" w:eastAsia="仿宋" w:cs="宋体"/>
          <w:color w:val="auto"/>
          <w:kern w:val="0"/>
          <w:sz w:val="21"/>
          <w:szCs w:val="21"/>
        </w:rPr>
      </w:pPr>
      <w:r>
        <w:rPr>
          <w:rFonts w:hint="eastAsia" w:ascii="仿宋" w:hAnsi="仿宋" w:eastAsia="仿宋" w:cs="宋体"/>
          <w:color w:val="auto"/>
          <w:kern w:val="0"/>
          <w:sz w:val="21"/>
          <w:szCs w:val="21"/>
        </w:rPr>
        <w:t>1、检测项目：血清全氟化合物检测</w:t>
      </w:r>
    </w:p>
    <w:p w14:paraId="611668E9">
      <w:pPr>
        <w:pStyle w:val="6"/>
        <w:spacing w:line="360" w:lineRule="auto"/>
        <w:ind w:firstLine="482"/>
        <w:contextualSpacing/>
        <w:rPr>
          <w:rFonts w:ascii="仿宋" w:hAnsi="仿宋" w:eastAsia="仿宋" w:cs="宋体"/>
          <w:color w:val="auto"/>
          <w:kern w:val="0"/>
          <w:sz w:val="21"/>
          <w:szCs w:val="21"/>
        </w:rPr>
      </w:pPr>
      <w:r>
        <w:rPr>
          <w:rFonts w:hint="eastAsia" w:ascii="仿宋" w:hAnsi="仿宋" w:eastAsia="仿宋" w:cs="宋体"/>
          <w:color w:val="auto"/>
          <w:kern w:val="0"/>
          <w:sz w:val="21"/>
          <w:szCs w:val="21"/>
        </w:rPr>
        <w:t>1.1、代谢产物：33种全氟化合物：PFBA , PFPeA , PFHxA , PFHpA , PFOA , PFNA , PFDA , PFUdA , PFDoA , PFTrDA , PFTeDA , PFBS , PFPeS , L - PFHxS , br - PFHxS , PFHpS , L -33PFOS,6m- PFOS ,E3,4,5m- PFOS ,Em2- PFOS ,1m- PFOS , PFNS , PFDS , FOSA , N - MeFOSAA , N - EtFOSAA ,4:2FTS,6:2 FTS ,8:2FTS, HFPO - DA , ADONA ,6:2 CI - PFESA ,8:2CI- PFESA。</w:t>
      </w:r>
    </w:p>
    <w:p w14:paraId="5D8282E9">
      <w:pPr>
        <w:pStyle w:val="6"/>
        <w:spacing w:line="360" w:lineRule="auto"/>
        <w:ind w:firstLine="482"/>
        <w:contextualSpacing/>
        <w:rPr>
          <w:rFonts w:ascii="仿宋" w:hAnsi="仿宋" w:eastAsia="仿宋" w:cs="宋体"/>
          <w:color w:val="auto"/>
          <w:kern w:val="0"/>
          <w:sz w:val="21"/>
          <w:szCs w:val="21"/>
        </w:rPr>
      </w:pPr>
      <w:r>
        <w:rPr>
          <w:rFonts w:hint="eastAsia" w:ascii="仿宋" w:hAnsi="仿宋" w:eastAsia="仿宋" w:cs="宋体"/>
          <w:color w:val="auto"/>
          <w:kern w:val="0"/>
          <w:sz w:val="21"/>
          <w:szCs w:val="21"/>
        </w:rPr>
        <w:t>1.2、检测方法：样本加入同位素内标后，采用固相萃取（SPE）进行前处理，包括酸化、活化、上样、淋洗、干燥及洗脱等步骤。洗脱液浓缩至近干后复溶，经离心去除杂质，取上清液用于液相色谱-串联质谱（LC–MS/MS）分析。</w:t>
      </w:r>
    </w:p>
    <w:p w14:paraId="17CC32A3">
      <w:pPr>
        <w:pStyle w:val="6"/>
        <w:spacing w:line="360" w:lineRule="auto"/>
        <w:ind w:firstLine="482"/>
        <w:contextualSpacing/>
        <w:rPr>
          <w:rFonts w:ascii="仿宋" w:hAnsi="仿宋" w:eastAsia="仿宋" w:cs="宋体"/>
          <w:color w:val="auto"/>
          <w:kern w:val="0"/>
          <w:sz w:val="21"/>
          <w:szCs w:val="21"/>
        </w:rPr>
      </w:pPr>
      <w:r>
        <w:rPr>
          <w:rFonts w:hint="eastAsia" w:ascii="仿宋" w:hAnsi="仿宋" w:eastAsia="仿宋" w:cs="宋体"/>
          <w:color w:val="auto"/>
          <w:kern w:val="0"/>
          <w:sz w:val="21"/>
          <w:szCs w:val="21"/>
        </w:rPr>
        <w:t>1.3、样本类型：血清：200ul。</w:t>
      </w:r>
    </w:p>
    <w:p w14:paraId="5EF76391">
      <w:pPr>
        <w:pStyle w:val="6"/>
        <w:spacing w:line="360" w:lineRule="auto"/>
        <w:ind w:firstLine="482"/>
        <w:contextualSpacing/>
        <w:rPr>
          <w:rFonts w:ascii="仿宋" w:hAnsi="仿宋" w:eastAsia="仿宋" w:cs="宋体"/>
          <w:color w:val="auto"/>
          <w:kern w:val="0"/>
          <w:sz w:val="21"/>
          <w:szCs w:val="21"/>
        </w:rPr>
      </w:pPr>
      <w:r>
        <w:rPr>
          <w:rFonts w:hint="eastAsia" w:ascii="仿宋" w:hAnsi="仿宋" w:eastAsia="仿宋" w:cs="宋体"/>
          <w:color w:val="auto"/>
          <w:kern w:val="0"/>
          <w:sz w:val="21"/>
          <w:szCs w:val="21"/>
        </w:rPr>
        <w:t>1.4、检测样本量：100份。</w:t>
      </w:r>
    </w:p>
    <w:p w14:paraId="3ED1CA7F">
      <w:pPr>
        <w:pStyle w:val="6"/>
        <w:spacing w:line="360" w:lineRule="auto"/>
        <w:ind w:firstLine="482"/>
        <w:contextualSpacing/>
        <w:rPr>
          <w:rFonts w:ascii="仿宋" w:hAnsi="仿宋" w:eastAsia="仿宋" w:cs="宋体"/>
          <w:color w:val="auto"/>
          <w:kern w:val="0"/>
          <w:sz w:val="21"/>
          <w:szCs w:val="21"/>
        </w:rPr>
      </w:pPr>
      <w:bookmarkStart w:id="37" w:name="OLE_LINK81"/>
      <w:bookmarkStart w:id="38" w:name="OLE_LINK80"/>
      <w:r>
        <w:rPr>
          <w:rFonts w:hint="eastAsia" w:ascii="仿宋" w:hAnsi="仿宋" w:eastAsia="仿宋" w:cs="宋体"/>
          <w:color w:val="auto"/>
          <w:kern w:val="0"/>
          <w:sz w:val="21"/>
          <w:szCs w:val="21"/>
        </w:rPr>
        <w:t>2、检测项目：尿液邻苯二甲酸酯检测</w:t>
      </w:r>
    </w:p>
    <w:p w14:paraId="115232F8">
      <w:pPr>
        <w:pStyle w:val="6"/>
        <w:spacing w:line="360" w:lineRule="auto"/>
        <w:ind w:firstLine="482"/>
        <w:contextualSpacing/>
        <w:rPr>
          <w:rFonts w:ascii="仿宋" w:hAnsi="仿宋" w:eastAsia="仿宋" w:cs="宋体"/>
          <w:color w:val="auto"/>
          <w:kern w:val="0"/>
          <w:sz w:val="21"/>
          <w:szCs w:val="21"/>
        </w:rPr>
      </w:pPr>
      <w:r>
        <w:rPr>
          <w:rFonts w:hint="eastAsia" w:ascii="仿宋" w:hAnsi="仿宋" w:eastAsia="仿宋" w:cs="宋体"/>
          <w:color w:val="auto"/>
          <w:kern w:val="0"/>
          <w:sz w:val="21"/>
          <w:szCs w:val="21"/>
        </w:rPr>
        <w:t>2.1、代谢产物：7种酚类化合物：MBP ，MCP，MEP，MHP，MNP，MOP，MZP。</w:t>
      </w:r>
    </w:p>
    <w:p w14:paraId="197A1CDA">
      <w:pPr>
        <w:pStyle w:val="6"/>
        <w:spacing w:line="360" w:lineRule="auto"/>
        <w:ind w:firstLine="482"/>
        <w:contextualSpacing/>
        <w:rPr>
          <w:rFonts w:ascii="仿宋" w:hAnsi="仿宋" w:eastAsia="仿宋" w:cs="宋体"/>
          <w:color w:val="auto"/>
          <w:kern w:val="0"/>
          <w:sz w:val="21"/>
          <w:szCs w:val="21"/>
        </w:rPr>
      </w:pPr>
      <w:r>
        <w:rPr>
          <w:rFonts w:hint="eastAsia" w:ascii="仿宋" w:hAnsi="仿宋" w:eastAsia="仿宋" w:cs="宋体"/>
          <w:color w:val="auto"/>
          <w:kern w:val="0"/>
          <w:sz w:val="21"/>
          <w:szCs w:val="21"/>
        </w:rPr>
        <w:t>2.2、检测方法：尿液样本加入同位素内标后，经酶解后采用MAX固相萃取（SPE）小柱进行净化，包括小柱活化、上样、淋洗、干燥及洗脱等步骤。洗脱液经浓缩、复溶和离心后，取上清液用于液相色谱-串联质谱（LC–MS/MS）分析。</w:t>
      </w:r>
    </w:p>
    <w:p w14:paraId="7CB198FB">
      <w:pPr>
        <w:pStyle w:val="6"/>
        <w:spacing w:line="360" w:lineRule="auto"/>
        <w:ind w:firstLine="482"/>
        <w:contextualSpacing/>
        <w:rPr>
          <w:rFonts w:ascii="仿宋" w:hAnsi="仿宋" w:eastAsia="仿宋" w:cs="宋体"/>
          <w:color w:val="auto"/>
          <w:kern w:val="0"/>
          <w:sz w:val="21"/>
          <w:szCs w:val="21"/>
        </w:rPr>
      </w:pPr>
      <w:r>
        <w:rPr>
          <w:rFonts w:hint="eastAsia" w:ascii="仿宋" w:hAnsi="仿宋" w:eastAsia="仿宋" w:cs="宋体"/>
          <w:color w:val="auto"/>
          <w:kern w:val="0"/>
          <w:sz w:val="21"/>
          <w:szCs w:val="21"/>
        </w:rPr>
        <w:t>2.3、样本类型：尿液：1ml。</w:t>
      </w:r>
    </w:p>
    <w:p w14:paraId="4446C174">
      <w:pPr>
        <w:pStyle w:val="6"/>
        <w:spacing w:line="360" w:lineRule="auto"/>
        <w:ind w:firstLine="482"/>
        <w:contextualSpacing/>
        <w:rPr>
          <w:rFonts w:ascii="仿宋" w:hAnsi="仿宋" w:eastAsia="仿宋" w:cs="宋体"/>
          <w:color w:val="auto"/>
          <w:kern w:val="0"/>
          <w:sz w:val="21"/>
          <w:szCs w:val="21"/>
        </w:rPr>
      </w:pPr>
      <w:r>
        <w:rPr>
          <w:rFonts w:hint="eastAsia" w:ascii="仿宋" w:hAnsi="仿宋" w:eastAsia="仿宋" w:cs="宋体"/>
          <w:color w:val="auto"/>
          <w:kern w:val="0"/>
          <w:sz w:val="21"/>
          <w:szCs w:val="21"/>
        </w:rPr>
        <w:t>2.4、检测样本量：100份。</w:t>
      </w:r>
      <w:bookmarkEnd w:id="37"/>
      <w:bookmarkEnd w:id="38"/>
    </w:p>
    <w:p w14:paraId="19EFA914">
      <w:pPr>
        <w:pStyle w:val="6"/>
        <w:spacing w:line="360" w:lineRule="auto"/>
        <w:ind w:firstLine="482"/>
        <w:contextualSpacing/>
        <w:rPr>
          <w:rFonts w:ascii="仿宋" w:hAnsi="仿宋" w:eastAsia="仿宋" w:cs="宋体"/>
          <w:color w:val="auto"/>
          <w:kern w:val="0"/>
          <w:sz w:val="21"/>
          <w:szCs w:val="21"/>
        </w:rPr>
      </w:pPr>
      <w:r>
        <w:rPr>
          <w:rFonts w:hint="eastAsia" w:ascii="仿宋" w:hAnsi="仿宋" w:eastAsia="仿宋" w:cs="宋体"/>
          <w:color w:val="auto"/>
          <w:kern w:val="0"/>
          <w:sz w:val="21"/>
          <w:szCs w:val="21"/>
        </w:rPr>
        <w:t>3、检测项目：尿液酚类化合物检测</w:t>
      </w:r>
    </w:p>
    <w:p w14:paraId="1A3619D8">
      <w:pPr>
        <w:pStyle w:val="6"/>
        <w:spacing w:line="360" w:lineRule="auto"/>
        <w:ind w:firstLine="482"/>
        <w:contextualSpacing/>
        <w:rPr>
          <w:rFonts w:ascii="仿宋" w:hAnsi="仿宋" w:eastAsia="仿宋" w:cs="宋体"/>
          <w:color w:val="auto"/>
          <w:kern w:val="0"/>
          <w:sz w:val="21"/>
          <w:szCs w:val="21"/>
        </w:rPr>
      </w:pPr>
      <w:r>
        <w:rPr>
          <w:rFonts w:hint="eastAsia" w:ascii="仿宋" w:hAnsi="仿宋" w:eastAsia="仿宋" w:cs="宋体"/>
          <w:color w:val="auto"/>
          <w:kern w:val="0"/>
          <w:sz w:val="21"/>
          <w:szCs w:val="21"/>
        </w:rPr>
        <w:t xml:space="preserve">3.1、代谢产物：18种酚类化合物：methyl 4- hydroxybenzoate ( MeP ), ethyl 4- hydroxybenzoate ( EtP ), propyl 4- hydroxybenzoate ( PrP ), butyl 4- hydroxybenzoate ( BuP ), heptyl 4- hydroxybenzoate ( HeP ), BPA , bisphenol B ( BPB ), BPS , TCS , benzyl 4- hydroxybenzoate ( BzP ), </w:t>
      </w:r>
      <w:r>
        <w:rPr>
          <w:rFonts w:ascii="仿宋" w:hAnsi="仿宋" w:eastAsia="仿宋" w:cs="宋体"/>
          <w:color w:val="auto"/>
          <w:kern w:val="0"/>
          <w:sz w:val="21"/>
          <w:szCs w:val="21"/>
        </w:rPr>
        <w:t>bisphenol AF ( BPAF ),BPAP,bisphenol P ( BPP ), bisphenol Z ( BPZ ),2,4- dihydroxy benzophenone ( BP-1),2,20,4,40- tetrahydroxy benzophenone ( BP-2),2,20- dihydroxy -4- methoxybenzophenone ( BP-8),4- hydroxy benzophenone (4-HBP )。</w:t>
      </w:r>
    </w:p>
    <w:p w14:paraId="288A2213">
      <w:pPr>
        <w:pStyle w:val="6"/>
        <w:spacing w:line="360" w:lineRule="auto"/>
        <w:ind w:firstLine="482"/>
        <w:contextualSpacing/>
        <w:rPr>
          <w:rFonts w:ascii="仿宋" w:hAnsi="仿宋" w:eastAsia="仿宋" w:cs="宋体"/>
          <w:color w:val="auto"/>
          <w:kern w:val="0"/>
          <w:sz w:val="21"/>
          <w:szCs w:val="21"/>
        </w:rPr>
      </w:pPr>
      <w:r>
        <w:rPr>
          <w:rFonts w:hint="eastAsia" w:ascii="仿宋" w:hAnsi="仿宋" w:eastAsia="仿宋" w:cs="宋体"/>
          <w:color w:val="auto"/>
          <w:kern w:val="0"/>
          <w:sz w:val="21"/>
          <w:szCs w:val="21"/>
        </w:rPr>
        <w:t>3.2、检测方法：尿液样本加入同位素内标和酶工作液，经酶解后采用液液萃取进行前处理，萃取液经浓缩至干。浓缩残留物复溶并离心后，取上清液用于高效液相色谱-串联质谱（HPLC–MS/MS）分析。</w:t>
      </w:r>
    </w:p>
    <w:p w14:paraId="564A0BFE">
      <w:pPr>
        <w:pStyle w:val="6"/>
        <w:spacing w:line="360" w:lineRule="auto"/>
        <w:ind w:firstLine="482"/>
        <w:contextualSpacing/>
        <w:rPr>
          <w:rFonts w:ascii="仿宋" w:hAnsi="仿宋" w:eastAsia="仿宋" w:cs="宋体"/>
          <w:color w:val="auto"/>
          <w:kern w:val="0"/>
          <w:sz w:val="21"/>
          <w:szCs w:val="21"/>
        </w:rPr>
      </w:pPr>
      <w:r>
        <w:rPr>
          <w:rFonts w:hint="eastAsia" w:ascii="仿宋" w:hAnsi="仿宋" w:eastAsia="仿宋" w:cs="宋体"/>
          <w:color w:val="auto"/>
          <w:kern w:val="0"/>
          <w:sz w:val="21"/>
          <w:szCs w:val="21"/>
        </w:rPr>
        <w:t>3.3、样本类型：尿液：500ul。</w:t>
      </w:r>
    </w:p>
    <w:p w14:paraId="058E4AA2">
      <w:pPr>
        <w:pStyle w:val="6"/>
        <w:spacing w:line="360" w:lineRule="auto"/>
        <w:ind w:firstLine="482"/>
        <w:contextualSpacing/>
        <w:rPr>
          <w:rFonts w:ascii="仿宋" w:hAnsi="仿宋" w:eastAsia="仿宋" w:cs="宋体"/>
          <w:color w:val="auto"/>
          <w:kern w:val="0"/>
          <w:sz w:val="21"/>
          <w:szCs w:val="21"/>
        </w:rPr>
      </w:pPr>
      <w:r>
        <w:rPr>
          <w:rFonts w:hint="eastAsia" w:ascii="仿宋" w:hAnsi="仿宋" w:eastAsia="仿宋" w:cs="宋体"/>
          <w:color w:val="auto"/>
          <w:kern w:val="0"/>
          <w:sz w:val="21"/>
          <w:szCs w:val="21"/>
        </w:rPr>
        <w:t>3.4、检测样本量：100份。</w:t>
      </w:r>
    </w:p>
    <w:p w14:paraId="78ADE581">
      <w:pPr>
        <w:pStyle w:val="6"/>
        <w:spacing w:line="360" w:lineRule="auto"/>
        <w:ind w:firstLine="482"/>
        <w:contextualSpacing/>
        <w:rPr>
          <w:rFonts w:ascii="仿宋" w:hAnsi="仿宋" w:eastAsia="仿宋"/>
          <w:b/>
          <w:color w:val="auto"/>
        </w:rPr>
      </w:pPr>
    </w:p>
    <w:p w14:paraId="25532392">
      <w:pPr>
        <w:pStyle w:val="6"/>
        <w:spacing w:line="360" w:lineRule="auto"/>
        <w:ind w:firstLine="482"/>
        <w:contextualSpacing/>
        <w:jc w:val="center"/>
        <w:rPr>
          <w:rFonts w:ascii="仿宋" w:hAnsi="仿宋" w:eastAsia="仿宋"/>
          <w:b/>
          <w:color w:val="auto"/>
        </w:rPr>
      </w:pPr>
      <w:r>
        <w:rPr>
          <w:rFonts w:ascii="仿宋" w:hAnsi="仿宋" w:eastAsia="仿宋"/>
          <w:b/>
          <w:color w:val="auto"/>
        </w:rPr>
        <w:t>第</w:t>
      </w:r>
      <w:r>
        <w:rPr>
          <w:rFonts w:hint="eastAsia" w:ascii="仿宋" w:hAnsi="仿宋" w:eastAsia="仿宋"/>
          <w:b/>
          <w:color w:val="auto"/>
        </w:rPr>
        <w:t>4包 测试化验加工委托服务4</w:t>
      </w:r>
    </w:p>
    <w:p w14:paraId="29A50A40">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（一）委托服务</w:t>
      </w:r>
    </w:p>
    <w:tbl>
      <w:tblPr>
        <w:tblStyle w:val="43"/>
        <w:tblW w:w="5000" w:type="pct"/>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Layout w:type="autofit"/>
        <w:tblCellMar>
          <w:top w:w="0" w:type="dxa"/>
          <w:left w:w="10" w:type="dxa"/>
          <w:bottom w:w="0" w:type="dxa"/>
          <w:right w:w="10" w:type="dxa"/>
        </w:tblCellMar>
      </w:tblPr>
      <w:tblGrid>
        <w:gridCol w:w="1215"/>
        <w:gridCol w:w="3128"/>
        <w:gridCol w:w="1130"/>
        <w:gridCol w:w="2126"/>
        <w:gridCol w:w="873"/>
      </w:tblGrid>
      <w:tr w14:paraId="79CE56E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CellMar>
            <w:top w:w="0" w:type="dxa"/>
            <w:left w:w="10" w:type="dxa"/>
            <w:bottom w:w="0" w:type="dxa"/>
            <w:right w:w="10" w:type="dxa"/>
          </w:tblCellMar>
        </w:tblPrEx>
        <w:trPr>
          <w:trHeight w:val="20" w:hRule="atLeast"/>
        </w:trPr>
        <w:tc>
          <w:tcPr>
            <w:tcW w:w="71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F190CD6">
            <w:pPr>
              <w:widowControl/>
              <w:spacing w:line="276" w:lineRule="auto"/>
              <w:jc w:val="center"/>
              <w:rPr>
                <w:rFonts w:ascii="仿宋" w:hAnsi="仿宋" w:eastAsia="仿宋" w:cs="宋体"/>
                <w:b/>
                <w:color w:val="auto"/>
                <w:szCs w:val="21"/>
              </w:rPr>
            </w:pPr>
            <w:bookmarkStart w:id="39" w:name="OLE_LINK24"/>
            <w:r>
              <w:rPr>
                <w:rFonts w:hint="eastAsia" w:ascii="仿宋" w:hAnsi="仿宋" w:eastAsia="仿宋" w:cs="宋体"/>
                <w:b/>
                <w:color w:val="auto"/>
                <w:kern w:val="0"/>
                <w:szCs w:val="21"/>
                <w:lang w:val="zh-TW" w:eastAsia="zh-TW"/>
              </w:rPr>
              <w:t>序号</w:t>
            </w:r>
          </w:p>
        </w:tc>
        <w:tc>
          <w:tcPr>
            <w:tcW w:w="1846"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F0E2018">
            <w:pPr>
              <w:widowControl/>
              <w:spacing w:line="276" w:lineRule="auto"/>
              <w:jc w:val="center"/>
              <w:rPr>
                <w:rFonts w:ascii="仿宋" w:hAnsi="仿宋" w:eastAsia="仿宋" w:cs="宋体"/>
                <w:b/>
                <w:color w:val="auto"/>
                <w:szCs w:val="21"/>
              </w:rPr>
            </w:pPr>
            <w:r>
              <w:rPr>
                <w:rFonts w:hint="eastAsia" w:ascii="仿宋" w:hAnsi="仿宋" w:eastAsia="仿宋" w:cs="宋体"/>
                <w:b/>
                <w:bCs/>
                <w:color w:val="auto"/>
                <w:kern w:val="0"/>
                <w:szCs w:val="21"/>
                <w:lang w:val="zh-TW" w:eastAsia="zh-TW"/>
              </w:rPr>
              <w:t>测试化验加工内容</w:t>
            </w:r>
          </w:p>
        </w:tc>
        <w:tc>
          <w:tcPr>
            <w:tcW w:w="66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BF214F4">
            <w:pPr>
              <w:widowControl/>
              <w:spacing w:line="276" w:lineRule="auto"/>
              <w:jc w:val="center"/>
              <w:rPr>
                <w:rFonts w:ascii="仿宋" w:hAnsi="仿宋" w:eastAsia="仿宋" w:cs="宋体"/>
                <w:b/>
                <w:color w:val="auto"/>
                <w:szCs w:val="21"/>
              </w:rPr>
            </w:pPr>
            <w:r>
              <w:rPr>
                <w:rFonts w:hint="eastAsia" w:ascii="仿宋" w:hAnsi="仿宋" w:eastAsia="仿宋" w:cs="宋体"/>
                <w:b/>
                <w:color w:val="auto"/>
                <w:kern w:val="0"/>
                <w:szCs w:val="21"/>
                <w:lang w:val="zh-TW" w:eastAsia="zh-TW"/>
              </w:rPr>
              <w:t>计量单位</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AC57C">
            <w:pPr>
              <w:widowControl/>
              <w:spacing w:line="276" w:lineRule="auto"/>
              <w:jc w:val="center"/>
              <w:rPr>
                <w:rFonts w:ascii="仿宋" w:hAnsi="仿宋" w:eastAsia="仿宋" w:cs="宋体"/>
                <w:b/>
                <w:color w:val="auto"/>
                <w:kern w:val="0"/>
                <w:szCs w:val="21"/>
                <w:lang w:val="zh-TW" w:eastAsia="zh-TW"/>
              </w:rPr>
            </w:pPr>
            <w:r>
              <w:rPr>
                <w:rFonts w:hint="eastAsia" w:ascii="仿宋" w:hAnsi="仿宋" w:eastAsia="仿宋" w:cs="宋体"/>
                <w:b/>
                <w:color w:val="auto"/>
                <w:kern w:val="0"/>
                <w:szCs w:val="21"/>
                <w:lang w:val="zh-TW"/>
              </w:rPr>
              <w:t>单价</w:t>
            </w:r>
            <w:r>
              <w:rPr>
                <w:rFonts w:hint="eastAsia" w:ascii="仿宋" w:hAnsi="仿宋" w:eastAsia="仿宋" w:cs="宋体"/>
                <w:b/>
                <w:color w:val="auto"/>
                <w:kern w:val="0"/>
                <w:szCs w:val="21"/>
              </w:rPr>
              <w:t>限价（人民币元）</w:t>
            </w:r>
          </w:p>
        </w:tc>
        <w:tc>
          <w:tcPr>
            <w:tcW w:w="515"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B16EEA7">
            <w:pPr>
              <w:widowControl/>
              <w:spacing w:line="276" w:lineRule="auto"/>
              <w:jc w:val="center"/>
              <w:rPr>
                <w:rFonts w:ascii="仿宋" w:hAnsi="仿宋" w:eastAsia="仿宋" w:cs="宋体"/>
                <w:b/>
                <w:color w:val="auto"/>
                <w:szCs w:val="21"/>
              </w:rPr>
            </w:pPr>
            <w:r>
              <w:rPr>
                <w:rFonts w:hint="eastAsia" w:ascii="仿宋" w:hAnsi="仿宋" w:eastAsia="仿宋" w:cs="宋体"/>
                <w:b/>
                <w:color w:val="auto"/>
                <w:kern w:val="0"/>
                <w:szCs w:val="21"/>
                <w:lang w:val="zh-TW" w:eastAsia="zh-TW"/>
              </w:rPr>
              <w:t>数量</w:t>
            </w:r>
          </w:p>
        </w:tc>
      </w:tr>
      <w:tr w14:paraId="3222034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CellMar>
            <w:top w:w="0" w:type="dxa"/>
            <w:left w:w="10" w:type="dxa"/>
            <w:bottom w:w="0" w:type="dxa"/>
            <w:right w:w="10" w:type="dxa"/>
          </w:tblCellMar>
        </w:tblPrEx>
        <w:trPr>
          <w:trHeight w:val="128" w:hRule="atLeast"/>
        </w:trPr>
        <w:tc>
          <w:tcPr>
            <w:tcW w:w="71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BE7EA40">
            <w:pPr>
              <w:widowControl/>
              <w:spacing w:line="276" w:lineRule="auto"/>
              <w:jc w:val="center"/>
              <w:rPr>
                <w:rFonts w:ascii="仿宋" w:hAnsi="仿宋" w:eastAsia="仿宋"/>
                <w:color w:val="auto"/>
                <w:szCs w:val="21"/>
              </w:rPr>
            </w:pPr>
            <w:r>
              <w:rPr>
                <w:rFonts w:hint="eastAsia" w:ascii="仿宋" w:hAnsi="仿宋" w:eastAsia="仿宋"/>
                <w:color w:val="auto"/>
                <w:kern w:val="0"/>
                <w:szCs w:val="21"/>
              </w:rPr>
              <w:t>1</w:t>
            </w:r>
          </w:p>
        </w:tc>
        <w:tc>
          <w:tcPr>
            <w:tcW w:w="1846"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B12847A">
            <w:pPr>
              <w:widowControl/>
              <w:spacing w:line="276" w:lineRule="auto"/>
              <w:jc w:val="center"/>
              <w:rPr>
                <w:rFonts w:ascii="仿宋" w:hAnsi="仿宋" w:eastAsia="仿宋"/>
                <w:color w:val="auto"/>
                <w:szCs w:val="21"/>
              </w:rPr>
            </w:pPr>
            <w:r>
              <w:rPr>
                <w:rFonts w:hint="eastAsia" w:ascii="仿宋" w:hAnsi="仿宋" w:eastAsia="仿宋"/>
                <w:color w:val="auto"/>
                <w:szCs w:val="21"/>
              </w:rPr>
              <w:t>Y迷宫</w:t>
            </w:r>
          </w:p>
        </w:tc>
        <w:tc>
          <w:tcPr>
            <w:tcW w:w="66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070ED19">
            <w:pPr>
              <w:widowControl/>
              <w:spacing w:line="276" w:lineRule="auto"/>
              <w:jc w:val="center"/>
              <w:rPr>
                <w:rFonts w:ascii="仿宋" w:hAnsi="仿宋" w:eastAsia="仿宋"/>
                <w:color w:val="auto"/>
                <w:szCs w:val="21"/>
              </w:rPr>
            </w:pPr>
            <w:r>
              <w:rPr>
                <w:rFonts w:hint="eastAsia" w:ascii="仿宋" w:hAnsi="仿宋" w:eastAsia="仿宋"/>
                <w:color w:val="auto"/>
                <w:szCs w:val="21"/>
              </w:rPr>
              <w:t>只/次</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4BB6F">
            <w:pPr>
              <w:widowControl/>
              <w:spacing w:line="276" w:lineRule="auto"/>
              <w:jc w:val="center"/>
              <w:rPr>
                <w:rFonts w:ascii="仿宋" w:hAnsi="仿宋" w:eastAsia="仿宋"/>
                <w:color w:val="auto"/>
                <w:kern w:val="0"/>
                <w:szCs w:val="21"/>
              </w:rPr>
            </w:pPr>
            <w:r>
              <w:rPr>
                <w:rFonts w:hint="eastAsia" w:ascii="仿宋" w:hAnsi="仿宋" w:eastAsia="仿宋"/>
                <w:color w:val="auto"/>
                <w:kern w:val="0"/>
                <w:szCs w:val="21"/>
              </w:rPr>
              <w:t>130</w:t>
            </w:r>
          </w:p>
        </w:tc>
        <w:tc>
          <w:tcPr>
            <w:tcW w:w="515"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2D78BFB">
            <w:pPr>
              <w:widowControl/>
              <w:spacing w:line="276" w:lineRule="auto"/>
              <w:jc w:val="center"/>
              <w:rPr>
                <w:rFonts w:ascii="仿宋" w:hAnsi="仿宋" w:eastAsia="仿宋"/>
                <w:color w:val="auto"/>
                <w:szCs w:val="21"/>
              </w:rPr>
            </w:pPr>
            <w:r>
              <w:rPr>
                <w:rFonts w:hint="eastAsia" w:ascii="仿宋" w:hAnsi="仿宋" w:eastAsia="仿宋"/>
                <w:color w:val="auto"/>
                <w:szCs w:val="21"/>
              </w:rPr>
              <w:t>32</w:t>
            </w:r>
          </w:p>
        </w:tc>
      </w:tr>
      <w:tr w14:paraId="507BC54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CellMar>
            <w:top w:w="0" w:type="dxa"/>
            <w:left w:w="10" w:type="dxa"/>
            <w:bottom w:w="0" w:type="dxa"/>
            <w:right w:w="10" w:type="dxa"/>
          </w:tblCellMar>
        </w:tblPrEx>
        <w:trPr>
          <w:trHeight w:val="90" w:hRule="atLeast"/>
        </w:trPr>
        <w:tc>
          <w:tcPr>
            <w:tcW w:w="71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DE4DEF6">
            <w:pPr>
              <w:widowControl/>
              <w:spacing w:line="276" w:lineRule="auto"/>
              <w:jc w:val="center"/>
              <w:rPr>
                <w:rFonts w:ascii="仿宋" w:hAnsi="仿宋" w:eastAsia="仿宋"/>
                <w:color w:val="auto"/>
                <w:kern w:val="0"/>
                <w:szCs w:val="21"/>
              </w:rPr>
            </w:pPr>
            <w:r>
              <w:rPr>
                <w:rFonts w:hint="eastAsia" w:ascii="仿宋" w:hAnsi="仿宋" w:eastAsia="仿宋"/>
                <w:color w:val="auto"/>
                <w:kern w:val="0"/>
                <w:szCs w:val="21"/>
              </w:rPr>
              <w:t>2</w:t>
            </w:r>
          </w:p>
        </w:tc>
        <w:tc>
          <w:tcPr>
            <w:tcW w:w="1846"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FC12D9C">
            <w:pPr>
              <w:widowControl/>
              <w:spacing w:line="276" w:lineRule="auto"/>
              <w:jc w:val="center"/>
              <w:rPr>
                <w:rFonts w:ascii="仿宋" w:hAnsi="仿宋" w:eastAsia="仿宋"/>
                <w:color w:val="auto"/>
                <w:szCs w:val="21"/>
              </w:rPr>
            </w:pPr>
            <w:bookmarkStart w:id="40" w:name="OLE_LINK193"/>
            <w:bookmarkStart w:id="41" w:name="OLE_LINK192"/>
            <w:r>
              <w:rPr>
                <w:rFonts w:hint="eastAsia" w:ascii="仿宋" w:hAnsi="仿宋" w:eastAsia="仿宋"/>
                <w:color w:val="auto"/>
                <w:szCs w:val="21"/>
              </w:rPr>
              <w:t>旷场试验</w:t>
            </w:r>
            <w:bookmarkEnd w:id="40"/>
            <w:bookmarkEnd w:id="41"/>
          </w:p>
        </w:tc>
        <w:tc>
          <w:tcPr>
            <w:tcW w:w="66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0FF7BE9">
            <w:pPr>
              <w:widowControl/>
              <w:spacing w:line="276" w:lineRule="auto"/>
              <w:jc w:val="center"/>
              <w:rPr>
                <w:rFonts w:ascii="仿宋" w:hAnsi="仿宋" w:eastAsia="仿宋"/>
                <w:color w:val="auto"/>
                <w:szCs w:val="21"/>
              </w:rPr>
            </w:pPr>
            <w:r>
              <w:rPr>
                <w:rFonts w:hint="eastAsia" w:ascii="仿宋" w:hAnsi="仿宋" w:eastAsia="仿宋"/>
                <w:color w:val="auto"/>
                <w:szCs w:val="21"/>
              </w:rPr>
              <w:t>只/次</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16301">
            <w:pPr>
              <w:widowControl/>
              <w:spacing w:line="276" w:lineRule="auto"/>
              <w:jc w:val="center"/>
              <w:rPr>
                <w:rFonts w:ascii="仿宋" w:hAnsi="仿宋" w:eastAsia="仿宋"/>
                <w:color w:val="auto"/>
                <w:kern w:val="0"/>
                <w:szCs w:val="21"/>
              </w:rPr>
            </w:pPr>
            <w:r>
              <w:rPr>
                <w:rFonts w:hint="eastAsia" w:ascii="仿宋" w:hAnsi="仿宋" w:eastAsia="仿宋"/>
                <w:color w:val="auto"/>
                <w:kern w:val="0"/>
                <w:szCs w:val="21"/>
              </w:rPr>
              <w:t>120</w:t>
            </w:r>
          </w:p>
        </w:tc>
        <w:tc>
          <w:tcPr>
            <w:tcW w:w="515"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B7FCA2B">
            <w:pPr>
              <w:widowControl/>
              <w:spacing w:line="276" w:lineRule="auto"/>
              <w:jc w:val="center"/>
              <w:rPr>
                <w:rFonts w:ascii="仿宋" w:hAnsi="仿宋" w:eastAsia="仿宋"/>
                <w:color w:val="auto"/>
                <w:kern w:val="0"/>
                <w:szCs w:val="21"/>
              </w:rPr>
            </w:pPr>
            <w:r>
              <w:rPr>
                <w:rFonts w:hint="eastAsia" w:ascii="仿宋" w:hAnsi="仿宋" w:eastAsia="仿宋"/>
                <w:color w:val="auto"/>
                <w:kern w:val="0"/>
                <w:szCs w:val="21"/>
              </w:rPr>
              <w:t>32</w:t>
            </w:r>
          </w:p>
        </w:tc>
      </w:tr>
      <w:bookmarkEnd w:id="39"/>
    </w:tbl>
    <w:p w14:paraId="0DA2162F">
      <w:pPr>
        <w:spacing w:line="360" w:lineRule="auto"/>
        <w:contextualSpacing/>
        <w:rPr>
          <w:rFonts w:ascii="仿宋" w:hAnsi="仿宋" w:eastAsia="仿宋" w:cs="仿宋"/>
          <w:b/>
          <w:bCs/>
          <w:color w:val="auto"/>
          <w:szCs w:val="21"/>
        </w:rPr>
      </w:pPr>
      <w:r>
        <w:rPr>
          <w:rFonts w:hint="eastAsia" w:ascii="仿宋" w:hAnsi="仿宋" w:eastAsia="仿宋" w:cs="仿宋"/>
          <w:b/>
          <w:bCs/>
          <w:color w:val="auto"/>
          <w:szCs w:val="21"/>
        </w:rPr>
        <w:t>注：1）投标人所报委托服务明细单价不能超过上述单价限价，否则按废标处理。</w:t>
      </w:r>
    </w:p>
    <w:p w14:paraId="3B870A66">
      <w:pPr>
        <w:pStyle w:val="6"/>
        <w:spacing w:line="360" w:lineRule="auto"/>
        <w:ind w:firstLine="482"/>
        <w:contextualSpacing/>
        <w:rPr>
          <w:rFonts w:ascii="仿宋" w:hAnsi="仿宋" w:eastAsia="仿宋"/>
          <w:b/>
          <w:color w:val="auto"/>
          <w:sz w:val="18"/>
        </w:rPr>
      </w:pPr>
      <w:r>
        <w:rPr>
          <w:rFonts w:hint="eastAsia" w:ascii="仿宋" w:hAnsi="仿宋" w:eastAsia="仿宋" w:cs="仿宋"/>
          <w:b/>
          <w:bCs/>
          <w:color w:val="auto"/>
          <w:sz w:val="21"/>
          <w:szCs w:val="21"/>
        </w:rPr>
        <w:t>2）投标人所报数量不能低于上述委托服务中列明的数量，否则按废标处理。</w:t>
      </w:r>
    </w:p>
    <w:p w14:paraId="40937B46">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（二）商务要求</w:t>
      </w:r>
    </w:p>
    <w:p w14:paraId="2FB214BD">
      <w:pPr>
        <w:pStyle w:val="267"/>
        <w:spacing w:line="360" w:lineRule="auto"/>
        <w:ind w:firstLine="420"/>
        <w:rPr>
          <w:rFonts w:ascii="仿宋" w:hAnsi="仿宋" w:eastAsia="仿宋"/>
          <w:color w:val="auto"/>
          <w:szCs w:val="21"/>
        </w:rPr>
      </w:pPr>
      <w:r>
        <w:rPr>
          <w:rFonts w:hint="eastAsia" w:ascii="仿宋" w:hAnsi="仿宋" w:eastAsia="仿宋"/>
          <w:color w:val="auto"/>
          <w:szCs w:val="21"/>
        </w:rPr>
        <w:t>1、交付内容：合同生效后的交付期限30天内，提供Y迷宫和矿场试验的行为学统计数据及分析结论。</w:t>
      </w:r>
    </w:p>
    <w:p w14:paraId="5DD274FE">
      <w:pPr>
        <w:pStyle w:val="267"/>
        <w:spacing w:line="360" w:lineRule="auto"/>
        <w:ind w:firstLine="420"/>
        <w:rPr>
          <w:rFonts w:ascii="仿宋" w:hAnsi="仿宋" w:eastAsia="仿宋"/>
          <w:color w:val="auto"/>
          <w:szCs w:val="21"/>
        </w:rPr>
      </w:pPr>
      <w:r>
        <w:rPr>
          <w:rFonts w:hint="eastAsia" w:ascii="仿宋" w:hAnsi="仿宋" w:eastAsia="仿宋"/>
          <w:color w:val="auto"/>
          <w:szCs w:val="21"/>
        </w:rPr>
        <w:t>2、质保期限：数据验收合格之日起的45天内，技术人员对于委托方提出明确的询问、质疑及投诉，在5个工作日内进行处理和解决。</w:t>
      </w:r>
    </w:p>
    <w:p w14:paraId="2DC997FA">
      <w:pPr>
        <w:pStyle w:val="267"/>
        <w:spacing w:line="360" w:lineRule="auto"/>
        <w:ind w:firstLine="420"/>
        <w:rPr>
          <w:rFonts w:ascii="仿宋" w:hAnsi="仿宋" w:eastAsia="仿宋"/>
          <w:color w:val="auto"/>
          <w:szCs w:val="21"/>
        </w:rPr>
      </w:pPr>
      <w:r>
        <w:rPr>
          <w:rFonts w:hint="eastAsia" w:ascii="仿宋" w:hAnsi="仿宋" w:eastAsia="仿宋"/>
          <w:color w:val="auto"/>
          <w:szCs w:val="21"/>
        </w:rPr>
        <w:t>3、配套附件清单：标准测试笼体、鼠屋、气密饮水瓶、皮下植入子及注射器、控制电脑等的具体数量。</w:t>
      </w:r>
    </w:p>
    <w:p w14:paraId="41A3D4BA">
      <w:pPr>
        <w:pStyle w:val="6"/>
        <w:spacing w:line="360" w:lineRule="auto"/>
        <w:ind w:firstLine="482"/>
        <w:contextualSpacing/>
        <w:rPr>
          <w:rFonts w:ascii="仿宋" w:hAnsi="仿宋" w:eastAsia="仿宋"/>
          <w:color w:val="auto"/>
          <w:sz w:val="21"/>
        </w:rPr>
      </w:pPr>
      <w:r>
        <w:rPr>
          <w:rFonts w:hint="eastAsia" w:ascii="仿宋" w:hAnsi="仿宋" w:eastAsia="仿宋"/>
          <w:color w:val="auto"/>
          <w:szCs w:val="21"/>
        </w:rPr>
        <w:t>4</w:t>
      </w:r>
      <w:r>
        <w:rPr>
          <w:rFonts w:hint="eastAsia" w:ascii="仿宋" w:hAnsi="仿宋" w:eastAsia="仿宋"/>
          <w:color w:val="auto"/>
          <w:sz w:val="21"/>
        </w:rPr>
        <w:t>、投标人应建立完善的数据安全和保密管理制度，对采购人提供的样本信息、检测数据、研究成果等承担保密义务。未经采购人书面同意，不得将任何数据资料用于本项目以外的用途。项目完成后，应按采购人要求返还或销毁相关数据。</w:t>
      </w:r>
    </w:p>
    <w:p w14:paraId="4524C3C7">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5、本项目产生的检测数据、分析结果及相关研究成果的知识产权归采购人所有。</w:t>
      </w:r>
    </w:p>
    <w:p w14:paraId="21E4336D">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6、投标人应建立样品接收、登记、储存、处理、销毁的全流程管理制度，确保样品可追溯、可核查。需安排专人上门接收样品，并提供取样人员名单及联系方式。</w:t>
      </w:r>
    </w:p>
    <w:p w14:paraId="2B91F403">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（三）技术要求</w:t>
      </w:r>
    </w:p>
    <w:p w14:paraId="2C3DF581">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1、Y迷宫：</w:t>
      </w:r>
    </w:p>
    <w:p w14:paraId="6DDCF942">
      <w:pPr>
        <w:pStyle w:val="6"/>
        <w:spacing w:line="360" w:lineRule="auto"/>
        <w:ind w:firstLine="482"/>
        <w:contextualSpacing/>
        <w:rPr>
          <w:rFonts w:ascii="仿宋" w:hAnsi="仿宋" w:eastAsia="仿宋"/>
          <w:color w:val="auto"/>
          <w:sz w:val="21"/>
        </w:rPr>
      </w:pPr>
      <w:bookmarkStart w:id="42" w:name="OLE_LINK191"/>
      <w:bookmarkStart w:id="43" w:name="OLE_LINK190"/>
      <w:r>
        <w:rPr>
          <w:rFonts w:hint="eastAsia" w:ascii="仿宋" w:hAnsi="仿宋" w:eastAsia="仿宋"/>
          <w:color w:val="auto"/>
          <w:sz w:val="21"/>
        </w:rPr>
        <w:t>（1）训练:</w:t>
      </w:r>
    </w:p>
    <w:p w14:paraId="51535B5A">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先封闭一个臂（新异臂），将小鼠放入起始臂，让小鼠在剩余的两个臂（起始臂和其他臂）中自由探索10min。</w:t>
      </w:r>
    </w:p>
    <w:p w14:paraId="05E47E90">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（2）测试:</w:t>
      </w:r>
    </w:p>
    <w:p w14:paraId="2EBD72F1">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全部训练后，打开挡板，每只鼠自由探索5min，记录小鼠进入新异臂、起始臂、其他臂的次数和时间，尤其是新的次数和时间。</w:t>
      </w:r>
      <w:bookmarkEnd w:id="42"/>
      <w:bookmarkEnd w:id="43"/>
    </w:p>
    <w:p w14:paraId="7855076E">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2、旷场试验：</w:t>
      </w:r>
    </w:p>
    <w:p w14:paraId="6E3F2A06">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（1）第一天适应环境，将小鼠轻缓放置于方箱中央区域测试其探索性运动，适应5min，不做摄像记录。</w:t>
      </w:r>
    </w:p>
    <w:p w14:paraId="194AE58B">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（2）第二天实验测试，将小鼠轻缓放置于方箱中央区域测试其探索性运动，环境安静后进行摄像，共记录5min的活动情况。自动行为跟踪系统记录小鼠在中央区运动时间和运动的总路程。</w:t>
      </w:r>
    </w:p>
    <w:p w14:paraId="6D0A6876">
      <w:pPr>
        <w:pStyle w:val="6"/>
        <w:spacing w:line="360" w:lineRule="auto"/>
        <w:ind w:firstLine="482"/>
        <w:contextualSpacing/>
        <w:rPr>
          <w:rFonts w:ascii="仿宋" w:hAnsi="仿宋" w:eastAsia="仿宋"/>
          <w:color w:val="auto"/>
          <w:sz w:val="21"/>
        </w:rPr>
      </w:pPr>
    </w:p>
    <w:p w14:paraId="68C24AB6">
      <w:pPr>
        <w:pStyle w:val="6"/>
        <w:spacing w:line="360" w:lineRule="auto"/>
        <w:ind w:firstLine="482"/>
        <w:contextualSpacing/>
        <w:jc w:val="center"/>
        <w:rPr>
          <w:rFonts w:ascii="仿宋" w:hAnsi="仿宋" w:eastAsia="仿宋"/>
          <w:b/>
          <w:color w:val="auto"/>
        </w:rPr>
      </w:pPr>
      <w:r>
        <w:rPr>
          <w:rFonts w:ascii="仿宋" w:hAnsi="仿宋" w:eastAsia="仿宋"/>
          <w:b/>
          <w:color w:val="auto"/>
        </w:rPr>
        <w:t>第</w:t>
      </w:r>
      <w:r>
        <w:rPr>
          <w:rFonts w:hint="eastAsia" w:ascii="仿宋" w:hAnsi="仿宋" w:eastAsia="仿宋"/>
          <w:b/>
          <w:color w:val="auto"/>
        </w:rPr>
        <w:t>5包 测试化验加工委托服务5</w:t>
      </w:r>
    </w:p>
    <w:p w14:paraId="6D0427D8">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（一）委托服务</w:t>
      </w:r>
    </w:p>
    <w:tbl>
      <w:tblPr>
        <w:tblStyle w:val="43"/>
        <w:tblW w:w="5000" w:type="pct"/>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autofit"/>
        <w:tblCellMar>
          <w:top w:w="0" w:type="dxa"/>
          <w:left w:w="10" w:type="dxa"/>
          <w:bottom w:w="0" w:type="dxa"/>
          <w:right w:w="10" w:type="dxa"/>
        </w:tblCellMar>
      </w:tblPr>
      <w:tblGrid>
        <w:gridCol w:w="1064"/>
        <w:gridCol w:w="2566"/>
        <w:gridCol w:w="1417"/>
        <w:gridCol w:w="2410"/>
        <w:gridCol w:w="1015"/>
      </w:tblGrid>
      <w:tr w14:paraId="0A3260E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0" w:hRule="atLeast"/>
          <w:jc w:val="center"/>
        </w:trPr>
        <w:tc>
          <w:tcPr>
            <w:tcW w:w="628" w:type="pct"/>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76C3352">
            <w:pPr>
              <w:widowControl/>
              <w:spacing w:line="276" w:lineRule="auto"/>
              <w:contextualSpacing/>
              <w:jc w:val="center"/>
              <w:rPr>
                <w:rFonts w:ascii="仿宋" w:hAnsi="仿宋" w:eastAsia="仿宋"/>
                <w:b/>
                <w:color w:val="auto"/>
                <w:szCs w:val="21"/>
              </w:rPr>
            </w:pPr>
            <w:r>
              <w:rPr>
                <w:rFonts w:hint="eastAsia" w:ascii="仿宋" w:hAnsi="仿宋" w:eastAsia="仿宋"/>
                <w:b/>
                <w:color w:val="auto"/>
                <w:kern w:val="0"/>
                <w:szCs w:val="21"/>
                <w:lang w:val="zh-TW" w:eastAsia="zh-TW"/>
              </w:rPr>
              <w:t>序号</w:t>
            </w:r>
          </w:p>
        </w:tc>
        <w:tc>
          <w:tcPr>
            <w:tcW w:w="1514" w:type="pct"/>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CF98024">
            <w:pPr>
              <w:widowControl/>
              <w:spacing w:line="276" w:lineRule="auto"/>
              <w:contextualSpacing/>
              <w:jc w:val="center"/>
              <w:rPr>
                <w:rFonts w:ascii="仿宋" w:hAnsi="仿宋" w:eastAsia="仿宋"/>
                <w:b/>
                <w:color w:val="auto"/>
                <w:szCs w:val="21"/>
              </w:rPr>
            </w:pPr>
            <w:r>
              <w:rPr>
                <w:rFonts w:hint="eastAsia" w:ascii="仿宋" w:hAnsi="仿宋" w:eastAsia="仿宋"/>
                <w:b/>
                <w:bCs/>
                <w:color w:val="auto"/>
                <w:kern w:val="0"/>
                <w:szCs w:val="21"/>
                <w:lang w:val="zh-TW" w:eastAsia="zh-TW"/>
              </w:rPr>
              <w:t>测试化验加工内容</w:t>
            </w:r>
          </w:p>
        </w:tc>
        <w:tc>
          <w:tcPr>
            <w:tcW w:w="836" w:type="pct"/>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6AB5DD7C">
            <w:pPr>
              <w:widowControl/>
              <w:spacing w:line="276" w:lineRule="auto"/>
              <w:contextualSpacing/>
              <w:jc w:val="center"/>
              <w:rPr>
                <w:rFonts w:ascii="仿宋" w:hAnsi="仿宋" w:eastAsia="仿宋"/>
                <w:b/>
                <w:color w:val="auto"/>
                <w:szCs w:val="21"/>
              </w:rPr>
            </w:pPr>
            <w:r>
              <w:rPr>
                <w:rFonts w:hint="eastAsia" w:ascii="仿宋" w:hAnsi="仿宋" w:eastAsia="仿宋"/>
                <w:b/>
                <w:color w:val="auto"/>
                <w:kern w:val="0"/>
                <w:szCs w:val="21"/>
                <w:lang w:val="zh-TW" w:eastAsia="zh-TW"/>
              </w:rPr>
              <w:t>计量单位</w:t>
            </w:r>
          </w:p>
        </w:tc>
        <w:tc>
          <w:tcPr>
            <w:tcW w:w="1422" w:type="pct"/>
            <w:tcBorders>
              <w:top w:val="single" w:color="000000" w:sz="4" w:space="0"/>
              <w:left w:val="single" w:color="000000" w:sz="4" w:space="0"/>
              <w:bottom w:val="single" w:color="000000" w:sz="4" w:space="0"/>
              <w:right w:val="single" w:color="000000" w:sz="4" w:space="0"/>
            </w:tcBorders>
            <w:vAlign w:val="center"/>
          </w:tcPr>
          <w:p w14:paraId="5DFEDA47">
            <w:pPr>
              <w:widowControl/>
              <w:spacing w:line="276" w:lineRule="auto"/>
              <w:ind w:firstLine="211" w:firstLineChars="100"/>
              <w:contextualSpacing/>
              <w:jc w:val="center"/>
              <w:rPr>
                <w:rFonts w:ascii="仿宋" w:hAnsi="仿宋" w:eastAsia="仿宋"/>
                <w:b/>
                <w:color w:val="auto"/>
                <w:kern w:val="0"/>
                <w:szCs w:val="21"/>
                <w:lang w:val="zh-TW" w:eastAsia="zh-TW"/>
              </w:rPr>
            </w:pPr>
            <w:r>
              <w:rPr>
                <w:rFonts w:hint="eastAsia" w:ascii="仿宋" w:hAnsi="仿宋" w:eastAsia="仿宋"/>
                <w:b/>
                <w:color w:val="auto"/>
                <w:kern w:val="0"/>
                <w:szCs w:val="21"/>
                <w:lang w:val="zh-TW"/>
              </w:rPr>
              <w:t>单价</w:t>
            </w:r>
            <w:r>
              <w:rPr>
                <w:rFonts w:hint="eastAsia" w:ascii="仿宋" w:hAnsi="仿宋" w:eastAsia="仿宋" w:cs="宋体"/>
                <w:b/>
                <w:color w:val="auto"/>
                <w:kern w:val="0"/>
                <w:szCs w:val="21"/>
              </w:rPr>
              <w:t>限价（人民币元）</w:t>
            </w:r>
          </w:p>
        </w:tc>
        <w:tc>
          <w:tcPr>
            <w:tcW w:w="599" w:type="pct"/>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1508B5C7">
            <w:pPr>
              <w:widowControl/>
              <w:spacing w:line="276" w:lineRule="auto"/>
              <w:contextualSpacing/>
              <w:jc w:val="center"/>
              <w:rPr>
                <w:rFonts w:ascii="仿宋" w:hAnsi="仿宋" w:eastAsia="仿宋"/>
                <w:b/>
                <w:color w:val="auto"/>
                <w:szCs w:val="21"/>
              </w:rPr>
            </w:pPr>
            <w:r>
              <w:rPr>
                <w:rFonts w:hint="eastAsia" w:ascii="仿宋" w:hAnsi="仿宋" w:eastAsia="仿宋"/>
                <w:b/>
                <w:color w:val="auto"/>
                <w:kern w:val="0"/>
                <w:szCs w:val="21"/>
                <w:lang w:val="zh-TW" w:eastAsia="zh-TW"/>
              </w:rPr>
              <w:t>数量</w:t>
            </w:r>
          </w:p>
        </w:tc>
      </w:tr>
      <w:tr w14:paraId="7B11D4E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128" w:hRule="atLeast"/>
          <w:jc w:val="center"/>
        </w:trPr>
        <w:tc>
          <w:tcPr>
            <w:tcW w:w="628" w:type="pct"/>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9BCF81A">
            <w:pPr>
              <w:widowControl/>
              <w:spacing w:line="276" w:lineRule="auto"/>
              <w:contextualSpacing/>
              <w:jc w:val="center"/>
              <w:rPr>
                <w:rFonts w:ascii="仿宋" w:hAnsi="仿宋" w:eastAsia="仿宋"/>
                <w:color w:val="auto"/>
                <w:szCs w:val="21"/>
              </w:rPr>
            </w:pPr>
            <w:r>
              <w:rPr>
                <w:rFonts w:hint="eastAsia" w:ascii="仿宋" w:hAnsi="仿宋" w:eastAsia="仿宋"/>
                <w:color w:val="auto"/>
                <w:kern w:val="0"/>
                <w:szCs w:val="21"/>
              </w:rPr>
              <w:t>1</w:t>
            </w:r>
          </w:p>
        </w:tc>
        <w:tc>
          <w:tcPr>
            <w:tcW w:w="1514" w:type="pct"/>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FDADC36">
            <w:pPr>
              <w:widowControl/>
              <w:spacing w:line="276" w:lineRule="auto"/>
              <w:contextualSpacing/>
              <w:jc w:val="center"/>
              <w:rPr>
                <w:rFonts w:ascii="仿宋" w:hAnsi="仿宋" w:eastAsia="仿宋" w:cs="宋体"/>
                <w:color w:val="auto"/>
                <w:kern w:val="0"/>
                <w:szCs w:val="21"/>
                <w:lang w:val="zh-TW" w:eastAsia="zh-TW"/>
              </w:rPr>
            </w:pPr>
            <w:r>
              <w:rPr>
                <w:rFonts w:hint="eastAsia" w:ascii="仿宋" w:hAnsi="仿宋" w:eastAsia="仿宋" w:cs="宋体"/>
                <w:color w:val="auto"/>
                <w:kern w:val="0"/>
                <w:szCs w:val="21"/>
                <w:lang w:val="zh-TW"/>
              </w:rPr>
              <w:t>肌醇含量测定</w:t>
            </w:r>
          </w:p>
        </w:tc>
        <w:tc>
          <w:tcPr>
            <w:tcW w:w="836" w:type="pct"/>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6A3EF462">
            <w:pPr>
              <w:widowControl/>
              <w:spacing w:line="276" w:lineRule="auto"/>
              <w:contextualSpacing/>
              <w:jc w:val="center"/>
              <w:rPr>
                <w:rFonts w:ascii="仿宋" w:hAnsi="仿宋" w:eastAsia="仿宋"/>
                <w:color w:val="auto"/>
                <w:szCs w:val="21"/>
              </w:rPr>
            </w:pPr>
            <w:r>
              <w:rPr>
                <w:rFonts w:hint="eastAsia" w:ascii="仿宋" w:hAnsi="仿宋" w:eastAsia="仿宋"/>
                <w:color w:val="auto"/>
                <w:szCs w:val="21"/>
              </w:rPr>
              <w:t>样本</w:t>
            </w:r>
          </w:p>
        </w:tc>
        <w:tc>
          <w:tcPr>
            <w:tcW w:w="1422" w:type="pct"/>
            <w:tcBorders>
              <w:top w:val="single" w:color="000000" w:sz="4" w:space="0"/>
              <w:left w:val="single" w:color="000000" w:sz="4" w:space="0"/>
              <w:bottom w:val="single" w:color="000000" w:sz="4" w:space="0"/>
              <w:right w:val="single" w:color="000000" w:sz="4" w:space="0"/>
            </w:tcBorders>
            <w:vAlign w:val="center"/>
          </w:tcPr>
          <w:p w14:paraId="0C323B9B">
            <w:pPr>
              <w:widowControl/>
              <w:spacing w:line="276" w:lineRule="auto"/>
              <w:contextualSpacing/>
              <w:jc w:val="center"/>
              <w:rPr>
                <w:rFonts w:ascii="仿宋" w:hAnsi="仿宋" w:eastAsia="仿宋"/>
                <w:color w:val="auto"/>
                <w:kern w:val="0"/>
                <w:szCs w:val="21"/>
              </w:rPr>
            </w:pPr>
            <w:r>
              <w:rPr>
                <w:rFonts w:hint="eastAsia" w:ascii="仿宋" w:hAnsi="仿宋" w:eastAsia="仿宋" w:cs="宋体"/>
                <w:color w:val="auto"/>
                <w:kern w:val="0"/>
                <w:szCs w:val="21"/>
              </w:rPr>
              <w:t>600</w:t>
            </w:r>
          </w:p>
        </w:tc>
        <w:tc>
          <w:tcPr>
            <w:tcW w:w="599" w:type="pct"/>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E256147">
            <w:pPr>
              <w:widowControl/>
              <w:spacing w:line="276" w:lineRule="auto"/>
              <w:contextualSpacing/>
              <w:jc w:val="center"/>
              <w:rPr>
                <w:rFonts w:ascii="仿宋" w:hAnsi="仿宋" w:eastAsia="仿宋"/>
                <w:color w:val="auto"/>
                <w:szCs w:val="21"/>
              </w:rPr>
            </w:pPr>
            <w:r>
              <w:rPr>
                <w:rFonts w:hint="eastAsia" w:ascii="仿宋" w:hAnsi="仿宋" w:eastAsia="仿宋"/>
                <w:color w:val="auto"/>
                <w:szCs w:val="21"/>
              </w:rPr>
              <w:t>50</w:t>
            </w:r>
          </w:p>
        </w:tc>
      </w:tr>
    </w:tbl>
    <w:p w14:paraId="24FE6A7A">
      <w:pPr>
        <w:spacing w:line="360" w:lineRule="auto"/>
        <w:contextualSpacing/>
        <w:rPr>
          <w:rFonts w:ascii="仿宋" w:hAnsi="仿宋" w:eastAsia="仿宋" w:cs="仿宋"/>
          <w:b/>
          <w:bCs/>
          <w:color w:val="auto"/>
          <w:szCs w:val="21"/>
        </w:rPr>
      </w:pPr>
      <w:r>
        <w:rPr>
          <w:rFonts w:hint="eastAsia" w:ascii="仿宋" w:hAnsi="仿宋" w:eastAsia="仿宋" w:cs="仿宋"/>
          <w:b/>
          <w:bCs/>
          <w:color w:val="auto"/>
          <w:szCs w:val="21"/>
        </w:rPr>
        <w:t>注：1）投标人所报委托服务明细单价不能超过上述单价限价，否则按废标处理。</w:t>
      </w:r>
    </w:p>
    <w:p w14:paraId="37A868B0">
      <w:pPr>
        <w:pStyle w:val="6"/>
        <w:spacing w:line="360" w:lineRule="auto"/>
        <w:ind w:firstLine="482"/>
        <w:contextualSpacing/>
        <w:rPr>
          <w:rFonts w:ascii="仿宋" w:hAnsi="仿宋" w:eastAsia="仿宋"/>
          <w:b/>
          <w:color w:val="auto"/>
          <w:sz w:val="18"/>
        </w:rPr>
      </w:pPr>
      <w:r>
        <w:rPr>
          <w:rFonts w:hint="eastAsia" w:ascii="仿宋" w:hAnsi="仿宋" w:eastAsia="仿宋" w:cs="仿宋"/>
          <w:b/>
          <w:bCs/>
          <w:color w:val="auto"/>
          <w:sz w:val="21"/>
          <w:szCs w:val="21"/>
        </w:rPr>
        <w:t>2）投标人所报数量不能低于上述委托服务中列明的数量，否则按废标处理。</w:t>
      </w:r>
    </w:p>
    <w:p w14:paraId="46A6BA07">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（二）商务要求</w:t>
      </w:r>
    </w:p>
    <w:p w14:paraId="620E4010">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1.合同签订后根据用户具体需求分批次把样品交付给投标人，收到样品后按照合同要求时间交付相应结果。</w:t>
      </w:r>
    </w:p>
    <w:p w14:paraId="57BC9BD3">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2.结果 (含检测序列)遵照生物安全和信息保密相关规定按采购人要求发往指定服务地点。</w:t>
      </w:r>
    </w:p>
    <w:p w14:paraId="79B2CAB6">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3.采购人有权要求投标人提供本服务检测过程中的任何相关数据。</w:t>
      </w:r>
    </w:p>
    <w:p w14:paraId="5B1798E2">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4.售后服务：售后服务专人跟进，可建立微信群方便采购人随时联系。</w:t>
      </w:r>
    </w:p>
    <w:p w14:paraId="3350FE2E">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5.技术履约验收内容：采购人按照国家有关规定以及招标文件的要求、投标人的投标文件及承诺与本项目合同约定标准进行验收。</w:t>
      </w:r>
    </w:p>
    <w:p w14:paraId="4533E9A7">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6.投标人需配备项目团队，团队成员均具备相关工作经验且管理与实施需分工明确。项目管理人才团队具有≥2名高级职称人员。</w:t>
      </w:r>
    </w:p>
    <w:p w14:paraId="2E636C58">
      <w:pPr>
        <w:pStyle w:val="6"/>
        <w:spacing w:line="360" w:lineRule="auto"/>
        <w:ind w:firstLine="482"/>
        <w:contextualSpacing/>
        <w:rPr>
          <w:rFonts w:ascii="仿宋" w:hAnsi="仿宋" w:eastAsia="仿宋"/>
          <w:color w:val="auto"/>
          <w:sz w:val="21"/>
        </w:rPr>
      </w:pPr>
      <w:bookmarkStart w:id="44" w:name="OLE_LINK265"/>
      <w:r>
        <w:rPr>
          <w:rFonts w:hint="eastAsia" w:ascii="仿宋" w:hAnsi="仿宋" w:eastAsia="仿宋"/>
          <w:color w:val="auto"/>
          <w:sz w:val="21"/>
        </w:rPr>
        <w:t>7.投标人应建立完善的数据安全和保密管理制度，对采购人提供的样本信息、检测数据、研究成果等承担保密义务。未经采购人书面同意，不得将任何数据资料用于本项目以外的用途。项目完成后，应按采购人要求返还或销毁相关数据。</w:t>
      </w:r>
    </w:p>
    <w:p w14:paraId="37402BBC">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8.本项目产生的检测数据、分析结果及相关研究成果的知识产权归采购人所有。</w:t>
      </w:r>
    </w:p>
    <w:p w14:paraId="553A6939">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9.投标人应建立样品接收、登记、储存、处理、销毁的全流程管理制度，确保样品可追溯、可核查。</w:t>
      </w:r>
      <w:bookmarkEnd w:id="44"/>
      <w:r>
        <w:rPr>
          <w:rFonts w:hint="eastAsia" w:ascii="仿宋" w:hAnsi="仿宋" w:eastAsia="仿宋"/>
          <w:color w:val="auto"/>
          <w:sz w:val="21"/>
        </w:rPr>
        <w:t>需安排专人上门接收样品，并提供取样人员名单及联系方式。</w:t>
      </w:r>
    </w:p>
    <w:p w14:paraId="7309339E">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（三）技术要求</w:t>
      </w:r>
    </w:p>
    <w:p w14:paraId="79725AAE">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1、采用GC-MS衍生化法测定总肌醇含量。</w:t>
      </w:r>
    </w:p>
    <w:p w14:paraId="60A285EA">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2、检测结果以对应计量单位表示，定量相对误差≤10%。</w:t>
      </w:r>
    </w:p>
    <w:p w14:paraId="053B899F">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3、特征离子/定量例子响应匹配度达到100%，检出限、精密度、回收率等指标符合《食品安全国家标准 实验室质量控制规范 食品理化检测》（GB/T 27404-2026）相关要求。</w:t>
      </w:r>
    </w:p>
    <w:p w14:paraId="35C0B599">
      <w:pPr>
        <w:pStyle w:val="6"/>
        <w:spacing w:line="360" w:lineRule="auto"/>
        <w:ind w:firstLine="482"/>
        <w:contextualSpacing/>
        <w:rPr>
          <w:rFonts w:ascii="仿宋" w:hAnsi="仿宋" w:eastAsia="仿宋"/>
          <w:color w:val="auto"/>
        </w:rPr>
      </w:pPr>
    </w:p>
    <w:p w14:paraId="597518A0">
      <w:pPr>
        <w:pStyle w:val="6"/>
        <w:spacing w:line="360" w:lineRule="auto"/>
        <w:ind w:firstLine="482"/>
        <w:contextualSpacing/>
        <w:jc w:val="center"/>
        <w:rPr>
          <w:rFonts w:ascii="仿宋" w:hAnsi="仿宋" w:eastAsia="仿宋"/>
          <w:b/>
          <w:color w:val="auto"/>
        </w:rPr>
      </w:pPr>
      <w:r>
        <w:rPr>
          <w:rFonts w:ascii="仿宋" w:hAnsi="仿宋" w:eastAsia="仿宋"/>
          <w:b/>
          <w:color w:val="auto"/>
        </w:rPr>
        <w:t>第</w:t>
      </w:r>
      <w:r>
        <w:rPr>
          <w:rFonts w:hint="eastAsia" w:ascii="仿宋" w:hAnsi="仿宋" w:eastAsia="仿宋"/>
          <w:b/>
          <w:color w:val="auto"/>
        </w:rPr>
        <w:t>6包 测试化验加工委托服务6</w:t>
      </w:r>
    </w:p>
    <w:p w14:paraId="581B3B87">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（一）商务要求</w:t>
      </w:r>
    </w:p>
    <w:p w14:paraId="526735E8">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1.交付周期：样本数量为160例，多巴胺、谷氨酸两项指标检测完成周期为40个工作日，期满交付全部检测结果。</w:t>
      </w:r>
    </w:p>
    <w:p w14:paraId="5C8BEA6F">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2.质量保障：自检测数据验收无误当日起启动质保服务，质保一年。</w:t>
      </w:r>
    </w:p>
    <w:p w14:paraId="7EAD8667">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w:t>
      </w:r>
      <w:bookmarkStart w:id="45" w:name="OLE_LINK9"/>
      <w:r>
        <w:rPr>
          <w:rFonts w:hint="eastAsia" w:ascii="仿宋" w:hAnsi="仿宋" w:eastAsia="仿宋"/>
          <w:color w:val="auto"/>
          <w:sz w:val="21"/>
        </w:rPr>
        <w:t xml:space="preserve">数据管理：原始数据留存1年，支持移动硬盘、云盘传输，严格保密所有检测数据。 </w:t>
      </w:r>
      <w:bookmarkEnd w:id="45"/>
    </w:p>
    <w:p w14:paraId="620A14B4">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 xml:space="preserve">4.样本保存期限：项目结题或终止后，投标人免费留存样本6个月，全程依据实验室管理规范妥善储存、管理所有样本。 </w:t>
      </w:r>
    </w:p>
    <w:p w14:paraId="3989F8BA">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5.售后服务：配备专职售后技术团队，提供持续性长效服务保障。项目结题后，采购人如有项目报告解读、数据结果分析方面的问题，可通过电话、邮件发起咨询，投标人接报后应立刻配合答疑、协助处置相关问题。</w:t>
      </w:r>
    </w:p>
    <w:p w14:paraId="7D17BF93">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6.技术支持：免费即时提供课题设计、数据解读、结果验证等全套技术支撑。</w:t>
      </w:r>
    </w:p>
    <w:p w14:paraId="131D5999">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 xml:space="preserve">7.交付及验收： </w:t>
      </w:r>
    </w:p>
    <w:p w14:paraId="68030B56">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7.1交付物：项目结题报告、原始数据和标准曲线。</w:t>
      </w:r>
    </w:p>
    <w:p w14:paraId="492B666B">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7.2验收流程：投标人邮件或者云盘发送结题报告和数据结果，采购人按合同标准验收；投标人配齐验收材料并保证内容真实。</w:t>
      </w:r>
    </w:p>
    <w:p w14:paraId="7F4BAFC0">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8.投标人应建立完善的数据安全和保密管理制度，对采购人提供的样本信息、检测数据、研究成果等承担保密义务。未经采购人书面同意，不得将任何数据资料用于本项目以外的用途。项目完成后，应按采购人要求返还或销毁相关数据。</w:t>
      </w:r>
    </w:p>
    <w:p w14:paraId="15A24A6B">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9.本项目产生的检测数据、分析结果及相关研究成果的知识产权归采购人所有。</w:t>
      </w:r>
    </w:p>
    <w:p w14:paraId="69A9966E">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10.投标人应建立样品接收、登记、储存、处理、销毁的全流程管理制度，确保样品可追溯、可核查。</w:t>
      </w:r>
      <w:bookmarkStart w:id="46" w:name="OLE_LINK126"/>
      <w:bookmarkStart w:id="47" w:name="OLE_LINK123"/>
      <w:r>
        <w:rPr>
          <w:rFonts w:hint="eastAsia" w:ascii="仿宋" w:hAnsi="仿宋" w:eastAsia="仿宋"/>
          <w:color w:val="auto"/>
          <w:sz w:val="21"/>
        </w:rPr>
        <w:t>需安排专人上门接收样品，并提供取样人员名单及联系方式。</w:t>
      </w:r>
      <w:bookmarkEnd w:id="46"/>
      <w:bookmarkEnd w:id="47"/>
    </w:p>
    <w:p w14:paraId="2104F2BC">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（二）技术要求</w:t>
      </w:r>
    </w:p>
    <w:p w14:paraId="2FE7EE8A">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1、检测平台</w:t>
      </w:r>
    </w:p>
    <w:p w14:paraId="6FB6FEA5">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1.1、检测样本：EDTA抗凝血浆；</w:t>
      </w:r>
    </w:p>
    <w:p w14:paraId="5A53E9F7">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1.2、检测设备：超高效液相色谱</w:t>
      </w:r>
      <w:r>
        <w:rPr>
          <w:rFonts w:ascii="仿宋" w:hAnsi="仿宋" w:eastAsia="仿宋"/>
          <w:color w:val="auto"/>
          <w:sz w:val="21"/>
        </w:rPr>
        <w:t>-</w:t>
      </w:r>
      <w:r>
        <w:rPr>
          <w:rFonts w:hint="eastAsia" w:ascii="仿宋" w:hAnsi="仿宋" w:eastAsia="仿宋"/>
          <w:color w:val="auto"/>
          <w:sz w:val="21"/>
        </w:rPr>
        <w:t>串联质谱仪（</w:t>
      </w:r>
      <w:r>
        <w:rPr>
          <w:rFonts w:ascii="仿宋" w:hAnsi="仿宋" w:eastAsia="仿宋"/>
          <w:color w:val="auto"/>
          <w:sz w:val="21"/>
        </w:rPr>
        <w:t>UPLC</w:t>
      </w:r>
      <w:r>
        <w:rPr>
          <w:rFonts w:hint="eastAsia" w:ascii="MS Gothic" w:hAnsi="MS Gothic" w:eastAsia="MS Gothic" w:cs="MS Gothic"/>
          <w:color w:val="auto"/>
          <w:sz w:val="21"/>
        </w:rPr>
        <w:t>‑</w:t>
      </w:r>
      <w:r>
        <w:rPr>
          <w:rFonts w:ascii="仿宋" w:hAnsi="仿宋" w:eastAsia="仿宋"/>
          <w:color w:val="auto"/>
          <w:sz w:val="21"/>
        </w:rPr>
        <w:t>MS/MS</w:t>
      </w:r>
      <w:r>
        <w:rPr>
          <w:rFonts w:hint="eastAsia" w:ascii="仿宋" w:hAnsi="仿宋" w:eastAsia="仿宋"/>
          <w:color w:val="auto"/>
          <w:sz w:val="21"/>
        </w:rPr>
        <w:t>）；</w:t>
      </w:r>
    </w:p>
    <w:p w14:paraId="60438378">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1.3、样本前处理：低温离心分离血浆，无溶血、无脂血；分装后 -80℃避光冻存，杜绝反复冻融；多巴胺全程低温避光操作防止氧化降解。</w:t>
      </w:r>
    </w:p>
    <w:p w14:paraId="19176B29">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2、多巴胺和谷氨酸性能指标</w:t>
      </w:r>
    </w:p>
    <w:p w14:paraId="3276D232">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2.1</w:t>
      </w:r>
      <w:bookmarkStart w:id="48" w:name="OLE_LINK10"/>
      <w:r>
        <w:rPr>
          <w:rFonts w:hint="eastAsia" w:ascii="仿宋" w:hAnsi="仿宋" w:eastAsia="仿宋"/>
          <w:color w:val="auto"/>
          <w:sz w:val="21"/>
        </w:rPr>
        <w:t>、多巴胺</w:t>
      </w:r>
      <w:bookmarkEnd w:id="48"/>
      <w:r>
        <w:rPr>
          <w:rFonts w:hint="eastAsia" w:ascii="仿宋" w:hAnsi="仿宋" w:eastAsia="仿宋"/>
          <w:color w:val="auto"/>
          <w:sz w:val="21"/>
        </w:rPr>
        <w:t xml:space="preserve">（DA） </w:t>
      </w:r>
    </w:p>
    <w:p w14:paraId="136A9AE3">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2.1.1、定量线性范围：0.5 pg/mL～500 pg/mL；</w:t>
      </w:r>
    </w:p>
    <w:p w14:paraId="7BC4BE51">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2.1.2、检出限 LOD：≤0.1 pg/mL，定量限 LOQ：≤0.5 pg/mL；</w:t>
      </w:r>
    </w:p>
    <w:p w14:paraId="45C6310C">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2.1.3、精密度：批内 CV≤20%，批间 CV≤20%；</w:t>
      </w:r>
    </w:p>
    <w:p w14:paraId="5F546A5B">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2.2</w:t>
      </w:r>
      <w:bookmarkStart w:id="49" w:name="OLE_LINK11"/>
      <w:r>
        <w:rPr>
          <w:rFonts w:hint="eastAsia" w:ascii="仿宋" w:hAnsi="仿宋" w:eastAsia="仿宋"/>
          <w:color w:val="auto"/>
          <w:sz w:val="21"/>
        </w:rPr>
        <w:t>、谷氨酸</w:t>
      </w:r>
      <w:bookmarkEnd w:id="49"/>
      <w:r>
        <w:rPr>
          <w:rFonts w:hint="eastAsia" w:ascii="仿宋" w:hAnsi="仿宋" w:eastAsia="仿宋"/>
          <w:color w:val="auto"/>
          <w:sz w:val="21"/>
        </w:rPr>
        <w:t xml:space="preserve">（Glu） </w:t>
      </w:r>
    </w:p>
    <w:p w14:paraId="44810C76">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2.2.1、定量线性范围：5μmol/L～800μmol/L；</w:t>
      </w:r>
    </w:p>
    <w:p w14:paraId="25C7D7D2">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2.2.2、检出限 LOD：≤0.5μmol/L，定量限 LOQ：≤1μmol/L；</w:t>
      </w:r>
    </w:p>
    <w:p w14:paraId="7EAF5BAB">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2.2.3、精密度：批内 CV≤20%，批间 CV≤20%；</w:t>
      </w:r>
    </w:p>
    <w:p w14:paraId="285C9ACB">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2.2.4、多巴胺和谷氨酸均需设置稳定同位素内标校正。</w:t>
      </w:r>
    </w:p>
    <w:p w14:paraId="03AB3857">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3、色谱质谱关键参数</w:t>
      </w:r>
    </w:p>
    <w:p w14:paraId="5A9D05DF">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3.1、色谱柱：可以实现待测物色谱峰有效分离，基线噪声低；作为UPLC色谱柱可以承受较高压力。柱长100 mm，粒径1.8μm；</w:t>
      </w:r>
    </w:p>
    <w:p w14:paraId="54F7128E">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3.2、流速：0.25 mL/min，柱温 40℃，样品仓 4℃；</w:t>
      </w:r>
    </w:p>
    <w:p w14:paraId="258FA38F">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3.3、离子模式：ESI 正离子模式，MRM 多反应监测采集；</w:t>
      </w:r>
    </w:p>
    <w:p w14:paraId="128273DA">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3.4、洗脱方式：梯度洗脱，一针同步检测多巴胺和谷氨酸双指标。</w:t>
      </w:r>
    </w:p>
    <w:p w14:paraId="31A32FF0">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4、交付与质控标准</w:t>
      </w:r>
    </w:p>
    <w:p w14:paraId="5C72D770">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4.1、交付周期：40个工作日出具全套检测结果；</w:t>
      </w:r>
    </w:p>
    <w:p w14:paraId="3CBFC7F1">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4.2、质控体系：每批次设置低、中、高3个浓度质控样本，质控结果合格后方可出具报告；</w:t>
      </w:r>
    </w:p>
    <w:p w14:paraId="246643BE">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4.3、原始数据保存：原始质谱、色谱数据完整存储1年，可通过移动硬盘、云盘两种方式传输交付；</w:t>
      </w:r>
    </w:p>
    <w:p w14:paraId="024185AD">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4.5、保密要求：对所有受试者样本信息、检测数值、实验数据承担全程保密义务。</w:t>
      </w:r>
    </w:p>
    <w:p w14:paraId="26B1F36C">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5、配套技术服务</w:t>
      </w:r>
    </w:p>
    <w:p w14:paraId="13D44B35">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5.1、免费技术支持：课题方案设计、数据图谱解读、结果验证答疑；</w:t>
      </w:r>
    </w:p>
    <w:p w14:paraId="5255F9FC">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5.2、样本保管：项目结题或终止后，免费代为留存样本半年，严格遵循实验室冷链储存规范管理；</w:t>
      </w:r>
    </w:p>
    <w:p w14:paraId="55E0E44C">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5.3、质保服务：自采购人验收数据合格之日起提供质保服务，质保一年。</w:t>
      </w:r>
    </w:p>
    <w:p w14:paraId="27C78EAC">
      <w:pPr>
        <w:pStyle w:val="6"/>
        <w:spacing w:line="360" w:lineRule="auto"/>
        <w:ind w:firstLine="482"/>
        <w:contextualSpacing/>
        <w:rPr>
          <w:rFonts w:ascii="仿宋" w:hAnsi="仿宋" w:eastAsia="仿宋"/>
          <w:b/>
          <w:color w:val="auto"/>
        </w:rPr>
      </w:pPr>
    </w:p>
    <w:p w14:paraId="059AEABC">
      <w:pPr>
        <w:pStyle w:val="6"/>
        <w:spacing w:line="360" w:lineRule="auto"/>
        <w:ind w:firstLine="482"/>
        <w:contextualSpacing/>
        <w:jc w:val="center"/>
        <w:rPr>
          <w:rFonts w:ascii="仿宋" w:hAnsi="仿宋" w:eastAsia="仿宋"/>
          <w:b/>
          <w:color w:val="auto"/>
        </w:rPr>
      </w:pPr>
      <w:r>
        <w:rPr>
          <w:rFonts w:ascii="仿宋" w:hAnsi="仿宋" w:eastAsia="仿宋"/>
          <w:b/>
          <w:color w:val="auto"/>
        </w:rPr>
        <w:t>第</w:t>
      </w:r>
      <w:r>
        <w:rPr>
          <w:rFonts w:hint="eastAsia" w:ascii="仿宋" w:hAnsi="仿宋" w:eastAsia="仿宋"/>
          <w:b/>
          <w:color w:val="auto"/>
        </w:rPr>
        <w:t>7包 测试化验加工委托服务7</w:t>
      </w:r>
    </w:p>
    <w:p w14:paraId="0F2FEB8C">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（一）委托服务</w:t>
      </w:r>
    </w:p>
    <w:tbl>
      <w:tblPr>
        <w:tblStyle w:val="43"/>
        <w:tblW w:w="5042" w:type="pct"/>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Layout w:type="autofit"/>
        <w:tblCellMar>
          <w:top w:w="0" w:type="dxa"/>
          <w:left w:w="10" w:type="dxa"/>
          <w:bottom w:w="0" w:type="dxa"/>
          <w:right w:w="10" w:type="dxa"/>
        </w:tblCellMar>
      </w:tblPr>
      <w:tblGrid>
        <w:gridCol w:w="854"/>
        <w:gridCol w:w="3340"/>
        <w:gridCol w:w="1767"/>
        <w:gridCol w:w="2512"/>
      </w:tblGrid>
      <w:tr w14:paraId="5783FA8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CellMar>
            <w:top w:w="0" w:type="dxa"/>
            <w:left w:w="10" w:type="dxa"/>
            <w:bottom w:w="0" w:type="dxa"/>
            <w:right w:w="10" w:type="dxa"/>
          </w:tblCellMar>
        </w:tblPrEx>
        <w:trPr>
          <w:trHeight w:val="2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8C56A88">
            <w:pPr>
              <w:widowControl/>
              <w:spacing w:line="276" w:lineRule="auto"/>
              <w:jc w:val="center"/>
              <w:rPr>
                <w:rFonts w:ascii="仿宋" w:hAnsi="仿宋" w:eastAsia="仿宋" w:cs="宋体"/>
                <w:b/>
                <w:color w:val="auto"/>
                <w:szCs w:val="21"/>
              </w:rPr>
            </w:pPr>
            <w:r>
              <w:rPr>
                <w:rFonts w:hint="eastAsia" w:ascii="仿宋" w:hAnsi="仿宋" w:eastAsia="仿宋" w:cs="宋体"/>
                <w:b/>
                <w:color w:val="auto"/>
                <w:kern w:val="0"/>
                <w:szCs w:val="21"/>
                <w:lang w:val="zh-TW" w:eastAsia="zh-TW"/>
              </w:rPr>
              <w:t>序号</w:t>
            </w:r>
          </w:p>
        </w:tc>
        <w:tc>
          <w:tcPr>
            <w:tcW w:w="1971"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894ABDD">
            <w:pPr>
              <w:widowControl/>
              <w:spacing w:line="276" w:lineRule="auto"/>
              <w:jc w:val="center"/>
              <w:rPr>
                <w:rFonts w:ascii="仿宋" w:hAnsi="仿宋" w:eastAsia="仿宋" w:cs="宋体"/>
                <w:b/>
                <w:color w:val="auto"/>
                <w:szCs w:val="21"/>
              </w:rPr>
            </w:pPr>
            <w:r>
              <w:rPr>
                <w:rFonts w:hint="eastAsia" w:ascii="仿宋" w:hAnsi="仿宋" w:eastAsia="仿宋" w:cs="宋体"/>
                <w:b/>
                <w:bCs/>
                <w:color w:val="auto"/>
                <w:kern w:val="0"/>
                <w:szCs w:val="21"/>
                <w:lang w:val="zh-TW"/>
              </w:rPr>
              <w:t>检验检测项目</w:t>
            </w:r>
          </w:p>
        </w:tc>
        <w:tc>
          <w:tcPr>
            <w:tcW w:w="1043"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6B276CB">
            <w:pPr>
              <w:widowControl/>
              <w:spacing w:line="276" w:lineRule="auto"/>
              <w:jc w:val="center"/>
              <w:rPr>
                <w:rFonts w:ascii="仿宋" w:hAnsi="仿宋" w:eastAsia="仿宋" w:cs="宋体"/>
                <w:b/>
                <w:color w:val="auto"/>
                <w:szCs w:val="21"/>
              </w:rPr>
            </w:pPr>
            <w:r>
              <w:rPr>
                <w:rFonts w:hint="eastAsia" w:ascii="仿宋" w:hAnsi="仿宋" w:eastAsia="仿宋" w:cs="宋体"/>
                <w:b/>
                <w:color w:val="auto"/>
                <w:kern w:val="0"/>
                <w:szCs w:val="21"/>
                <w:lang w:val="zh-TW" w:eastAsia="zh-TW"/>
              </w:rPr>
              <w:t>数量</w:t>
            </w:r>
          </w:p>
        </w:tc>
        <w:tc>
          <w:tcPr>
            <w:tcW w:w="1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51C15">
            <w:pPr>
              <w:widowControl/>
              <w:spacing w:line="276" w:lineRule="auto"/>
              <w:jc w:val="center"/>
              <w:rPr>
                <w:rFonts w:ascii="仿宋" w:hAnsi="仿宋" w:eastAsia="仿宋" w:cs="宋体"/>
                <w:b/>
                <w:color w:val="auto"/>
                <w:kern w:val="0"/>
                <w:szCs w:val="21"/>
                <w:lang w:val="zh-TW"/>
              </w:rPr>
            </w:pPr>
            <w:r>
              <w:rPr>
                <w:rFonts w:hint="eastAsia" w:ascii="仿宋" w:hAnsi="仿宋" w:eastAsia="仿宋" w:cs="宋体"/>
                <w:b/>
                <w:color w:val="auto"/>
                <w:kern w:val="0"/>
                <w:szCs w:val="21"/>
                <w:lang w:val="zh-TW" w:eastAsia="zh-TW"/>
              </w:rPr>
              <w:t>单价限价（人民币元）</w:t>
            </w:r>
          </w:p>
        </w:tc>
      </w:tr>
      <w:tr w14:paraId="24735D7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CellMar>
            <w:top w:w="0" w:type="dxa"/>
            <w:left w:w="10" w:type="dxa"/>
            <w:bottom w:w="0" w:type="dxa"/>
            <w:right w:w="10" w:type="dxa"/>
          </w:tblCellMar>
        </w:tblPrEx>
        <w:trPr>
          <w:trHeight w:val="128"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D2ECA08">
            <w:pPr>
              <w:widowControl/>
              <w:spacing w:line="276" w:lineRule="auto"/>
              <w:jc w:val="center"/>
              <w:rPr>
                <w:rFonts w:ascii="仿宋" w:hAnsi="仿宋" w:eastAsia="仿宋"/>
                <w:color w:val="auto"/>
                <w:szCs w:val="21"/>
              </w:rPr>
            </w:pPr>
            <w:r>
              <w:rPr>
                <w:rFonts w:hint="eastAsia" w:ascii="仿宋" w:hAnsi="仿宋" w:eastAsia="仿宋"/>
                <w:color w:val="auto"/>
                <w:kern w:val="0"/>
                <w:szCs w:val="21"/>
              </w:rPr>
              <w:t>1</w:t>
            </w:r>
          </w:p>
        </w:tc>
        <w:tc>
          <w:tcPr>
            <w:tcW w:w="1971"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7098F91">
            <w:pPr>
              <w:widowControl/>
              <w:spacing w:line="276" w:lineRule="auto"/>
              <w:jc w:val="center"/>
              <w:rPr>
                <w:rFonts w:ascii="仿宋" w:hAnsi="仿宋" w:eastAsia="仿宋"/>
                <w:color w:val="auto"/>
                <w:szCs w:val="21"/>
              </w:rPr>
            </w:pPr>
            <w:r>
              <w:rPr>
                <w:rFonts w:ascii="仿宋" w:hAnsi="仿宋" w:eastAsia="仿宋"/>
                <w:color w:val="auto"/>
                <w:szCs w:val="21"/>
              </w:rPr>
              <w:t>CRP</w:t>
            </w:r>
          </w:p>
        </w:tc>
        <w:tc>
          <w:tcPr>
            <w:tcW w:w="1043"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6264009">
            <w:pPr>
              <w:widowControl/>
              <w:spacing w:line="276" w:lineRule="auto"/>
              <w:jc w:val="center"/>
              <w:rPr>
                <w:rFonts w:ascii="仿宋" w:hAnsi="仿宋" w:eastAsia="仿宋"/>
                <w:color w:val="auto"/>
                <w:szCs w:val="21"/>
              </w:rPr>
            </w:pPr>
            <w:r>
              <w:rPr>
                <w:rFonts w:hint="eastAsia" w:ascii="仿宋" w:hAnsi="仿宋" w:eastAsia="仿宋"/>
                <w:color w:val="auto"/>
                <w:szCs w:val="21"/>
              </w:rPr>
              <w:t>1200项</w:t>
            </w:r>
          </w:p>
        </w:tc>
        <w:tc>
          <w:tcPr>
            <w:tcW w:w="1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D1D5B">
            <w:pPr>
              <w:widowControl/>
              <w:spacing w:line="276" w:lineRule="auto"/>
              <w:jc w:val="center"/>
              <w:rPr>
                <w:rFonts w:ascii="仿宋" w:hAnsi="仿宋" w:eastAsia="仿宋"/>
                <w:color w:val="auto"/>
                <w:szCs w:val="21"/>
              </w:rPr>
            </w:pPr>
            <w:r>
              <w:rPr>
                <w:rFonts w:hint="eastAsia" w:ascii="仿宋" w:hAnsi="仿宋" w:eastAsia="仿宋"/>
                <w:color w:val="auto"/>
                <w:szCs w:val="21"/>
              </w:rPr>
              <w:t>30.00</w:t>
            </w:r>
          </w:p>
        </w:tc>
      </w:tr>
      <w:tr w14:paraId="33BF196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9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8D51037">
            <w:pPr>
              <w:widowControl/>
              <w:spacing w:line="276" w:lineRule="auto"/>
              <w:jc w:val="center"/>
              <w:rPr>
                <w:rFonts w:ascii="仿宋" w:hAnsi="仿宋" w:eastAsia="仿宋"/>
                <w:color w:val="auto"/>
                <w:kern w:val="0"/>
                <w:szCs w:val="21"/>
              </w:rPr>
            </w:pPr>
            <w:r>
              <w:rPr>
                <w:rFonts w:hint="eastAsia" w:ascii="仿宋" w:hAnsi="仿宋" w:eastAsia="仿宋"/>
                <w:color w:val="auto"/>
                <w:kern w:val="0"/>
                <w:szCs w:val="21"/>
              </w:rPr>
              <w:t>2</w:t>
            </w:r>
          </w:p>
        </w:tc>
        <w:tc>
          <w:tcPr>
            <w:tcW w:w="1971"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0DC0F75">
            <w:pPr>
              <w:widowControl/>
              <w:spacing w:line="276" w:lineRule="auto"/>
              <w:jc w:val="center"/>
              <w:rPr>
                <w:rFonts w:ascii="仿宋" w:hAnsi="仿宋" w:eastAsia="仿宋"/>
                <w:color w:val="auto"/>
                <w:szCs w:val="21"/>
              </w:rPr>
            </w:pPr>
            <w:r>
              <w:rPr>
                <w:rFonts w:hint="eastAsia" w:ascii="仿宋" w:hAnsi="仿宋" w:eastAsia="仿宋"/>
                <w:color w:val="auto"/>
                <w:szCs w:val="21"/>
              </w:rPr>
              <w:t>白细胞介素</w:t>
            </w:r>
            <w:r>
              <w:rPr>
                <w:rFonts w:hint="eastAsia" w:ascii="MS Gothic" w:hAnsi="MS Gothic" w:eastAsia="MS Gothic" w:cs="MS Gothic"/>
                <w:color w:val="auto"/>
                <w:szCs w:val="21"/>
              </w:rPr>
              <w:t>‑</w:t>
            </w:r>
            <w:r>
              <w:rPr>
                <w:rFonts w:ascii="仿宋" w:hAnsi="仿宋" w:eastAsia="仿宋"/>
                <w:color w:val="auto"/>
                <w:szCs w:val="21"/>
              </w:rPr>
              <w:t>6</w:t>
            </w:r>
          </w:p>
        </w:tc>
        <w:tc>
          <w:tcPr>
            <w:tcW w:w="1043"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25C8DF8">
            <w:pPr>
              <w:widowControl/>
              <w:spacing w:line="276" w:lineRule="auto"/>
              <w:jc w:val="center"/>
              <w:rPr>
                <w:rFonts w:ascii="仿宋" w:hAnsi="仿宋" w:eastAsia="仿宋"/>
                <w:color w:val="auto"/>
                <w:kern w:val="0"/>
                <w:szCs w:val="21"/>
              </w:rPr>
            </w:pPr>
            <w:r>
              <w:rPr>
                <w:rFonts w:hint="eastAsia" w:ascii="仿宋" w:hAnsi="仿宋" w:eastAsia="仿宋"/>
                <w:color w:val="auto"/>
                <w:szCs w:val="21"/>
              </w:rPr>
              <w:t>1200项</w:t>
            </w:r>
          </w:p>
        </w:tc>
        <w:tc>
          <w:tcPr>
            <w:tcW w:w="1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265CF">
            <w:pPr>
              <w:widowControl/>
              <w:spacing w:line="276" w:lineRule="auto"/>
              <w:jc w:val="center"/>
              <w:rPr>
                <w:rFonts w:ascii="仿宋" w:hAnsi="仿宋" w:eastAsia="仿宋"/>
                <w:color w:val="auto"/>
                <w:szCs w:val="21"/>
              </w:rPr>
            </w:pPr>
            <w:r>
              <w:rPr>
                <w:rFonts w:hint="eastAsia" w:ascii="仿宋" w:hAnsi="仿宋" w:eastAsia="仿宋"/>
                <w:color w:val="auto"/>
                <w:szCs w:val="21"/>
              </w:rPr>
              <w:t>40.00</w:t>
            </w:r>
          </w:p>
        </w:tc>
      </w:tr>
      <w:tr w14:paraId="71253CD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CellMar>
            <w:top w:w="0" w:type="dxa"/>
            <w:left w:w="10" w:type="dxa"/>
            <w:bottom w:w="0" w:type="dxa"/>
            <w:right w:w="10" w:type="dxa"/>
          </w:tblCellMar>
        </w:tblPrEx>
        <w:trPr>
          <w:trHeight w:val="9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02364F6">
            <w:pPr>
              <w:widowControl/>
              <w:spacing w:line="276" w:lineRule="auto"/>
              <w:jc w:val="center"/>
              <w:rPr>
                <w:rFonts w:ascii="仿宋" w:hAnsi="仿宋" w:eastAsia="仿宋"/>
                <w:color w:val="auto"/>
                <w:kern w:val="0"/>
                <w:szCs w:val="21"/>
              </w:rPr>
            </w:pPr>
            <w:r>
              <w:rPr>
                <w:rFonts w:hint="eastAsia" w:ascii="仿宋" w:hAnsi="仿宋" w:eastAsia="仿宋"/>
                <w:color w:val="auto"/>
                <w:kern w:val="0"/>
                <w:szCs w:val="21"/>
              </w:rPr>
              <w:t>3</w:t>
            </w:r>
          </w:p>
        </w:tc>
        <w:tc>
          <w:tcPr>
            <w:tcW w:w="1971"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8E4FA7F">
            <w:pPr>
              <w:widowControl/>
              <w:spacing w:line="276" w:lineRule="auto"/>
              <w:jc w:val="center"/>
              <w:rPr>
                <w:rFonts w:ascii="仿宋" w:hAnsi="仿宋" w:eastAsia="仿宋"/>
                <w:color w:val="auto"/>
                <w:szCs w:val="21"/>
              </w:rPr>
            </w:pPr>
            <w:r>
              <w:rPr>
                <w:rFonts w:hint="eastAsia" w:ascii="仿宋" w:hAnsi="仿宋" w:eastAsia="仿宋"/>
                <w:color w:val="auto"/>
                <w:szCs w:val="21"/>
              </w:rPr>
              <w:t>肿瘤坏死因子</w:t>
            </w:r>
            <w:r>
              <w:rPr>
                <w:rFonts w:hint="eastAsia" w:ascii="MS Gothic" w:hAnsi="MS Gothic" w:eastAsia="MS Gothic" w:cs="MS Gothic"/>
                <w:color w:val="auto"/>
                <w:szCs w:val="21"/>
              </w:rPr>
              <w:t>‑</w:t>
            </w:r>
            <w:r>
              <w:rPr>
                <w:rFonts w:ascii="仿宋" w:hAnsi="仿宋" w:eastAsia="仿宋"/>
                <w:color w:val="auto"/>
                <w:szCs w:val="21"/>
              </w:rPr>
              <w:t>α</w:t>
            </w:r>
          </w:p>
        </w:tc>
        <w:tc>
          <w:tcPr>
            <w:tcW w:w="1043"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36ABEC4">
            <w:pPr>
              <w:widowControl/>
              <w:spacing w:line="276" w:lineRule="auto"/>
              <w:jc w:val="center"/>
              <w:rPr>
                <w:rFonts w:ascii="仿宋" w:hAnsi="仿宋" w:eastAsia="仿宋"/>
                <w:color w:val="auto"/>
                <w:kern w:val="0"/>
                <w:szCs w:val="21"/>
              </w:rPr>
            </w:pPr>
            <w:r>
              <w:rPr>
                <w:rFonts w:hint="eastAsia" w:ascii="仿宋" w:hAnsi="仿宋" w:eastAsia="仿宋"/>
                <w:color w:val="auto"/>
                <w:szCs w:val="21"/>
              </w:rPr>
              <w:t>1200项</w:t>
            </w:r>
          </w:p>
        </w:tc>
        <w:tc>
          <w:tcPr>
            <w:tcW w:w="1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174C3">
            <w:pPr>
              <w:widowControl/>
              <w:spacing w:line="276" w:lineRule="auto"/>
              <w:jc w:val="center"/>
              <w:rPr>
                <w:rFonts w:ascii="仿宋" w:hAnsi="仿宋" w:eastAsia="仿宋"/>
                <w:color w:val="auto"/>
                <w:szCs w:val="21"/>
              </w:rPr>
            </w:pPr>
            <w:r>
              <w:rPr>
                <w:rFonts w:hint="eastAsia" w:ascii="仿宋" w:hAnsi="仿宋" w:eastAsia="仿宋"/>
                <w:color w:val="auto"/>
                <w:szCs w:val="21"/>
              </w:rPr>
              <w:t>40.00</w:t>
            </w:r>
          </w:p>
        </w:tc>
      </w:tr>
    </w:tbl>
    <w:p w14:paraId="6E0B03DE">
      <w:pPr>
        <w:spacing w:line="360" w:lineRule="auto"/>
        <w:contextualSpacing/>
        <w:rPr>
          <w:rFonts w:ascii="仿宋" w:hAnsi="仿宋" w:eastAsia="仿宋" w:cs="仿宋"/>
          <w:b/>
          <w:bCs/>
          <w:color w:val="auto"/>
          <w:szCs w:val="21"/>
        </w:rPr>
      </w:pPr>
      <w:r>
        <w:rPr>
          <w:rFonts w:hint="eastAsia" w:ascii="仿宋" w:hAnsi="仿宋" w:eastAsia="仿宋" w:cs="仿宋"/>
          <w:b/>
          <w:bCs/>
          <w:color w:val="auto"/>
          <w:szCs w:val="21"/>
        </w:rPr>
        <w:t>注：1）投标人所报委托服务明细单价不能超过上述单价限价，否则按废标处理。</w:t>
      </w:r>
    </w:p>
    <w:p w14:paraId="1A4D35D9">
      <w:pPr>
        <w:pStyle w:val="6"/>
        <w:spacing w:line="360" w:lineRule="auto"/>
        <w:ind w:firstLine="482"/>
        <w:contextualSpacing/>
        <w:rPr>
          <w:rFonts w:ascii="仿宋" w:hAnsi="仿宋" w:eastAsia="仿宋" w:cs="仿宋"/>
          <w:b/>
          <w:bCs/>
          <w:color w:val="auto"/>
          <w:sz w:val="21"/>
          <w:szCs w:val="21"/>
        </w:rPr>
      </w:pPr>
      <w:r>
        <w:rPr>
          <w:rFonts w:hint="eastAsia" w:ascii="仿宋" w:hAnsi="仿宋" w:eastAsia="仿宋" w:cs="仿宋"/>
          <w:b/>
          <w:bCs/>
          <w:color w:val="auto"/>
          <w:sz w:val="21"/>
          <w:szCs w:val="21"/>
        </w:rPr>
        <w:t>2）投标人所报数量不能低于上述委托服务中列明的数量，否则按废标处理。</w:t>
      </w:r>
    </w:p>
    <w:p w14:paraId="2DB93427">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（二）商务要求</w:t>
      </w:r>
    </w:p>
    <w:p w14:paraId="7061A4A5">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1、样本收齐后，7个工作日内完成全部实验检测并交付完整的实验报告。质控在标准参考值范围内，批内精密度、批间精密度CV均小于10%。</w:t>
      </w:r>
    </w:p>
    <w:p w14:paraId="6CF647D9">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2、售后服务工作和提供技术保障：</w:t>
      </w:r>
    </w:p>
    <w:p w14:paraId="3F2F3E0D">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2.1、向用户提供各种与服务相关的免费技术咨询服务，包括电话、邮件等方式。以最快速度做出反应，提供解决方案。</w:t>
      </w:r>
    </w:p>
    <w:p w14:paraId="52F24B6F">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2.2、通过3种方式保障技术后援支持：远程支持采用电话指导或远程登录、电子邮件等方式提供技术支持，其他无法迅速解决的问题应在一周内解决或提出明确解决方案。</w:t>
      </w:r>
    </w:p>
    <w:p w14:paraId="3E0CA2B0">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投标人应建立完善的数据安全和保密管理制度，对采购人提供的样本信息、检测数据、研究成果等承担保密义务。未经采购人书面同意，不得将任何数据资料用于本项目以外的用途。项目完成后，应按采购人要求返还或销毁相关数据。</w:t>
      </w:r>
    </w:p>
    <w:p w14:paraId="05CA2191">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4.本项目产生的检测数据、分析结果及相关研究成果的知识产权归采购人所有。</w:t>
      </w:r>
    </w:p>
    <w:p w14:paraId="5FEFC412">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5.投标人应建立样品接收、登记、储存、处理、销毁的全流程管理制度，确保样品可追溯、可核查。</w:t>
      </w:r>
      <w:bookmarkStart w:id="50" w:name="OLE_LINK127"/>
      <w:bookmarkStart w:id="51" w:name="OLE_LINK128"/>
      <w:r>
        <w:rPr>
          <w:rFonts w:hint="eastAsia" w:ascii="仿宋" w:hAnsi="仿宋" w:eastAsia="仿宋"/>
          <w:color w:val="auto"/>
          <w:sz w:val="21"/>
        </w:rPr>
        <w:t>需安排专人上门接收样品，并提供取样人员名单及联系方式。</w:t>
      </w:r>
      <w:bookmarkEnd w:id="50"/>
      <w:bookmarkEnd w:id="51"/>
    </w:p>
    <w:p w14:paraId="35128393">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（三）技术要求</w:t>
      </w:r>
    </w:p>
    <w:p w14:paraId="45DEDAD4">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1、C-反应蛋白(CRP)测定</w:t>
      </w:r>
    </w:p>
    <w:p w14:paraId="31234E74">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1.1、免疫比浊法。</w:t>
      </w:r>
    </w:p>
    <w:p w14:paraId="5C33D702">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1.2、仪器特性：支持精准比浊定量、血清样本直接上机。</w:t>
      </w:r>
    </w:p>
    <w:p w14:paraId="5B028DF2">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1.3、样本检测量为200μl血清。</w:t>
      </w:r>
    </w:p>
    <w:p w14:paraId="0C0C73D4">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2、白细胞介素-6测定</w:t>
      </w:r>
    </w:p>
    <w:p w14:paraId="16F3B1D1">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2.1、化学发光法。</w:t>
      </w:r>
    </w:p>
    <w:p w14:paraId="650CAD86">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2.2、仪器特性：高灵敏度、高通量、精确定量，适配血清样本。</w:t>
      </w:r>
    </w:p>
    <w:p w14:paraId="2C2F1C5D">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2.3、样本检测量为100μl血清。</w:t>
      </w:r>
    </w:p>
    <w:p w14:paraId="41F4B8D7">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3、肿瘤坏死因子α测定</w:t>
      </w:r>
    </w:p>
    <w:p w14:paraId="5E64B4C5">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3.1、化学发光法.</w:t>
      </w:r>
    </w:p>
    <w:p w14:paraId="71C9190A">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3.2、仪器特性：发光信号稳定、重复性好、微量精确定量，适配血清样本。</w:t>
      </w:r>
    </w:p>
    <w:p w14:paraId="53D8CB2B">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3.3、样本检测量为100μl血清。</w:t>
      </w:r>
    </w:p>
    <w:p w14:paraId="44940D3A">
      <w:pPr>
        <w:pStyle w:val="6"/>
        <w:spacing w:line="360" w:lineRule="auto"/>
        <w:ind w:firstLine="482"/>
        <w:contextualSpacing/>
        <w:rPr>
          <w:rFonts w:ascii="仿宋" w:hAnsi="仿宋" w:eastAsia="仿宋"/>
          <w:b/>
          <w:color w:val="auto"/>
        </w:rPr>
      </w:pPr>
    </w:p>
    <w:p w14:paraId="6461C788">
      <w:pPr>
        <w:pStyle w:val="6"/>
        <w:spacing w:line="360" w:lineRule="auto"/>
        <w:ind w:firstLine="482"/>
        <w:contextualSpacing/>
        <w:jc w:val="center"/>
        <w:rPr>
          <w:rFonts w:ascii="仿宋" w:hAnsi="仿宋" w:eastAsia="仿宋"/>
          <w:b/>
          <w:color w:val="auto"/>
        </w:rPr>
      </w:pPr>
      <w:r>
        <w:rPr>
          <w:rFonts w:ascii="仿宋" w:hAnsi="仿宋" w:eastAsia="仿宋"/>
          <w:b/>
          <w:color w:val="auto"/>
        </w:rPr>
        <w:t>第</w:t>
      </w:r>
      <w:r>
        <w:rPr>
          <w:rFonts w:hint="eastAsia" w:ascii="仿宋" w:hAnsi="仿宋" w:eastAsia="仿宋"/>
          <w:b/>
          <w:color w:val="auto"/>
        </w:rPr>
        <w:t>8包 测试化验加工委托服务8</w:t>
      </w:r>
    </w:p>
    <w:p w14:paraId="224E7C37">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（一）委托服务</w:t>
      </w:r>
    </w:p>
    <w:tbl>
      <w:tblPr>
        <w:tblStyle w:val="43"/>
        <w:tblW w:w="5000" w:type="pct"/>
        <w:tblInd w:w="0" w:type="dxa"/>
        <w:tblLayout w:type="autofit"/>
        <w:tblCellMar>
          <w:top w:w="0" w:type="dxa"/>
          <w:left w:w="108" w:type="dxa"/>
          <w:bottom w:w="0" w:type="dxa"/>
          <w:right w:w="108" w:type="dxa"/>
        </w:tblCellMar>
      </w:tblPr>
      <w:tblGrid>
        <w:gridCol w:w="919"/>
        <w:gridCol w:w="3304"/>
        <w:gridCol w:w="994"/>
        <w:gridCol w:w="994"/>
        <w:gridCol w:w="2317"/>
      </w:tblGrid>
      <w:tr w14:paraId="09742A67">
        <w:tblPrEx>
          <w:tblCellMar>
            <w:top w:w="0" w:type="dxa"/>
            <w:left w:w="108" w:type="dxa"/>
            <w:bottom w:w="0" w:type="dxa"/>
            <w:right w:w="108" w:type="dxa"/>
          </w:tblCellMar>
        </w:tblPrEx>
        <w:trPr>
          <w:trHeight w:val="600" w:hRule="atLeast"/>
        </w:trPr>
        <w:tc>
          <w:tcPr>
            <w:tcW w:w="539" w:type="pct"/>
            <w:tcBorders>
              <w:top w:val="single" w:color="auto" w:sz="4" w:space="0"/>
              <w:left w:val="single" w:color="auto" w:sz="4" w:space="0"/>
              <w:bottom w:val="single" w:color="auto" w:sz="4" w:space="0"/>
              <w:right w:val="single" w:color="auto" w:sz="4" w:space="0"/>
            </w:tcBorders>
            <w:shd w:val="clear" w:color="auto" w:fill="auto"/>
            <w:vAlign w:val="center"/>
          </w:tcPr>
          <w:p w14:paraId="24CB8FF1">
            <w:pPr>
              <w:widowControl/>
              <w:spacing w:line="276" w:lineRule="auto"/>
              <w:jc w:val="center"/>
              <w:rPr>
                <w:rFonts w:ascii="仿宋" w:hAnsi="仿宋" w:eastAsia="仿宋" w:cs="宋体"/>
                <w:b/>
                <w:bCs/>
                <w:color w:val="auto"/>
                <w:kern w:val="0"/>
                <w:szCs w:val="21"/>
              </w:rPr>
            </w:pPr>
            <w:r>
              <w:rPr>
                <w:rFonts w:hint="eastAsia" w:ascii="仿宋" w:hAnsi="仿宋" w:eastAsia="仿宋" w:cs="宋体"/>
                <w:b/>
                <w:bCs/>
                <w:color w:val="auto"/>
                <w:kern w:val="0"/>
                <w:szCs w:val="21"/>
              </w:rPr>
              <w:t>序号</w:t>
            </w:r>
          </w:p>
        </w:tc>
        <w:tc>
          <w:tcPr>
            <w:tcW w:w="1937" w:type="pct"/>
            <w:tcBorders>
              <w:top w:val="single" w:color="auto" w:sz="4" w:space="0"/>
              <w:left w:val="nil"/>
              <w:bottom w:val="single" w:color="auto" w:sz="4" w:space="0"/>
              <w:right w:val="single" w:color="auto" w:sz="4" w:space="0"/>
            </w:tcBorders>
            <w:shd w:val="clear" w:color="auto" w:fill="auto"/>
            <w:vAlign w:val="center"/>
          </w:tcPr>
          <w:p w14:paraId="305DD6E9">
            <w:pPr>
              <w:widowControl/>
              <w:spacing w:line="276" w:lineRule="auto"/>
              <w:jc w:val="center"/>
              <w:rPr>
                <w:rFonts w:ascii="仿宋" w:hAnsi="仿宋" w:eastAsia="仿宋" w:cs="宋体"/>
                <w:b/>
                <w:bCs/>
                <w:color w:val="auto"/>
                <w:kern w:val="0"/>
                <w:szCs w:val="21"/>
              </w:rPr>
            </w:pPr>
            <w:r>
              <w:rPr>
                <w:rFonts w:hint="eastAsia" w:ascii="仿宋" w:hAnsi="仿宋" w:eastAsia="仿宋" w:cs="宋体"/>
                <w:b/>
                <w:bCs/>
                <w:color w:val="auto"/>
                <w:kern w:val="0"/>
                <w:szCs w:val="21"/>
              </w:rPr>
              <w:t>测试化验加工</w:t>
            </w:r>
          </w:p>
        </w:tc>
        <w:tc>
          <w:tcPr>
            <w:tcW w:w="583" w:type="pct"/>
            <w:tcBorders>
              <w:top w:val="single" w:color="auto" w:sz="4" w:space="0"/>
              <w:left w:val="nil"/>
              <w:bottom w:val="single" w:color="auto" w:sz="4" w:space="0"/>
              <w:right w:val="single" w:color="auto" w:sz="4" w:space="0"/>
            </w:tcBorders>
            <w:shd w:val="clear" w:color="auto" w:fill="auto"/>
            <w:noWrap/>
            <w:vAlign w:val="center"/>
          </w:tcPr>
          <w:p w14:paraId="1B0A71A1">
            <w:pPr>
              <w:widowControl/>
              <w:spacing w:line="276" w:lineRule="auto"/>
              <w:jc w:val="center"/>
              <w:rPr>
                <w:rFonts w:ascii="仿宋" w:hAnsi="仿宋" w:eastAsia="仿宋" w:cs="宋体"/>
                <w:b/>
                <w:bCs/>
                <w:color w:val="auto"/>
                <w:kern w:val="0"/>
                <w:szCs w:val="21"/>
              </w:rPr>
            </w:pPr>
            <w:r>
              <w:rPr>
                <w:rFonts w:hint="eastAsia" w:ascii="仿宋" w:hAnsi="仿宋" w:eastAsia="仿宋" w:cs="宋体"/>
                <w:b/>
                <w:bCs/>
                <w:color w:val="auto"/>
                <w:kern w:val="0"/>
                <w:szCs w:val="21"/>
              </w:rPr>
              <w:t>单位</w:t>
            </w:r>
          </w:p>
        </w:tc>
        <w:tc>
          <w:tcPr>
            <w:tcW w:w="583" w:type="pct"/>
            <w:tcBorders>
              <w:top w:val="single" w:color="auto" w:sz="4" w:space="0"/>
              <w:left w:val="nil"/>
              <w:bottom w:val="single" w:color="auto" w:sz="4" w:space="0"/>
              <w:right w:val="single" w:color="auto" w:sz="4" w:space="0"/>
            </w:tcBorders>
            <w:shd w:val="clear" w:color="auto" w:fill="auto"/>
            <w:vAlign w:val="center"/>
          </w:tcPr>
          <w:p w14:paraId="7AB5DDD0">
            <w:pPr>
              <w:widowControl/>
              <w:spacing w:line="276" w:lineRule="auto"/>
              <w:jc w:val="center"/>
              <w:rPr>
                <w:rFonts w:ascii="仿宋" w:hAnsi="仿宋" w:eastAsia="仿宋" w:cs="宋体"/>
                <w:b/>
                <w:bCs/>
                <w:color w:val="auto"/>
                <w:kern w:val="0"/>
                <w:szCs w:val="21"/>
              </w:rPr>
            </w:pPr>
            <w:r>
              <w:rPr>
                <w:rFonts w:hint="eastAsia" w:ascii="仿宋" w:hAnsi="仿宋" w:eastAsia="仿宋" w:cs="宋体"/>
                <w:b/>
                <w:bCs/>
                <w:color w:val="auto"/>
                <w:kern w:val="0"/>
                <w:szCs w:val="21"/>
              </w:rPr>
              <w:t>例数</w:t>
            </w:r>
          </w:p>
        </w:tc>
        <w:tc>
          <w:tcPr>
            <w:tcW w:w="1358" w:type="pct"/>
            <w:tcBorders>
              <w:top w:val="single" w:color="auto" w:sz="4" w:space="0"/>
              <w:left w:val="nil"/>
              <w:bottom w:val="single" w:color="auto" w:sz="4" w:space="0"/>
              <w:right w:val="single" w:color="auto" w:sz="4" w:space="0"/>
            </w:tcBorders>
            <w:shd w:val="clear" w:color="auto" w:fill="auto"/>
            <w:vAlign w:val="center"/>
          </w:tcPr>
          <w:p w14:paraId="2E0B7AD6">
            <w:pPr>
              <w:widowControl/>
              <w:wordWrap w:val="0"/>
              <w:spacing w:line="276" w:lineRule="auto"/>
              <w:jc w:val="center"/>
              <w:rPr>
                <w:rFonts w:ascii="仿宋" w:hAnsi="仿宋" w:eastAsia="仿宋" w:cs="宋体"/>
                <w:b/>
                <w:bCs/>
                <w:color w:val="auto"/>
                <w:kern w:val="0"/>
                <w:szCs w:val="21"/>
              </w:rPr>
            </w:pPr>
            <w:r>
              <w:rPr>
                <w:rFonts w:hint="eastAsia" w:ascii="仿宋" w:hAnsi="仿宋" w:eastAsia="仿宋" w:cs="宋体"/>
                <w:b/>
                <w:bCs/>
                <w:color w:val="auto"/>
                <w:kern w:val="0"/>
                <w:szCs w:val="21"/>
              </w:rPr>
              <w:t>单价</w:t>
            </w:r>
            <w:r>
              <w:rPr>
                <w:rFonts w:hint="eastAsia" w:ascii="仿宋" w:hAnsi="仿宋" w:eastAsia="仿宋" w:cs="宋体"/>
                <w:b/>
                <w:color w:val="auto"/>
                <w:kern w:val="0"/>
                <w:szCs w:val="21"/>
              </w:rPr>
              <w:t>限价（人民币元）</w:t>
            </w:r>
          </w:p>
        </w:tc>
      </w:tr>
      <w:tr w14:paraId="2FDEF442">
        <w:tblPrEx>
          <w:tblCellMar>
            <w:top w:w="0" w:type="dxa"/>
            <w:left w:w="108" w:type="dxa"/>
            <w:bottom w:w="0" w:type="dxa"/>
            <w:right w:w="108" w:type="dxa"/>
          </w:tblCellMar>
        </w:tblPrEx>
        <w:trPr>
          <w:trHeight w:val="600" w:hRule="atLeast"/>
        </w:trPr>
        <w:tc>
          <w:tcPr>
            <w:tcW w:w="539" w:type="pct"/>
            <w:tcBorders>
              <w:top w:val="nil"/>
              <w:left w:val="single" w:color="auto" w:sz="4" w:space="0"/>
              <w:bottom w:val="single" w:color="auto" w:sz="4" w:space="0"/>
              <w:right w:val="single" w:color="auto" w:sz="4" w:space="0"/>
            </w:tcBorders>
            <w:shd w:val="clear" w:color="auto" w:fill="auto"/>
            <w:vAlign w:val="center"/>
          </w:tcPr>
          <w:p w14:paraId="488B6FE8">
            <w:pPr>
              <w:widowControl/>
              <w:spacing w:line="276" w:lineRule="auto"/>
              <w:jc w:val="center"/>
              <w:rPr>
                <w:rFonts w:ascii="仿宋" w:hAnsi="仿宋" w:eastAsia="仿宋" w:cs="宋体"/>
                <w:color w:val="auto"/>
                <w:kern w:val="0"/>
                <w:szCs w:val="21"/>
              </w:rPr>
            </w:pPr>
            <w:r>
              <w:rPr>
                <w:rFonts w:hint="eastAsia" w:ascii="仿宋" w:hAnsi="仿宋" w:eastAsia="仿宋" w:cs="宋体"/>
                <w:color w:val="auto"/>
                <w:kern w:val="0"/>
                <w:szCs w:val="21"/>
              </w:rPr>
              <w:t>1</w:t>
            </w:r>
          </w:p>
        </w:tc>
        <w:tc>
          <w:tcPr>
            <w:tcW w:w="1937" w:type="pct"/>
            <w:tcBorders>
              <w:top w:val="nil"/>
              <w:left w:val="nil"/>
              <w:bottom w:val="single" w:color="auto" w:sz="4" w:space="0"/>
              <w:right w:val="single" w:color="auto" w:sz="4" w:space="0"/>
            </w:tcBorders>
            <w:shd w:val="clear" w:color="auto" w:fill="auto"/>
            <w:vAlign w:val="center"/>
          </w:tcPr>
          <w:p w14:paraId="285103DB">
            <w:pPr>
              <w:widowControl/>
              <w:spacing w:line="276" w:lineRule="auto"/>
              <w:jc w:val="center"/>
              <w:rPr>
                <w:rFonts w:ascii="仿宋" w:hAnsi="仿宋" w:eastAsia="仿宋" w:cs="宋体"/>
                <w:color w:val="auto"/>
                <w:kern w:val="0"/>
                <w:szCs w:val="21"/>
              </w:rPr>
            </w:pPr>
            <w:r>
              <w:rPr>
                <w:rFonts w:hint="eastAsia" w:ascii="仿宋" w:hAnsi="仿宋" w:eastAsia="仿宋" w:cs="宋体"/>
                <w:color w:val="auto"/>
                <w:kern w:val="0"/>
                <w:szCs w:val="21"/>
              </w:rPr>
              <w:t>ASQ问卷</w:t>
            </w:r>
          </w:p>
        </w:tc>
        <w:tc>
          <w:tcPr>
            <w:tcW w:w="583" w:type="pct"/>
            <w:tcBorders>
              <w:top w:val="nil"/>
              <w:left w:val="nil"/>
              <w:bottom w:val="single" w:color="auto" w:sz="4" w:space="0"/>
              <w:right w:val="single" w:color="auto" w:sz="4" w:space="0"/>
            </w:tcBorders>
            <w:shd w:val="clear" w:color="auto" w:fill="auto"/>
            <w:noWrap/>
            <w:vAlign w:val="center"/>
          </w:tcPr>
          <w:p w14:paraId="470DA39A">
            <w:pPr>
              <w:widowControl/>
              <w:spacing w:line="276" w:lineRule="auto"/>
              <w:jc w:val="center"/>
              <w:rPr>
                <w:rFonts w:ascii="仿宋" w:hAnsi="仿宋" w:eastAsia="仿宋" w:cs="宋体"/>
                <w:color w:val="auto"/>
                <w:kern w:val="0"/>
                <w:szCs w:val="21"/>
              </w:rPr>
            </w:pPr>
            <w:r>
              <w:rPr>
                <w:rFonts w:hint="eastAsia" w:ascii="仿宋" w:hAnsi="仿宋" w:eastAsia="仿宋" w:cs="宋体"/>
                <w:color w:val="auto"/>
                <w:kern w:val="0"/>
                <w:szCs w:val="21"/>
              </w:rPr>
              <w:t>例</w:t>
            </w:r>
          </w:p>
        </w:tc>
        <w:tc>
          <w:tcPr>
            <w:tcW w:w="583" w:type="pct"/>
            <w:tcBorders>
              <w:top w:val="nil"/>
              <w:left w:val="nil"/>
              <w:bottom w:val="single" w:color="auto" w:sz="4" w:space="0"/>
              <w:right w:val="single" w:color="auto" w:sz="4" w:space="0"/>
            </w:tcBorders>
            <w:shd w:val="clear" w:color="auto" w:fill="auto"/>
            <w:noWrap/>
            <w:vAlign w:val="center"/>
          </w:tcPr>
          <w:p w14:paraId="714A29E0">
            <w:pPr>
              <w:widowControl/>
              <w:spacing w:line="276" w:lineRule="auto"/>
              <w:jc w:val="center"/>
              <w:rPr>
                <w:rFonts w:ascii="仿宋" w:hAnsi="仿宋" w:eastAsia="仿宋" w:cs="宋体"/>
                <w:color w:val="auto"/>
                <w:kern w:val="0"/>
                <w:szCs w:val="21"/>
              </w:rPr>
            </w:pPr>
            <w:r>
              <w:rPr>
                <w:rFonts w:hint="eastAsia" w:ascii="仿宋" w:hAnsi="仿宋" w:eastAsia="仿宋" w:cs="宋体"/>
                <w:color w:val="auto"/>
                <w:kern w:val="0"/>
                <w:szCs w:val="21"/>
              </w:rPr>
              <w:t>1600</w:t>
            </w:r>
          </w:p>
        </w:tc>
        <w:tc>
          <w:tcPr>
            <w:tcW w:w="1358" w:type="pct"/>
            <w:tcBorders>
              <w:top w:val="nil"/>
              <w:left w:val="nil"/>
              <w:bottom w:val="single" w:color="auto" w:sz="4" w:space="0"/>
              <w:right w:val="single" w:color="auto" w:sz="4" w:space="0"/>
            </w:tcBorders>
            <w:shd w:val="clear" w:color="auto" w:fill="auto"/>
            <w:vAlign w:val="center"/>
          </w:tcPr>
          <w:p w14:paraId="45357BE6">
            <w:pPr>
              <w:widowControl/>
              <w:spacing w:line="276" w:lineRule="auto"/>
              <w:jc w:val="center"/>
              <w:rPr>
                <w:rFonts w:ascii="仿宋" w:hAnsi="仿宋" w:eastAsia="仿宋" w:cs="宋体"/>
                <w:color w:val="auto"/>
                <w:kern w:val="0"/>
                <w:szCs w:val="21"/>
              </w:rPr>
            </w:pPr>
            <w:r>
              <w:rPr>
                <w:rFonts w:hint="eastAsia" w:ascii="仿宋" w:hAnsi="仿宋" w:eastAsia="仿宋" w:cs="宋体"/>
                <w:color w:val="auto"/>
                <w:kern w:val="0"/>
                <w:szCs w:val="21"/>
              </w:rPr>
              <w:t>25.00</w:t>
            </w:r>
          </w:p>
        </w:tc>
      </w:tr>
      <w:tr w14:paraId="56466908">
        <w:tblPrEx>
          <w:tblCellMar>
            <w:top w:w="0" w:type="dxa"/>
            <w:left w:w="108" w:type="dxa"/>
            <w:bottom w:w="0" w:type="dxa"/>
            <w:right w:w="108" w:type="dxa"/>
          </w:tblCellMar>
        </w:tblPrEx>
        <w:trPr>
          <w:trHeight w:val="600" w:hRule="atLeast"/>
        </w:trPr>
        <w:tc>
          <w:tcPr>
            <w:tcW w:w="539" w:type="pct"/>
            <w:tcBorders>
              <w:top w:val="nil"/>
              <w:left w:val="single" w:color="auto" w:sz="4" w:space="0"/>
              <w:bottom w:val="single" w:color="auto" w:sz="4" w:space="0"/>
              <w:right w:val="single" w:color="auto" w:sz="4" w:space="0"/>
            </w:tcBorders>
            <w:shd w:val="clear" w:color="auto" w:fill="auto"/>
            <w:vAlign w:val="center"/>
          </w:tcPr>
          <w:p w14:paraId="174D4951">
            <w:pPr>
              <w:widowControl/>
              <w:spacing w:line="276" w:lineRule="auto"/>
              <w:jc w:val="center"/>
              <w:rPr>
                <w:rFonts w:ascii="仿宋" w:hAnsi="仿宋" w:eastAsia="仿宋" w:cs="宋体"/>
                <w:color w:val="auto"/>
                <w:kern w:val="0"/>
                <w:szCs w:val="21"/>
              </w:rPr>
            </w:pPr>
            <w:r>
              <w:rPr>
                <w:rFonts w:hint="eastAsia" w:ascii="仿宋" w:hAnsi="仿宋" w:eastAsia="仿宋" w:cs="宋体"/>
                <w:color w:val="auto"/>
                <w:kern w:val="0"/>
                <w:szCs w:val="21"/>
              </w:rPr>
              <w:t>2</w:t>
            </w:r>
          </w:p>
        </w:tc>
        <w:tc>
          <w:tcPr>
            <w:tcW w:w="1937" w:type="pct"/>
            <w:tcBorders>
              <w:top w:val="nil"/>
              <w:left w:val="nil"/>
              <w:bottom w:val="single" w:color="auto" w:sz="4" w:space="0"/>
              <w:right w:val="single" w:color="auto" w:sz="4" w:space="0"/>
            </w:tcBorders>
            <w:shd w:val="clear" w:color="auto" w:fill="auto"/>
            <w:vAlign w:val="center"/>
          </w:tcPr>
          <w:p w14:paraId="0B026AE4">
            <w:pPr>
              <w:widowControl/>
              <w:spacing w:line="276" w:lineRule="auto"/>
              <w:jc w:val="center"/>
              <w:rPr>
                <w:rFonts w:ascii="仿宋" w:hAnsi="仿宋" w:eastAsia="仿宋" w:cs="宋体"/>
                <w:color w:val="auto"/>
                <w:kern w:val="0"/>
                <w:szCs w:val="21"/>
              </w:rPr>
            </w:pPr>
            <w:r>
              <w:rPr>
                <w:rFonts w:hint="eastAsia" w:ascii="仿宋" w:hAnsi="仿宋" w:eastAsia="仿宋" w:cs="宋体"/>
                <w:color w:val="auto"/>
                <w:kern w:val="0"/>
                <w:szCs w:val="21"/>
              </w:rPr>
              <w:t>近红外数据处理</w:t>
            </w:r>
          </w:p>
        </w:tc>
        <w:tc>
          <w:tcPr>
            <w:tcW w:w="583" w:type="pct"/>
            <w:tcBorders>
              <w:top w:val="nil"/>
              <w:left w:val="nil"/>
              <w:bottom w:val="single" w:color="auto" w:sz="4" w:space="0"/>
              <w:right w:val="single" w:color="auto" w:sz="4" w:space="0"/>
            </w:tcBorders>
            <w:shd w:val="clear" w:color="auto" w:fill="auto"/>
            <w:noWrap/>
            <w:vAlign w:val="center"/>
          </w:tcPr>
          <w:p w14:paraId="76CB64B9">
            <w:pPr>
              <w:widowControl/>
              <w:spacing w:line="276" w:lineRule="auto"/>
              <w:jc w:val="center"/>
              <w:rPr>
                <w:rFonts w:ascii="仿宋" w:hAnsi="仿宋" w:eastAsia="仿宋" w:cs="宋体"/>
                <w:color w:val="auto"/>
                <w:kern w:val="0"/>
                <w:szCs w:val="21"/>
              </w:rPr>
            </w:pPr>
            <w:r>
              <w:rPr>
                <w:rFonts w:hint="eastAsia" w:ascii="仿宋" w:hAnsi="仿宋" w:eastAsia="仿宋" w:cs="宋体"/>
                <w:color w:val="auto"/>
                <w:kern w:val="0"/>
                <w:szCs w:val="21"/>
              </w:rPr>
              <w:t>个</w:t>
            </w:r>
          </w:p>
        </w:tc>
        <w:tc>
          <w:tcPr>
            <w:tcW w:w="583" w:type="pct"/>
            <w:tcBorders>
              <w:top w:val="nil"/>
              <w:left w:val="nil"/>
              <w:bottom w:val="single" w:color="auto" w:sz="4" w:space="0"/>
              <w:right w:val="single" w:color="auto" w:sz="4" w:space="0"/>
            </w:tcBorders>
            <w:shd w:val="clear" w:color="auto" w:fill="auto"/>
            <w:noWrap/>
            <w:vAlign w:val="center"/>
          </w:tcPr>
          <w:p w14:paraId="73E3FA60">
            <w:pPr>
              <w:widowControl/>
              <w:spacing w:line="276" w:lineRule="auto"/>
              <w:jc w:val="center"/>
              <w:rPr>
                <w:rFonts w:ascii="仿宋" w:hAnsi="仿宋" w:eastAsia="仿宋" w:cs="宋体"/>
                <w:color w:val="auto"/>
                <w:kern w:val="0"/>
                <w:szCs w:val="21"/>
              </w:rPr>
            </w:pPr>
            <w:r>
              <w:rPr>
                <w:rFonts w:hint="eastAsia" w:ascii="仿宋" w:hAnsi="仿宋" w:eastAsia="仿宋" w:cs="宋体"/>
                <w:color w:val="auto"/>
                <w:kern w:val="0"/>
                <w:szCs w:val="21"/>
              </w:rPr>
              <w:t>100</w:t>
            </w:r>
          </w:p>
        </w:tc>
        <w:tc>
          <w:tcPr>
            <w:tcW w:w="1358" w:type="pct"/>
            <w:tcBorders>
              <w:top w:val="nil"/>
              <w:left w:val="nil"/>
              <w:bottom w:val="single" w:color="auto" w:sz="4" w:space="0"/>
              <w:right w:val="single" w:color="auto" w:sz="4" w:space="0"/>
            </w:tcBorders>
            <w:shd w:val="clear" w:color="auto" w:fill="auto"/>
            <w:vAlign w:val="center"/>
          </w:tcPr>
          <w:p w14:paraId="0C0927BE">
            <w:pPr>
              <w:widowControl/>
              <w:spacing w:line="276" w:lineRule="auto"/>
              <w:jc w:val="center"/>
              <w:rPr>
                <w:rFonts w:ascii="仿宋" w:hAnsi="仿宋" w:eastAsia="仿宋" w:cs="宋体"/>
                <w:color w:val="auto"/>
                <w:kern w:val="0"/>
                <w:szCs w:val="21"/>
              </w:rPr>
            </w:pPr>
            <w:r>
              <w:rPr>
                <w:rFonts w:hint="eastAsia" w:ascii="仿宋" w:hAnsi="仿宋" w:eastAsia="仿宋" w:cs="宋体"/>
                <w:color w:val="auto"/>
                <w:kern w:val="0"/>
                <w:szCs w:val="21"/>
              </w:rPr>
              <w:t>500.00</w:t>
            </w:r>
          </w:p>
        </w:tc>
      </w:tr>
      <w:tr w14:paraId="364137E4">
        <w:tblPrEx>
          <w:tblCellMar>
            <w:top w:w="0" w:type="dxa"/>
            <w:left w:w="108" w:type="dxa"/>
            <w:bottom w:w="0" w:type="dxa"/>
            <w:right w:w="108" w:type="dxa"/>
          </w:tblCellMar>
        </w:tblPrEx>
        <w:trPr>
          <w:trHeight w:val="600" w:hRule="atLeast"/>
        </w:trPr>
        <w:tc>
          <w:tcPr>
            <w:tcW w:w="539" w:type="pct"/>
            <w:tcBorders>
              <w:top w:val="nil"/>
              <w:left w:val="single" w:color="auto" w:sz="4" w:space="0"/>
              <w:bottom w:val="single" w:color="auto" w:sz="4" w:space="0"/>
              <w:right w:val="single" w:color="auto" w:sz="4" w:space="0"/>
            </w:tcBorders>
            <w:shd w:val="clear" w:color="auto" w:fill="auto"/>
            <w:vAlign w:val="center"/>
          </w:tcPr>
          <w:p w14:paraId="66383CE8">
            <w:pPr>
              <w:widowControl/>
              <w:spacing w:line="276" w:lineRule="auto"/>
              <w:jc w:val="center"/>
              <w:rPr>
                <w:rFonts w:ascii="仿宋" w:hAnsi="仿宋" w:eastAsia="仿宋" w:cs="宋体"/>
                <w:color w:val="auto"/>
                <w:kern w:val="0"/>
                <w:szCs w:val="21"/>
              </w:rPr>
            </w:pPr>
            <w:r>
              <w:rPr>
                <w:rFonts w:hint="eastAsia" w:ascii="仿宋" w:hAnsi="仿宋" w:eastAsia="仿宋" w:cs="宋体"/>
                <w:color w:val="auto"/>
                <w:kern w:val="0"/>
                <w:szCs w:val="21"/>
              </w:rPr>
              <w:t>3</w:t>
            </w:r>
          </w:p>
        </w:tc>
        <w:tc>
          <w:tcPr>
            <w:tcW w:w="1937" w:type="pct"/>
            <w:tcBorders>
              <w:top w:val="nil"/>
              <w:left w:val="nil"/>
              <w:bottom w:val="single" w:color="auto" w:sz="4" w:space="0"/>
              <w:right w:val="single" w:color="auto" w:sz="4" w:space="0"/>
            </w:tcBorders>
            <w:shd w:val="clear" w:color="auto" w:fill="auto"/>
            <w:vAlign w:val="center"/>
          </w:tcPr>
          <w:p w14:paraId="16858ACB">
            <w:pPr>
              <w:widowControl/>
              <w:spacing w:line="276" w:lineRule="auto"/>
              <w:jc w:val="center"/>
              <w:rPr>
                <w:rFonts w:ascii="仿宋" w:hAnsi="仿宋" w:eastAsia="仿宋" w:cs="宋体"/>
                <w:color w:val="auto"/>
                <w:kern w:val="0"/>
                <w:szCs w:val="21"/>
              </w:rPr>
            </w:pPr>
            <w:r>
              <w:rPr>
                <w:rFonts w:hint="eastAsia" w:ascii="仿宋" w:hAnsi="仿宋" w:eastAsia="仿宋" w:cs="宋体"/>
                <w:color w:val="auto"/>
                <w:kern w:val="0"/>
                <w:szCs w:val="21"/>
              </w:rPr>
              <w:t>执行功能任务程序制作</w:t>
            </w:r>
          </w:p>
        </w:tc>
        <w:tc>
          <w:tcPr>
            <w:tcW w:w="583" w:type="pct"/>
            <w:tcBorders>
              <w:top w:val="nil"/>
              <w:left w:val="nil"/>
              <w:bottom w:val="single" w:color="auto" w:sz="4" w:space="0"/>
              <w:right w:val="single" w:color="auto" w:sz="4" w:space="0"/>
            </w:tcBorders>
            <w:shd w:val="clear" w:color="auto" w:fill="auto"/>
            <w:noWrap/>
            <w:vAlign w:val="center"/>
          </w:tcPr>
          <w:p w14:paraId="1C2A408D">
            <w:pPr>
              <w:widowControl/>
              <w:spacing w:line="276" w:lineRule="auto"/>
              <w:jc w:val="center"/>
              <w:rPr>
                <w:rFonts w:ascii="仿宋" w:hAnsi="仿宋" w:eastAsia="仿宋" w:cs="宋体"/>
                <w:color w:val="auto"/>
                <w:kern w:val="0"/>
                <w:szCs w:val="21"/>
              </w:rPr>
            </w:pPr>
            <w:r>
              <w:rPr>
                <w:rFonts w:hint="eastAsia" w:ascii="仿宋" w:hAnsi="仿宋" w:eastAsia="仿宋" w:cs="宋体"/>
                <w:color w:val="auto"/>
                <w:kern w:val="0"/>
                <w:szCs w:val="21"/>
              </w:rPr>
              <w:t>个</w:t>
            </w:r>
          </w:p>
        </w:tc>
        <w:tc>
          <w:tcPr>
            <w:tcW w:w="583" w:type="pct"/>
            <w:tcBorders>
              <w:top w:val="nil"/>
              <w:left w:val="nil"/>
              <w:bottom w:val="single" w:color="auto" w:sz="4" w:space="0"/>
              <w:right w:val="single" w:color="auto" w:sz="4" w:space="0"/>
            </w:tcBorders>
            <w:shd w:val="clear" w:color="auto" w:fill="auto"/>
            <w:noWrap/>
            <w:vAlign w:val="center"/>
          </w:tcPr>
          <w:p w14:paraId="1BFB1A8C">
            <w:pPr>
              <w:widowControl/>
              <w:spacing w:line="276" w:lineRule="auto"/>
              <w:jc w:val="center"/>
              <w:rPr>
                <w:rFonts w:ascii="仿宋" w:hAnsi="仿宋" w:eastAsia="仿宋" w:cs="宋体"/>
                <w:color w:val="auto"/>
                <w:kern w:val="0"/>
                <w:szCs w:val="21"/>
              </w:rPr>
            </w:pPr>
            <w:r>
              <w:rPr>
                <w:rFonts w:hint="eastAsia" w:ascii="仿宋" w:hAnsi="仿宋" w:eastAsia="仿宋" w:cs="宋体"/>
                <w:color w:val="auto"/>
                <w:kern w:val="0"/>
                <w:szCs w:val="21"/>
              </w:rPr>
              <w:t>4</w:t>
            </w:r>
          </w:p>
        </w:tc>
        <w:tc>
          <w:tcPr>
            <w:tcW w:w="1358" w:type="pct"/>
            <w:tcBorders>
              <w:top w:val="nil"/>
              <w:left w:val="nil"/>
              <w:bottom w:val="single" w:color="auto" w:sz="4" w:space="0"/>
              <w:right w:val="single" w:color="auto" w:sz="4" w:space="0"/>
            </w:tcBorders>
            <w:shd w:val="clear" w:color="auto" w:fill="auto"/>
            <w:vAlign w:val="center"/>
          </w:tcPr>
          <w:p w14:paraId="0B361E9E">
            <w:pPr>
              <w:widowControl/>
              <w:spacing w:line="276" w:lineRule="auto"/>
              <w:jc w:val="center"/>
              <w:rPr>
                <w:rFonts w:ascii="仿宋" w:hAnsi="仿宋" w:eastAsia="仿宋" w:cs="宋体"/>
                <w:color w:val="auto"/>
                <w:kern w:val="0"/>
                <w:szCs w:val="21"/>
              </w:rPr>
            </w:pPr>
            <w:r>
              <w:rPr>
                <w:rFonts w:hint="eastAsia" w:ascii="仿宋" w:hAnsi="仿宋" w:eastAsia="仿宋" w:cs="宋体"/>
                <w:color w:val="auto"/>
                <w:kern w:val="0"/>
                <w:szCs w:val="21"/>
              </w:rPr>
              <w:t>5,000.00</w:t>
            </w:r>
          </w:p>
        </w:tc>
      </w:tr>
    </w:tbl>
    <w:p w14:paraId="2A057DDC">
      <w:pPr>
        <w:spacing w:line="360" w:lineRule="auto"/>
        <w:contextualSpacing/>
        <w:rPr>
          <w:rFonts w:ascii="仿宋" w:hAnsi="仿宋" w:eastAsia="仿宋" w:cs="仿宋"/>
          <w:b/>
          <w:bCs/>
          <w:color w:val="auto"/>
          <w:szCs w:val="21"/>
        </w:rPr>
      </w:pPr>
      <w:bookmarkStart w:id="52" w:name="OLE_LINK85"/>
      <w:bookmarkStart w:id="53" w:name="OLE_LINK84"/>
      <w:r>
        <w:rPr>
          <w:rFonts w:hint="eastAsia" w:ascii="仿宋" w:hAnsi="仿宋" w:eastAsia="仿宋" w:cs="仿宋"/>
          <w:b/>
          <w:bCs/>
          <w:color w:val="auto"/>
          <w:szCs w:val="21"/>
        </w:rPr>
        <w:t>注：1）投标人所报委托服务明细单价不能超过上述单价限价，否则按废标处理。</w:t>
      </w:r>
    </w:p>
    <w:p w14:paraId="456AC1AA">
      <w:pPr>
        <w:pStyle w:val="6"/>
        <w:spacing w:line="360" w:lineRule="auto"/>
        <w:ind w:firstLine="482"/>
        <w:contextualSpacing/>
        <w:rPr>
          <w:rFonts w:ascii="仿宋" w:hAnsi="仿宋" w:eastAsia="仿宋"/>
          <w:b/>
          <w:color w:val="auto"/>
          <w:sz w:val="18"/>
        </w:rPr>
      </w:pPr>
      <w:r>
        <w:rPr>
          <w:rFonts w:hint="eastAsia" w:ascii="仿宋" w:hAnsi="仿宋" w:eastAsia="仿宋" w:cs="仿宋"/>
          <w:b/>
          <w:bCs/>
          <w:color w:val="auto"/>
          <w:sz w:val="21"/>
          <w:szCs w:val="21"/>
        </w:rPr>
        <w:t>2）投标人所报数量不能低于上述委托服务中列明的数量，否则按废标处理。</w:t>
      </w:r>
      <w:bookmarkEnd w:id="52"/>
      <w:bookmarkEnd w:id="53"/>
    </w:p>
    <w:p w14:paraId="0A16A740">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（二）商务要求</w:t>
      </w:r>
    </w:p>
    <w:p w14:paraId="3B07E10C">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1、ASQ问卷</w:t>
      </w:r>
    </w:p>
    <w:p w14:paraId="3D9DFBF9">
      <w:pPr>
        <w:pStyle w:val="6"/>
        <w:spacing w:line="360" w:lineRule="auto"/>
        <w:ind w:firstLine="482"/>
        <w:contextualSpacing/>
        <w:rPr>
          <w:rFonts w:ascii="仿宋" w:hAnsi="仿宋" w:eastAsia="仿宋"/>
          <w:color w:val="auto"/>
          <w:sz w:val="21"/>
          <w:szCs w:val="21"/>
        </w:rPr>
      </w:pPr>
      <w:bookmarkStart w:id="54" w:name="OLE_LINK214"/>
      <w:bookmarkStart w:id="55" w:name="OLE_LINK215"/>
      <w:r>
        <w:rPr>
          <w:rFonts w:hint="eastAsia" w:ascii="仿宋" w:hAnsi="仿宋" w:eastAsia="仿宋"/>
          <w:color w:val="auto"/>
          <w:sz w:val="21"/>
          <w:szCs w:val="21"/>
        </w:rPr>
        <w:t>1.</w:t>
      </w:r>
      <w:bookmarkEnd w:id="54"/>
      <w:bookmarkEnd w:id="55"/>
      <w:r>
        <w:rPr>
          <w:rFonts w:hint="eastAsia" w:ascii="仿宋" w:hAnsi="仿宋" w:eastAsia="仿宋"/>
          <w:color w:val="auto"/>
          <w:sz w:val="21"/>
          <w:szCs w:val="21"/>
        </w:rPr>
        <w:t>1、服务数量：本项服务数量为1600例，投标人应按采购人确认的服务对象、批次和进度完成问卷提供、使用支持、结果整理及相关配套服务；最终结算以合同约定及验收确认数量为准。</w:t>
      </w:r>
    </w:p>
    <w:p w14:paraId="70D84477">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1.2、服务周期：投标人应在合同签订后按照采购人项目安排及时提供服务计划，并配合采购人分批实施；因采购人研究进度调整需要顺延或分批交付的，投标人应予以配合。</w:t>
      </w:r>
    </w:p>
    <w:p w14:paraId="33C76E3C">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1.3、交付方式：投标人应提供符合授权要求的ASQ-3和ASQ:SE-2问卷使用支持、评分或结果输出说明、操作指引及必要的授权证明材料；涉及电子化服务的，应提供稳定可用的访问、填报或数据导出方式。</w:t>
      </w:r>
    </w:p>
    <w:p w14:paraId="04DCC7F2">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1.4、人员与响应：投标人应指定固定项目联系人，负责需求对接、使用答疑、进度反馈和问题处理；一般问题应在1个工作日内响应，影响项目实施的问题应及时提出解决方案。</w:t>
      </w:r>
    </w:p>
    <w:p w14:paraId="24EF41B8">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1.5、培训与技术支持：投标人应根据采购人需要提供不少于1次使用培训或操作说明，内容包括问卷适用月龄、填报流程、评分解释、结果导出、常见问题处理及注意事项。</w:t>
      </w:r>
    </w:p>
    <w:p w14:paraId="09B8E92B">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1.6、数据安全与保密：服务过程中涉及的儿童、监护人及项目数据均应严格保密。未经采购人书面同意，投标人不得复制、留存、转交、公开或用于本项目以外用途；服务完成后应按采购人要求返还或删除相关数据。</w:t>
      </w:r>
    </w:p>
    <w:p w14:paraId="15D5C860">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1.7、验收标准：验收以授权文件齐备性、问卷版本和适用范围符合要求、服务数量及记录完整性、培训或指导完成情况、结果输出可用性以及采购人确认的项目需求为依据。</w:t>
      </w:r>
    </w:p>
    <w:p w14:paraId="17349A5B">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1.8、售后服务：验收后投标人应提供必要的售后支持，协助采购人解决问卷使用、结果解释、数据导出或材料补充等问题，支持期限按合同约定执行。</w:t>
      </w:r>
    </w:p>
    <w:p w14:paraId="58125CD7">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2、近红外数据处理</w:t>
      </w:r>
    </w:p>
    <w:p w14:paraId="0FBE361A">
      <w:pPr>
        <w:pStyle w:val="6"/>
        <w:spacing w:line="360" w:lineRule="auto"/>
        <w:ind w:firstLine="482"/>
        <w:contextualSpacing/>
        <w:rPr>
          <w:rFonts w:ascii="仿宋" w:hAnsi="仿宋" w:eastAsia="仿宋"/>
          <w:color w:val="auto"/>
          <w:sz w:val="21"/>
          <w:szCs w:val="21"/>
        </w:rPr>
      </w:pPr>
      <w:bookmarkStart w:id="56" w:name="OLE_LINK218"/>
      <w:bookmarkStart w:id="57" w:name="OLE_LINK219"/>
      <w:r>
        <w:rPr>
          <w:rFonts w:hint="eastAsia" w:ascii="仿宋" w:hAnsi="仿宋" w:eastAsia="仿宋"/>
          <w:color w:val="auto"/>
          <w:sz w:val="21"/>
          <w:szCs w:val="21"/>
        </w:rPr>
        <w:t>2.</w:t>
      </w:r>
      <w:bookmarkEnd w:id="56"/>
      <w:bookmarkEnd w:id="57"/>
      <w:r>
        <w:rPr>
          <w:rFonts w:hint="eastAsia" w:ascii="仿宋" w:hAnsi="仿宋" w:eastAsia="仿宋"/>
          <w:color w:val="auto"/>
          <w:sz w:val="21"/>
          <w:szCs w:val="21"/>
        </w:rPr>
        <w:t>1、服务数量：本项服务数量为100个，投标人应按采购人提供的数据批次、研究方案和分析需求完成处理分析；最终服务数量以采购人验收确认的数据或任务批次为准。</w:t>
      </w:r>
    </w:p>
    <w:p w14:paraId="0F2E4E4D">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2.2、服务周期：投标人应在接收完整数据、研究方案及分组信息后提交数据处理计划和预计完成时间，经采购人确认后实施；分批交付时应明确每批次交付节点。</w:t>
      </w:r>
    </w:p>
    <w:p w14:paraId="7E7EA50E">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2.3、交付方式：交付物应以电子文件形式提供，包括清洗后数据、指标汇总表、统计结果表、图件、质控报告、分析方法说明、结果解释报告及可复核分析流程文件，并按采购人要求进行文件命名和目录整理。</w:t>
      </w:r>
    </w:p>
    <w:p w14:paraId="5B8EF60E">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2.4、质量控制：投标人应建立数据接收、处理、复核和交付记录，保证分析流程可追溯。发现数据缺失、格式异常或质量问题时，应及时告知采购人并提出处理建议。</w:t>
      </w:r>
    </w:p>
    <w:p w14:paraId="16826D8D">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2.5、沟通与修改：服务期内投标人应提供必要的技术沟通，根据采购人确认意见对报告、图表或指标汇总进行合理修改；同一批次交付物应提供不少于2次修改完善服务。</w:t>
      </w:r>
    </w:p>
    <w:p w14:paraId="24B1745E">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2.6、数据安全与保密：投标人应严格保护原始数据、被试信息、研究方案和分析结果。未经采购人书面同意，不得上传至非约定平台、转交第三方、公开发表或用于其他项目。</w:t>
      </w:r>
    </w:p>
    <w:p w14:paraId="46CA1230">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2.7、验收标准：验收以交付物完整性、数据质控说明、分析流程可复核性、统计方法与研究方案一致性、图表和报告可读性、修改意见落实情况及采购人书面确认为依据。</w:t>
      </w:r>
    </w:p>
    <w:p w14:paraId="0C77F4D7">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2.8、售后服务：验收后投标人应按合同约定提供结果解释、文件补充、格式转换或论文/项目申报表述建议等后续支持。</w:t>
      </w:r>
    </w:p>
    <w:p w14:paraId="70F8A48F">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3、执行功能任务程序制作</w:t>
      </w:r>
    </w:p>
    <w:p w14:paraId="09F1005E">
      <w:pPr>
        <w:pStyle w:val="6"/>
        <w:spacing w:line="360" w:lineRule="auto"/>
        <w:ind w:firstLine="482"/>
        <w:contextualSpacing/>
        <w:rPr>
          <w:rFonts w:ascii="仿宋" w:hAnsi="仿宋" w:eastAsia="仿宋"/>
          <w:color w:val="auto"/>
          <w:sz w:val="21"/>
          <w:szCs w:val="21"/>
        </w:rPr>
      </w:pPr>
      <w:bookmarkStart w:id="58" w:name="OLE_LINK222"/>
      <w:bookmarkStart w:id="59" w:name="OLE_LINK221"/>
      <w:r>
        <w:rPr>
          <w:rFonts w:hint="eastAsia" w:ascii="仿宋" w:hAnsi="仿宋" w:eastAsia="仿宋"/>
          <w:color w:val="auto"/>
          <w:sz w:val="21"/>
          <w:szCs w:val="21"/>
        </w:rPr>
        <w:t>3.</w:t>
      </w:r>
      <w:bookmarkEnd w:id="58"/>
      <w:bookmarkEnd w:id="59"/>
      <w:r>
        <w:rPr>
          <w:rFonts w:hint="eastAsia" w:ascii="仿宋" w:hAnsi="仿宋" w:eastAsia="仿宋"/>
          <w:color w:val="auto"/>
          <w:sz w:val="21"/>
          <w:szCs w:val="21"/>
        </w:rPr>
        <w:t>1、服务数量：本项服务数量为4个，投标人应按采购人确认的研究方案分别完成任务程序开发、调试、部署和交付；每个程序应形成独立可运行版本及配套说明文件。</w:t>
      </w:r>
    </w:p>
    <w:p w14:paraId="7DA7C31A">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3.2、服务周期：投标人应在合同签订及需求确认后提交开发计划，明确需求确认、原型测试、修改完善、正式交付和验收测试等节点，并按采购人项目进度配合调整。</w:t>
      </w:r>
    </w:p>
    <w:p w14:paraId="27F4BC0D">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3.3、需求确认：正式开发前投标人应与采购人确认任务范式、刺激材料、被试信息字段、测试流程、设备环境、数据导出字段和验收测试方式，并形成可追溯的需求记录。</w:t>
      </w:r>
    </w:p>
    <w:p w14:paraId="72DEFF15">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3.4、交付方式：交付物应包括可运行程序、安装文件或部署包、任务参数配置文件、刺激材料文件、数据字段说明、使用说明书、测试报告以及采购人后续维护所需的必要源文件或可维护文件。</w:t>
      </w:r>
    </w:p>
    <w:p w14:paraId="6FECC9F4">
      <w:pPr>
        <w:pStyle w:val="6"/>
        <w:spacing w:line="360" w:lineRule="auto"/>
        <w:ind w:firstLine="482"/>
        <w:contextualSpacing/>
        <w:rPr>
          <w:rFonts w:ascii="仿宋" w:hAnsi="仿宋" w:eastAsia="仿宋"/>
          <w:color w:val="auto"/>
          <w:sz w:val="21"/>
          <w:szCs w:val="21"/>
        </w:rPr>
      </w:pPr>
      <w:bookmarkStart w:id="60" w:name="OLE_LINK224"/>
      <w:bookmarkStart w:id="61" w:name="OLE_LINK223"/>
      <w:r>
        <w:rPr>
          <w:rFonts w:hint="eastAsia" w:ascii="仿宋" w:hAnsi="仿宋" w:eastAsia="仿宋"/>
          <w:color w:val="auto"/>
          <w:sz w:val="21"/>
          <w:szCs w:val="21"/>
        </w:rPr>
        <w:t>3.</w:t>
      </w:r>
      <w:bookmarkEnd w:id="60"/>
      <w:bookmarkEnd w:id="61"/>
      <w:r>
        <w:rPr>
          <w:rFonts w:hint="eastAsia" w:ascii="仿宋" w:hAnsi="仿宋" w:eastAsia="仿宋"/>
          <w:color w:val="auto"/>
          <w:sz w:val="21"/>
          <w:szCs w:val="21"/>
        </w:rPr>
        <w:t>5、安装部署与培训：投标人应完成采购人指定设备或环境下的安装部署、运行测试和模拟测试，并提供不少于1次使用培训，培训内容包括安装、参数设置、实验运行、数据导出、异常处理和数据备份。</w:t>
      </w:r>
    </w:p>
    <w:p w14:paraId="6A0C831C">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3.6、修改与质保：投标人应提供不少于2次调试修改服务。验收后在合同约定质保期内，对程序缺陷、安装运行问题或数据导出异常提供修复支持；因采购人新增研究需求产生的功能扩展，双方另行确认。</w:t>
      </w:r>
    </w:p>
    <w:p w14:paraId="7D0EB18B">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3.7、知识产权与使用权：本项目形成的定制程序、任务配置、刺激材料和相关成果的使用权归采购人所有。未经采购人书面同意，投标人不得复制、传播、转让或用于其他项目。</w:t>
      </w:r>
    </w:p>
    <w:p w14:paraId="37BE22AC">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3.8、数据安全与保密：投标人应对被试数据、研究方案、程序参数和测试结果严格保密，不得将相关资料用于本项目以外用途；服务完成后按采购人要求返还或删除涉及数据。</w:t>
      </w:r>
    </w:p>
    <w:p w14:paraId="644C1E38">
      <w:pPr>
        <w:pStyle w:val="6"/>
        <w:spacing w:line="360" w:lineRule="auto"/>
        <w:ind w:firstLine="482"/>
        <w:contextualSpacing/>
        <w:rPr>
          <w:rFonts w:ascii="仿宋" w:hAnsi="仿宋" w:eastAsia="仿宋"/>
          <w:color w:val="auto"/>
          <w:sz w:val="21"/>
          <w:szCs w:val="21"/>
        </w:rPr>
      </w:pPr>
      <w:r>
        <w:rPr>
          <w:rFonts w:hint="eastAsia" w:ascii="仿宋" w:hAnsi="仿宋" w:eastAsia="仿宋"/>
          <w:color w:val="auto"/>
          <w:sz w:val="21"/>
          <w:szCs w:val="21"/>
        </w:rPr>
        <w:t>3.9、验收标准：验收以程序功能完整性、任务流程符合研究方案、计时和数据记录准确性、导出文件可用性、运行稳定性、培训和说明文档完整性以及采购人现场或远程测试确认为依据。</w:t>
      </w:r>
    </w:p>
    <w:p w14:paraId="38000D58">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（三）技术要求</w:t>
      </w:r>
    </w:p>
    <w:p w14:paraId="5CB9E277">
      <w:pPr>
        <w:pStyle w:val="6"/>
        <w:spacing w:line="360" w:lineRule="auto"/>
        <w:ind w:firstLine="482"/>
        <w:contextualSpacing/>
        <w:rPr>
          <w:rFonts w:ascii="仿宋" w:hAnsi="仿宋" w:eastAsia="仿宋"/>
          <w:b/>
          <w:color w:val="auto"/>
          <w:sz w:val="21"/>
        </w:rPr>
      </w:pPr>
      <w:bookmarkStart w:id="62" w:name="OLE_LINK228"/>
      <w:bookmarkStart w:id="63" w:name="OLE_LINK227"/>
      <w:r>
        <w:rPr>
          <w:rFonts w:hint="eastAsia" w:ascii="仿宋" w:hAnsi="仿宋" w:eastAsia="仿宋"/>
          <w:b/>
          <w:color w:val="auto"/>
          <w:sz w:val="21"/>
        </w:rPr>
        <w:t>1、ASQ问卷</w:t>
      </w:r>
      <w:bookmarkEnd w:id="62"/>
      <w:bookmarkEnd w:id="63"/>
    </w:p>
    <w:p w14:paraId="3D430AA9">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1.1、评估内容包括儿童综合发育筛查（测试一）和社会-情绪发育筛查（测试二）。要求测试一（ASQ-3）、测试二（ASQ:SE-2）。</w:t>
      </w:r>
    </w:p>
    <w:p w14:paraId="4FFCB96E">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1.2、测试一适用于1个月0天-66个月0天月龄儿童，测试二适用于1个月0天-72个月0天月龄儿童。</w:t>
      </w:r>
    </w:p>
    <w:p w14:paraId="380C30CD">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1.3、测试一和测试二具体内容要求如下：</w:t>
      </w:r>
    </w:p>
    <w:p w14:paraId="46B8FCC4">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a)测试一分为21个月龄组：评估6岁以下儿童的身体发育，每份问卷共有五个能区：沟通能区：评估对语言的理解和口头表达能力；粗大动作：评估大肌肉的运动能力；精细动作：评估手和手指的运动和协调的能力；解决问题：评估玩玩具和解决问题的能力；个人-社会：评估单独社交性玩耍、玩玩具、自助技能以及与其他人互动的能力。</w:t>
      </w:r>
    </w:p>
    <w:p w14:paraId="00EE4445">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b)测试二包括9个月龄组，评估评估6岁以下儿童的社会-情绪发展，心理健康水平，每份问卷共有七个能区：自我调控：使自己安静、安顿下来或适应生理或环境状况的能力或意愿；依从性：服从他人指令和遵守规则的能力或意愿；适应能力：成功地解决或应对生理需要（例如，睡觉、吃饭、排泄和安全）的能力；自主性：自行发起或无指令下行动（例如，自主移动）的能力或意愿；情感：展示感情和对他人的同情心的能力和意愿；社会-沟通：响应或自发发出言语或非言语信号来表示兴趣、需求、感觉、感情或内部状态的能力或意愿；人际互动：回应或发起与父母、其他成人和同龄儿童的社交反应的能力或意愿。</w:t>
      </w:r>
    </w:p>
    <w:p w14:paraId="4FBDC715">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2、近红外数据处理</w:t>
      </w:r>
    </w:p>
    <w:p w14:paraId="67502D82">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2.1、用于儿童认知发展、脑功能研究、临床科研项目及近红外脑功能数据的整理、预处理、统计分析和结果报告等事宜。</w:t>
      </w:r>
    </w:p>
    <w:p w14:paraId="09EEC66C">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2.2、服务内容包括近红外原始数据接收、数据质量评估、预处理流程建立、血氧信号指标提取、统计分析、结果可视化、分析报告撰写及必要的技术沟通支持。</w:t>
      </w:r>
    </w:p>
    <w:p w14:paraId="283EC9D2">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2.3、服务团队具备功能近红外光谱（fNIRS）数据处理分析经验，熟悉儿童或临床科研数据特点，需提供既往同类项目服务或技术能力证明材料。</w:t>
      </w:r>
    </w:p>
    <w:p w14:paraId="0BD133B1">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2.4、支持主流近红外设备导出的原始数据或通用数据格式，能够整理受试者基本信息、任务事件标记、通道位置信息、行为记录及实验分组信息，并形成可追溯的数据目录。</w:t>
      </w:r>
    </w:p>
    <w:p w14:paraId="73B8BBD4">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2.5、需开展数据质量控制，包括原始信号完整性检查、通道质量评估、信噪比评估、缺失数据标记、异常被试或异常通道识别，并出具数据质控说明。</w:t>
      </w:r>
    </w:p>
    <w:p w14:paraId="110AAC81">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2.6、需完成标准化预处理流程，包括但不限于光强信号转换、光密度转换、运动伪迹识别与校正、滤波、基线校正、坏通道处理、血红蛋白浓度变化量计算等。</w:t>
      </w:r>
    </w:p>
    <w:p w14:paraId="61888756">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2.7、应能够根据研究设计完成任务态或静息态分析。任务态分析包括事件或区组设计建模、条件对比、感兴趣通道或脑区指标提取；静息态分析包括功能连接、相关矩阵、网络指标或其他经双方确认的分析内容。</w:t>
      </w:r>
    </w:p>
    <w:p w14:paraId="4DBCCA1B">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2.8、分析结果需至少包括氧合血红蛋白（HbO）、脱氧血红蛋白（HbR）等核心指标，并能根据研究需要输出均值、峰值、积分值、斜率、激活强度、连接强度等可用于统计检验的指标。</w:t>
      </w:r>
    </w:p>
    <w:p w14:paraId="5EA23BCF">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2.9、需完成统计分析和可视化，包括组内/组间比较、条件比较、相关分析或回归分析等；输出图表应满足科研汇报和论文撰写的基本要求。</w:t>
      </w:r>
    </w:p>
    <w:p w14:paraId="10DD516A">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2.10、需提供完整交付物，包括清洗后的数据文件、指标汇总表、统计结果表、可视化图件、数据质控报告、分析方法说明、结果解释报告及可复核的分析流程文件。</w:t>
      </w:r>
    </w:p>
    <w:p w14:paraId="1589017D">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2.11、服务过程中应严格遵守数据安全和隐私保护要求。未经采购人书面同意，不得复制、转交、上传、公开或用于本项目以外用途；服务完成后按采购人要求返还或删除数据。</w:t>
      </w:r>
    </w:p>
    <w:p w14:paraId="440AD1CE">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2.12、需提供不少于2次技术沟通或线上培训，内容包括数据质控结果解释、分析流程说明、交付文件使用方法及后续论文或项目申报中结果表述建议。</w:t>
      </w:r>
    </w:p>
    <w:p w14:paraId="6E1FAAEB">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2.13、服务周期、数据批次、分析指标和报告版本应根据采购人项目进度实施。投标人在接收完整数据和研究方案后提交分析计划，经采购人确认后开展正式分析。</w:t>
      </w:r>
    </w:p>
    <w:p w14:paraId="07DB2EF2">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2.14、验收以交付物完整性、数据质控说明、分析流程可复核性、统计结果与图表可读性、报告内容准确性及采购人确认的技术要求为依据。</w:t>
      </w:r>
    </w:p>
    <w:p w14:paraId="7EA4AF56">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3、执行功能任务程序制作</w:t>
      </w:r>
    </w:p>
    <w:p w14:paraId="05357379">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3.1、用于儿童认知发展、执行功能评估、科研项目实验采集及行为学数据采集等事宜。</w:t>
      </w:r>
    </w:p>
    <w:p w14:paraId="6E9B941D">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3.2、服务内容包括执行功能任务程序设计、界面与刺激材料开发、实验流程控制、数据采集记录、结果导出、程序部署、测试调试和使用培训等。</w:t>
      </w:r>
    </w:p>
    <w:p w14:paraId="618E0E59">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3.3、服务团队具备心理学、儿童发展或认知实验程序开发经验，能够依据采购人研究方案开发符合实验范式要求的任务程序，需提供同类项目服务或技术能力证明材料。</w:t>
      </w:r>
    </w:p>
    <w:p w14:paraId="21C9693D">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3.4、程序应支持至少三类执行功能任务模块开发，包括抑制控制、工作记忆和认知灵活性。具体任务可根据研究方案设置为Go/No-Go、Flanker、Stroop、N-back、数字广度、维度转换卡片分类或同类范式。</w:t>
      </w:r>
    </w:p>
    <w:p w14:paraId="46D71B22">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3.5、程序需支持任务参数配置，包括刺激材料、试次数量、练习阶段、正式测试阶段、刺激呈现时长、刺激间隔、反馈规则、随机化规则、按键或触屏反应方式等。</w:t>
      </w:r>
    </w:p>
    <w:p w14:paraId="4538B640">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3.6、程序具备毫秒级时间记录能力，准确记录刺激呈现时间、反应时间、正确率、漏反应、误反应、试次编号、条件类型、被试编号、任务版本及时间戳等关键数据。</w:t>
      </w:r>
    </w:p>
    <w:p w14:paraId="2BB4995B">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3.7、程序界面应适用于儿童测试场景，界面简洁、操作清晰，支持指导语、练习反馈、正式测试提示、暂停和重新开始等功能。文字、图片、声音或动画刺激可按采购人要求定制。</w:t>
      </w:r>
    </w:p>
    <w:p w14:paraId="4A6C054F">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3.8、程序需支持实验流程标准化控制，包括被试信息录入、任务顺序设置、自动进入下一阶段、异常退出保护、数据自动保存和重复测试标记等。</w:t>
      </w:r>
    </w:p>
    <w:p w14:paraId="2D148BF4">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3.9、需提供数据导出功能，导出格式应包括Excel或CSV等通用格式，字段命名清晰，能够直接用于后续统计分析；原始反应数据和汇总指标应分别保存。</w:t>
      </w:r>
    </w:p>
    <w:p w14:paraId="0849EAD5">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3.10、程序应可在采购人指定的常用电脑或平板环境中稳定运行，正式交付前需完成安装部署、功能测试、计时测试和模拟被试测试，并提交测试记录。</w:t>
      </w:r>
    </w:p>
    <w:p w14:paraId="16C2A308">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3.11、需根据采购人研究需要输出汇总指标，包括但不限于平均反应时、正确率、错误率、冲突效应、工作记忆得分、转换成本、任务完成率等。</w:t>
      </w:r>
    </w:p>
    <w:p w14:paraId="43F51F7B">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3.12、需提供完整交付物，包括可运行程序、安装文件或部署包、任务参数配置文件、刺激材料文件、数据字段说明、使用说明书、测试报告和必要的源文件或可维护文件。</w:t>
      </w:r>
    </w:p>
    <w:p w14:paraId="2DC586A7">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3.13、程序及定制开发成果的使用权应归采购人所有。未经采购人书面同意，投标人不得将本项目程序、刺激材料、被试数据或研究方案用于其他项目。</w:t>
      </w:r>
    </w:p>
    <w:p w14:paraId="0DCB8DC3">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3.14、需提供不少于2次调试修改服务和不少于1次使用培训，培训内容包括程序安装、参数设置、实验运行、数据导出、常见问题处理和数据备份。</w:t>
      </w:r>
    </w:p>
    <w:p w14:paraId="6CB17A81">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3.15、验收以程序功能完整性、任务流程符合研究方案、数据记录准确性、导出文件可用性、运行稳定性、说明文档完整性及采购人现场或远程测试确认为依据。</w:t>
      </w:r>
    </w:p>
    <w:p w14:paraId="646E76CD">
      <w:pPr>
        <w:pStyle w:val="6"/>
        <w:spacing w:line="360" w:lineRule="auto"/>
        <w:ind w:firstLine="482"/>
        <w:contextualSpacing/>
        <w:rPr>
          <w:rFonts w:ascii="仿宋" w:hAnsi="仿宋" w:eastAsia="仿宋"/>
          <w:b/>
          <w:color w:val="auto"/>
        </w:rPr>
      </w:pPr>
    </w:p>
    <w:p w14:paraId="62CE0030">
      <w:pPr>
        <w:pStyle w:val="6"/>
        <w:spacing w:line="360" w:lineRule="auto"/>
        <w:ind w:firstLine="482"/>
        <w:contextualSpacing/>
        <w:jc w:val="center"/>
        <w:rPr>
          <w:rFonts w:ascii="仿宋" w:hAnsi="仿宋" w:eastAsia="仿宋"/>
          <w:b/>
          <w:color w:val="auto"/>
        </w:rPr>
      </w:pPr>
      <w:r>
        <w:rPr>
          <w:rFonts w:ascii="仿宋" w:hAnsi="仿宋" w:eastAsia="仿宋"/>
          <w:b/>
          <w:color w:val="auto"/>
        </w:rPr>
        <w:t>第</w:t>
      </w:r>
      <w:r>
        <w:rPr>
          <w:rFonts w:hint="eastAsia" w:ascii="仿宋" w:hAnsi="仿宋" w:eastAsia="仿宋"/>
          <w:b/>
          <w:color w:val="auto"/>
        </w:rPr>
        <w:t>9包 测试化验加工委托服务9</w:t>
      </w:r>
    </w:p>
    <w:p w14:paraId="750CA7C1">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（一）委托服务</w:t>
      </w:r>
    </w:p>
    <w:tbl>
      <w:tblPr>
        <w:tblStyle w:val="4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0"/>
        <w:gridCol w:w="1447"/>
        <w:gridCol w:w="1561"/>
        <w:gridCol w:w="2320"/>
      </w:tblGrid>
      <w:tr w14:paraId="57B79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876" w:type="pct"/>
            <w:shd w:val="clear" w:color="auto" w:fill="auto"/>
            <w:vAlign w:val="center"/>
          </w:tcPr>
          <w:p w14:paraId="337D477F">
            <w:pPr>
              <w:widowControl/>
              <w:spacing w:line="276" w:lineRule="auto"/>
              <w:contextualSpacing/>
              <w:jc w:val="center"/>
              <w:rPr>
                <w:rFonts w:ascii="仿宋" w:hAnsi="仿宋" w:eastAsia="仿宋" w:cs="宋体"/>
                <w:b/>
                <w:bCs/>
                <w:color w:val="auto"/>
                <w:kern w:val="0"/>
                <w:szCs w:val="21"/>
              </w:rPr>
            </w:pPr>
            <w:r>
              <w:rPr>
                <w:rFonts w:hint="eastAsia" w:ascii="仿宋" w:hAnsi="仿宋" w:eastAsia="仿宋" w:cs="宋体"/>
                <w:b/>
                <w:bCs/>
                <w:color w:val="auto"/>
                <w:kern w:val="0"/>
                <w:szCs w:val="21"/>
              </w:rPr>
              <w:t>项目明细名称</w:t>
            </w:r>
          </w:p>
        </w:tc>
        <w:tc>
          <w:tcPr>
            <w:tcW w:w="848" w:type="pct"/>
            <w:shd w:val="clear" w:color="auto" w:fill="auto"/>
            <w:noWrap/>
            <w:vAlign w:val="center"/>
          </w:tcPr>
          <w:p w14:paraId="682C9A3E">
            <w:pPr>
              <w:widowControl/>
              <w:spacing w:line="276" w:lineRule="auto"/>
              <w:contextualSpacing/>
              <w:jc w:val="center"/>
              <w:rPr>
                <w:rFonts w:ascii="仿宋" w:hAnsi="仿宋" w:eastAsia="仿宋" w:cs="宋体"/>
                <w:b/>
                <w:color w:val="auto"/>
                <w:kern w:val="0"/>
                <w:szCs w:val="21"/>
              </w:rPr>
            </w:pPr>
            <w:r>
              <w:rPr>
                <w:rFonts w:hint="eastAsia" w:ascii="仿宋" w:hAnsi="仿宋" w:eastAsia="仿宋" w:cs="宋体"/>
                <w:b/>
                <w:color w:val="auto"/>
                <w:kern w:val="0"/>
                <w:szCs w:val="21"/>
              </w:rPr>
              <w:t>单位</w:t>
            </w:r>
          </w:p>
        </w:tc>
        <w:tc>
          <w:tcPr>
            <w:tcW w:w="915" w:type="pct"/>
            <w:shd w:val="clear" w:color="auto" w:fill="auto"/>
            <w:vAlign w:val="center"/>
          </w:tcPr>
          <w:p w14:paraId="122624D4">
            <w:pPr>
              <w:widowControl/>
              <w:spacing w:line="276" w:lineRule="auto"/>
              <w:contextualSpacing/>
              <w:jc w:val="center"/>
              <w:rPr>
                <w:rFonts w:ascii="仿宋" w:hAnsi="仿宋" w:eastAsia="仿宋" w:cs="宋体"/>
                <w:b/>
                <w:color w:val="auto"/>
                <w:kern w:val="0"/>
                <w:szCs w:val="21"/>
              </w:rPr>
            </w:pPr>
            <w:r>
              <w:rPr>
                <w:rFonts w:hint="eastAsia" w:ascii="仿宋" w:hAnsi="仿宋" w:eastAsia="仿宋" w:cs="宋体"/>
                <w:b/>
                <w:color w:val="auto"/>
                <w:kern w:val="0"/>
                <w:szCs w:val="21"/>
              </w:rPr>
              <w:t>数量</w:t>
            </w:r>
          </w:p>
        </w:tc>
        <w:tc>
          <w:tcPr>
            <w:tcW w:w="1360" w:type="pct"/>
            <w:shd w:val="clear" w:color="auto" w:fill="auto"/>
            <w:vAlign w:val="center"/>
          </w:tcPr>
          <w:p w14:paraId="5C5F867F">
            <w:pPr>
              <w:widowControl/>
              <w:spacing w:line="276" w:lineRule="auto"/>
              <w:contextualSpacing/>
              <w:jc w:val="center"/>
              <w:rPr>
                <w:rFonts w:ascii="仿宋" w:hAnsi="仿宋" w:eastAsia="仿宋" w:cs="宋体"/>
                <w:b/>
                <w:color w:val="auto"/>
                <w:kern w:val="0"/>
                <w:szCs w:val="21"/>
              </w:rPr>
            </w:pPr>
            <w:r>
              <w:rPr>
                <w:rFonts w:hint="eastAsia" w:ascii="仿宋" w:hAnsi="仿宋" w:eastAsia="仿宋" w:cs="宋体"/>
                <w:b/>
                <w:color w:val="auto"/>
                <w:kern w:val="0"/>
                <w:szCs w:val="21"/>
              </w:rPr>
              <w:t>单价限价（人民币元）</w:t>
            </w:r>
          </w:p>
        </w:tc>
      </w:tr>
      <w:tr w14:paraId="424AF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876" w:type="pct"/>
            <w:shd w:val="clear" w:color="auto" w:fill="auto"/>
            <w:vAlign w:val="center"/>
          </w:tcPr>
          <w:p w14:paraId="3993CA8D">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HE染色</w:t>
            </w:r>
          </w:p>
        </w:tc>
        <w:tc>
          <w:tcPr>
            <w:tcW w:w="848" w:type="pct"/>
            <w:shd w:val="clear" w:color="auto" w:fill="auto"/>
            <w:noWrap/>
            <w:vAlign w:val="center"/>
          </w:tcPr>
          <w:p w14:paraId="75CE59D6">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样本</w:t>
            </w:r>
          </w:p>
        </w:tc>
        <w:tc>
          <w:tcPr>
            <w:tcW w:w="915" w:type="pct"/>
            <w:shd w:val="clear" w:color="auto" w:fill="auto"/>
            <w:vAlign w:val="center"/>
          </w:tcPr>
          <w:p w14:paraId="0859660D">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98</w:t>
            </w:r>
          </w:p>
        </w:tc>
        <w:tc>
          <w:tcPr>
            <w:tcW w:w="1360" w:type="pct"/>
            <w:shd w:val="clear" w:color="auto" w:fill="auto"/>
            <w:vAlign w:val="center"/>
          </w:tcPr>
          <w:p w14:paraId="68ACA536">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25.00</w:t>
            </w:r>
          </w:p>
        </w:tc>
      </w:tr>
    </w:tbl>
    <w:p w14:paraId="22CCEFFD">
      <w:pPr>
        <w:spacing w:line="360" w:lineRule="auto"/>
        <w:contextualSpacing/>
        <w:rPr>
          <w:rFonts w:ascii="仿宋" w:hAnsi="仿宋" w:eastAsia="仿宋" w:cs="仿宋"/>
          <w:b/>
          <w:bCs/>
          <w:color w:val="auto"/>
          <w:szCs w:val="21"/>
        </w:rPr>
      </w:pPr>
      <w:r>
        <w:rPr>
          <w:rFonts w:hint="eastAsia" w:ascii="仿宋" w:hAnsi="仿宋" w:eastAsia="仿宋" w:cs="仿宋"/>
          <w:b/>
          <w:bCs/>
          <w:color w:val="auto"/>
          <w:szCs w:val="21"/>
        </w:rPr>
        <w:t>注：1）投标人所报委托服务明细单价不能超过上述单价限价，否则按废标处理。</w:t>
      </w:r>
    </w:p>
    <w:p w14:paraId="697F1609">
      <w:pPr>
        <w:spacing w:line="360" w:lineRule="auto"/>
        <w:ind w:firstLine="422" w:firstLineChars="200"/>
        <w:contextualSpacing/>
        <w:rPr>
          <w:rFonts w:ascii="仿宋" w:hAnsi="仿宋" w:eastAsia="仿宋"/>
          <w:b/>
          <w:color w:val="auto"/>
        </w:rPr>
      </w:pPr>
      <w:r>
        <w:rPr>
          <w:rFonts w:hint="eastAsia" w:ascii="仿宋" w:hAnsi="仿宋" w:eastAsia="仿宋" w:cs="仿宋"/>
          <w:b/>
          <w:bCs/>
          <w:color w:val="auto"/>
          <w:szCs w:val="21"/>
        </w:rPr>
        <w:t>2）投标人所报数量不能低于上述委托服务中列明的数量，否则按废标处理。</w:t>
      </w:r>
    </w:p>
    <w:p w14:paraId="4B7D4544">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（二）商务要求</w:t>
      </w:r>
    </w:p>
    <w:p w14:paraId="79054890">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1、结果交付及实施保障条件：</w:t>
      </w:r>
    </w:p>
    <w:p w14:paraId="5ABDA37D">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1.1、交付时间：自提交合格样品起计算，在21个自然日内交付病理切片、蜡块、HE染色扫描文件。</w:t>
      </w:r>
    </w:p>
    <w:p w14:paraId="3835D0E5">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1.2、交付形式：提供样本的病理包埋蜡块、切片、HE染色片及切片扫描结果全部的原始文件。</w:t>
      </w:r>
    </w:p>
    <w:p w14:paraId="039BBCE8">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1.3、严格执行合同相关规定，对样本数据的保密。</w:t>
      </w:r>
    </w:p>
    <w:p w14:paraId="08AAD059">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2、实施保障条件</w:t>
      </w:r>
    </w:p>
    <w:p w14:paraId="1C07A56D">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2.1、具备在21个自然日内完成提供样本的病理制片能力。</w:t>
      </w:r>
    </w:p>
    <w:p w14:paraId="6C61F7D3">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2.2、团队项目参与人员具备专业的病理基础服务能力。</w:t>
      </w:r>
    </w:p>
    <w:p w14:paraId="056D4075">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3、售后服务</w:t>
      </w:r>
    </w:p>
    <w:p w14:paraId="4B4E8412">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3.1、数据验收合格后提供2年的售后服务，在服务期内，免费进行疑难问题解答，对数据分析结果和相关软件产品进行使用指导，并安排技术人员通过往来信函、电话、传真、电子邮件方式解答用户在数据使用过程中碰到的各种技术问题。</w:t>
      </w:r>
    </w:p>
    <w:p w14:paraId="018C9F90">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3.2、咨询响应时间：1小时内回复，24小时内指派合格的技术人员进行回复。</w:t>
      </w:r>
    </w:p>
    <w:p w14:paraId="70F0DEE7">
      <w:pPr>
        <w:pStyle w:val="6"/>
        <w:spacing w:line="360" w:lineRule="auto"/>
        <w:ind w:firstLine="482"/>
        <w:rPr>
          <w:rFonts w:ascii="仿宋" w:hAnsi="仿宋" w:eastAsia="仿宋"/>
          <w:color w:val="auto"/>
          <w:sz w:val="21"/>
        </w:rPr>
      </w:pPr>
      <w:r>
        <w:rPr>
          <w:rFonts w:hint="eastAsia" w:ascii="仿宋" w:hAnsi="仿宋" w:eastAsia="仿宋"/>
          <w:color w:val="auto"/>
          <w:sz w:val="21"/>
        </w:rPr>
        <w:t>4.投标人应建立完善的数据安全和保密管理制度，对采购人提供的样本信息、检测数据、研究成果等承担保密义务。未经采购人书面同意，不得将任何数据资料用于本项目以外的用途。项目完成后，应按采购人要求返还或销毁相关数据。</w:t>
      </w:r>
    </w:p>
    <w:p w14:paraId="63A449AA">
      <w:pPr>
        <w:pStyle w:val="6"/>
        <w:spacing w:line="360" w:lineRule="auto"/>
        <w:ind w:firstLine="482"/>
        <w:rPr>
          <w:rFonts w:ascii="仿宋" w:hAnsi="仿宋" w:eastAsia="仿宋"/>
          <w:color w:val="auto"/>
          <w:sz w:val="21"/>
        </w:rPr>
      </w:pPr>
      <w:r>
        <w:rPr>
          <w:rFonts w:hint="eastAsia" w:ascii="仿宋" w:hAnsi="仿宋" w:eastAsia="仿宋"/>
          <w:color w:val="auto"/>
          <w:sz w:val="21"/>
        </w:rPr>
        <w:t>5.本项目产生的检测数据、分析结果及相关研究成果的知识产权归采购人所有。</w:t>
      </w:r>
    </w:p>
    <w:p w14:paraId="722288C4">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6.投标人应建立样品接收、登记、储存、处理、销毁的全流程管理制度，确保样品可追溯、可核查。</w:t>
      </w:r>
      <w:bookmarkStart w:id="64" w:name="OLE_LINK129"/>
      <w:bookmarkStart w:id="65" w:name="OLE_LINK130"/>
      <w:r>
        <w:rPr>
          <w:rFonts w:hint="eastAsia" w:ascii="仿宋" w:hAnsi="仿宋" w:eastAsia="仿宋"/>
          <w:color w:val="auto"/>
          <w:sz w:val="21"/>
        </w:rPr>
        <w:t>需安排专人上门接收样品，并提供取样人员名单及联系方式。</w:t>
      </w:r>
      <w:bookmarkEnd w:id="64"/>
      <w:bookmarkEnd w:id="65"/>
    </w:p>
    <w:p w14:paraId="6BD9F435">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（三）技术要求</w:t>
      </w:r>
    </w:p>
    <w:p w14:paraId="17DD288D">
      <w:pPr>
        <w:pStyle w:val="6"/>
        <w:spacing w:line="360" w:lineRule="auto"/>
        <w:ind w:firstLine="482"/>
        <w:contextualSpacing/>
        <w:rPr>
          <w:rFonts w:ascii="仿宋" w:hAnsi="仿宋" w:eastAsia="仿宋"/>
          <w:color w:val="auto"/>
          <w:sz w:val="21"/>
        </w:rPr>
      </w:pPr>
      <w:r>
        <w:rPr>
          <w:rFonts w:hint="eastAsia" w:ascii="仿宋" w:hAnsi="仿宋" w:eastAsia="仿宋"/>
          <w:bCs/>
          <w:color w:val="auto"/>
          <w:sz w:val="21"/>
        </w:rPr>
        <w:t>1、</w:t>
      </w:r>
      <w:r>
        <w:rPr>
          <w:rFonts w:hint="eastAsia" w:ascii="仿宋" w:hAnsi="仿宋" w:eastAsia="仿宋"/>
          <w:color w:val="auto"/>
          <w:sz w:val="21"/>
        </w:rPr>
        <w:t>实验平台需包含病理、蛋白、细胞、分子、生化检测、动物模型以及多组学分析为一体的全链条方法学。</w:t>
      </w:r>
    </w:p>
    <w:p w14:paraId="761707BE">
      <w:pPr>
        <w:pStyle w:val="6"/>
        <w:spacing w:line="360" w:lineRule="auto"/>
        <w:ind w:firstLine="482"/>
        <w:contextualSpacing/>
        <w:rPr>
          <w:rFonts w:ascii="仿宋" w:hAnsi="仿宋" w:eastAsia="仿宋"/>
          <w:color w:val="auto"/>
          <w:sz w:val="21"/>
        </w:rPr>
      </w:pPr>
      <w:r>
        <w:rPr>
          <w:rFonts w:hint="eastAsia" w:ascii="仿宋" w:hAnsi="仿宋" w:eastAsia="仿宋"/>
          <w:bCs/>
          <w:color w:val="auto"/>
          <w:sz w:val="21"/>
        </w:rPr>
        <w:t>2、</w:t>
      </w:r>
      <w:r>
        <w:rPr>
          <w:rFonts w:hint="eastAsia" w:ascii="仿宋" w:hAnsi="仿宋" w:eastAsia="仿宋"/>
          <w:color w:val="auto"/>
          <w:sz w:val="21"/>
        </w:rPr>
        <w:t>提供病理切片相关的图像扫描及分析结果数据，包含病理样本包埋块、HE染色切片，扫描结果文件和结果文件分析实验报告。</w:t>
      </w:r>
    </w:p>
    <w:p w14:paraId="4B9ED5F6">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3、项目管理实施要求：项目管理人员1人，具有中级及以上职称。</w:t>
      </w:r>
    </w:p>
    <w:p w14:paraId="237A8FC4">
      <w:pPr>
        <w:pStyle w:val="6"/>
        <w:spacing w:line="360" w:lineRule="auto"/>
        <w:ind w:firstLine="482"/>
        <w:contextualSpacing/>
        <w:rPr>
          <w:rFonts w:ascii="仿宋" w:hAnsi="仿宋" w:eastAsia="仿宋"/>
          <w:color w:val="auto"/>
          <w:sz w:val="21"/>
        </w:rPr>
      </w:pPr>
      <w:r>
        <w:rPr>
          <w:rFonts w:hint="eastAsia" w:ascii="仿宋" w:hAnsi="仿宋" w:eastAsia="仿宋"/>
          <w:color w:val="auto"/>
          <w:sz w:val="21"/>
        </w:rPr>
        <w:t>4、分析要求及验收标准：分析报告需包括典型特征图片、阳性比例数据，结果交付报告包含PDF报告、excel阳性占比数据等。</w:t>
      </w:r>
    </w:p>
    <w:p w14:paraId="2FCF62EA">
      <w:pPr>
        <w:pStyle w:val="6"/>
        <w:spacing w:line="360" w:lineRule="auto"/>
        <w:ind w:firstLine="482"/>
        <w:rPr>
          <w:rFonts w:ascii="仿宋" w:hAnsi="仿宋" w:eastAsia="仿宋"/>
          <w:color w:val="auto"/>
          <w:sz w:val="21"/>
        </w:rPr>
      </w:pPr>
      <w:r>
        <w:rPr>
          <w:rFonts w:hint="eastAsia" w:ascii="仿宋" w:hAnsi="仿宋" w:eastAsia="仿宋"/>
          <w:color w:val="auto"/>
          <w:sz w:val="21"/>
        </w:rPr>
        <w:t>5.投标人应建立完善的数据安全和保密管理制度，对采购人提供的样本信息、检测数据、研究成果等承担保密义务。未经采购人书面同意，不得将任何数据资料用于本项目以外的用途。项目完成后，应按采购人要求返还或销毁相关数据。</w:t>
      </w:r>
    </w:p>
    <w:p w14:paraId="3AB6C597">
      <w:pPr>
        <w:pStyle w:val="6"/>
        <w:spacing w:line="360" w:lineRule="auto"/>
        <w:ind w:firstLine="482"/>
        <w:rPr>
          <w:rFonts w:ascii="仿宋" w:hAnsi="仿宋" w:eastAsia="仿宋"/>
          <w:color w:val="auto"/>
          <w:sz w:val="21"/>
        </w:rPr>
      </w:pPr>
      <w:r>
        <w:rPr>
          <w:rFonts w:hint="eastAsia" w:ascii="仿宋" w:hAnsi="仿宋" w:eastAsia="仿宋"/>
          <w:color w:val="auto"/>
          <w:sz w:val="21"/>
        </w:rPr>
        <w:t>6.本项目产生的检测数据、分析结果及相关研究成果的知识产权归采购人所有。</w:t>
      </w:r>
    </w:p>
    <w:p w14:paraId="6796DB7C">
      <w:pPr>
        <w:pStyle w:val="6"/>
        <w:spacing w:line="360" w:lineRule="auto"/>
        <w:ind w:firstLine="482"/>
        <w:rPr>
          <w:rFonts w:ascii="仿宋" w:hAnsi="仿宋" w:eastAsia="仿宋"/>
          <w:color w:val="auto"/>
          <w:sz w:val="18"/>
        </w:rPr>
      </w:pPr>
      <w:r>
        <w:rPr>
          <w:rFonts w:hint="eastAsia" w:ascii="仿宋" w:hAnsi="仿宋" w:eastAsia="仿宋"/>
          <w:color w:val="auto"/>
          <w:sz w:val="21"/>
        </w:rPr>
        <w:t>7.</w:t>
      </w:r>
      <w:bookmarkStart w:id="66" w:name="OLE_LINK86"/>
      <w:bookmarkStart w:id="67" w:name="OLE_LINK87"/>
      <w:r>
        <w:rPr>
          <w:rFonts w:hint="eastAsia" w:ascii="仿宋" w:hAnsi="仿宋" w:eastAsia="仿宋"/>
          <w:color w:val="auto"/>
          <w:sz w:val="21"/>
        </w:rPr>
        <w:t>投标人应建立样品接收、登记、储存、处理、销毁的全流程管理制度，确保样品可追溯、可核查</w:t>
      </w:r>
      <w:bookmarkEnd w:id="66"/>
      <w:bookmarkEnd w:id="67"/>
      <w:r>
        <w:rPr>
          <w:rFonts w:hint="eastAsia" w:ascii="仿宋" w:hAnsi="仿宋" w:eastAsia="仿宋"/>
          <w:color w:val="auto"/>
          <w:sz w:val="21"/>
        </w:rPr>
        <w:t>。</w:t>
      </w:r>
    </w:p>
    <w:p w14:paraId="6E67E70D">
      <w:pPr>
        <w:pStyle w:val="6"/>
        <w:spacing w:line="360" w:lineRule="auto"/>
        <w:ind w:firstLine="482"/>
        <w:contextualSpacing/>
        <w:jc w:val="center"/>
        <w:rPr>
          <w:rFonts w:ascii="仿宋" w:hAnsi="仿宋" w:eastAsia="仿宋"/>
          <w:b/>
          <w:color w:val="auto"/>
        </w:rPr>
      </w:pPr>
    </w:p>
    <w:p w14:paraId="196B3EAB">
      <w:pPr>
        <w:pStyle w:val="6"/>
        <w:spacing w:line="360" w:lineRule="auto"/>
        <w:ind w:firstLine="482"/>
        <w:contextualSpacing/>
        <w:jc w:val="center"/>
        <w:rPr>
          <w:rFonts w:ascii="仿宋" w:hAnsi="仿宋" w:eastAsia="仿宋"/>
          <w:b/>
          <w:color w:val="auto"/>
        </w:rPr>
      </w:pPr>
      <w:r>
        <w:rPr>
          <w:rFonts w:ascii="仿宋" w:hAnsi="仿宋" w:eastAsia="仿宋"/>
          <w:b/>
          <w:color w:val="auto"/>
        </w:rPr>
        <w:t>第</w:t>
      </w:r>
      <w:r>
        <w:rPr>
          <w:rFonts w:hint="eastAsia" w:ascii="仿宋" w:hAnsi="仿宋" w:eastAsia="仿宋"/>
          <w:b/>
          <w:color w:val="auto"/>
        </w:rPr>
        <w:t>10包 测试化验加工委托服务10</w:t>
      </w:r>
    </w:p>
    <w:p w14:paraId="032D151B">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（一）委托服务</w:t>
      </w:r>
    </w:p>
    <w:tbl>
      <w:tblPr>
        <w:tblStyle w:val="4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0"/>
        <w:gridCol w:w="1447"/>
        <w:gridCol w:w="1561"/>
        <w:gridCol w:w="2320"/>
      </w:tblGrid>
      <w:tr w14:paraId="366BE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876" w:type="pct"/>
            <w:shd w:val="clear" w:color="auto" w:fill="auto"/>
            <w:vAlign w:val="center"/>
          </w:tcPr>
          <w:p w14:paraId="738F6E25">
            <w:pPr>
              <w:widowControl/>
              <w:spacing w:line="276" w:lineRule="auto"/>
              <w:contextualSpacing/>
              <w:jc w:val="center"/>
              <w:rPr>
                <w:rFonts w:ascii="仿宋" w:hAnsi="仿宋" w:eastAsia="仿宋" w:cs="宋体"/>
                <w:b/>
                <w:bCs/>
                <w:color w:val="auto"/>
                <w:kern w:val="0"/>
                <w:szCs w:val="21"/>
              </w:rPr>
            </w:pPr>
            <w:r>
              <w:rPr>
                <w:rFonts w:hint="eastAsia" w:ascii="仿宋" w:hAnsi="仿宋" w:eastAsia="仿宋" w:cs="宋体"/>
                <w:b/>
                <w:bCs/>
                <w:color w:val="auto"/>
                <w:kern w:val="0"/>
                <w:szCs w:val="21"/>
              </w:rPr>
              <w:t>项目明细名称</w:t>
            </w:r>
          </w:p>
        </w:tc>
        <w:tc>
          <w:tcPr>
            <w:tcW w:w="848" w:type="pct"/>
            <w:shd w:val="clear" w:color="auto" w:fill="auto"/>
            <w:noWrap/>
            <w:vAlign w:val="center"/>
          </w:tcPr>
          <w:p w14:paraId="60816A44">
            <w:pPr>
              <w:widowControl/>
              <w:spacing w:line="276" w:lineRule="auto"/>
              <w:contextualSpacing/>
              <w:jc w:val="center"/>
              <w:rPr>
                <w:rFonts w:ascii="仿宋" w:hAnsi="仿宋" w:eastAsia="仿宋" w:cs="宋体"/>
                <w:b/>
                <w:color w:val="auto"/>
                <w:kern w:val="0"/>
                <w:szCs w:val="21"/>
              </w:rPr>
            </w:pPr>
            <w:r>
              <w:rPr>
                <w:rFonts w:hint="eastAsia" w:ascii="仿宋" w:hAnsi="仿宋" w:eastAsia="仿宋" w:cs="宋体"/>
                <w:b/>
                <w:color w:val="auto"/>
                <w:kern w:val="0"/>
                <w:szCs w:val="21"/>
              </w:rPr>
              <w:t>单位</w:t>
            </w:r>
          </w:p>
        </w:tc>
        <w:tc>
          <w:tcPr>
            <w:tcW w:w="915" w:type="pct"/>
            <w:shd w:val="clear" w:color="auto" w:fill="auto"/>
            <w:vAlign w:val="center"/>
          </w:tcPr>
          <w:p w14:paraId="5FD6A7F7">
            <w:pPr>
              <w:widowControl/>
              <w:spacing w:line="276" w:lineRule="auto"/>
              <w:contextualSpacing/>
              <w:jc w:val="center"/>
              <w:rPr>
                <w:rFonts w:ascii="仿宋" w:hAnsi="仿宋" w:eastAsia="仿宋" w:cs="宋体"/>
                <w:b/>
                <w:color w:val="auto"/>
                <w:kern w:val="0"/>
                <w:szCs w:val="21"/>
              </w:rPr>
            </w:pPr>
            <w:r>
              <w:rPr>
                <w:rFonts w:hint="eastAsia" w:ascii="仿宋" w:hAnsi="仿宋" w:eastAsia="仿宋" w:cs="宋体"/>
                <w:b/>
                <w:color w:val="auto"/>
                <w:kern w:val="0"/>
                <w:szCs w:val="21"/>
              </w:rPr>
              <w:t>数量</w:t>
            </w:r>
          </w:p>
        </w:tc>
        <w:tc>
          <w:tcPr>
            <w:tcW w:w="1360" w:type="pct"/>
            <w:shd w:val="clear" w:color="auto" w:fill="auto"/>
            <w:vAlign w:val="center"/>
          </w:tcPr>
          <w:p w14:paraId="48F692D6">
            <w:pPr>
              <w:widowControl/>
              <w:spacing w:line="276" w:lineRule="auto"/>
              <w:contextualSpacing/>
              <w:jc w:val="center"/>
              <w:rPr>
                <w:rFonts w:ascii="仿宋" w:hAnsi="仿宋" w:eastAsia="仿宋" w:cs="宋体"/>
                <w:b/>
                <w:color w:val="auto"/>
                <w:kern w:val="0"/>
                <w:szCs w:val="21"/>
              </w:rPr>
            </w:pPr>
            <w:r>
              <w:rPr>
                <w:rFonts w:hint="eastAsia" w:ascii="仿宋" w:hAnsi="仿宋" w:eastAsia="仿宋" w:cs="宋体"/>
                <w:b/>
                <w:color w:val="auto"/>
                <w:kern w:val="0"/>
                <w:szCs w:val="21"/>
              </w:rPr>
              <w:t>单价限价（人民币元）</w:t>
            </w:r>
          </w:p>
        </w:tc>
      </w:tr>
      <w:tr w14:paraId="44D1D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876" w:type="pct"/>
            <w:shd w:val="clear" w:color="auto" w:fill="auto"/>
            <w:vAlign w:val="center"/>
          </w:tcPr>
          <w:p w14:paraId="64D63C87">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纳米药物形态表征</w:t>
            </w:r>
          </w:p>
        </w:tc>
        <w:tc>
          <w:tcPr>
            <w:tcW w:w="848" w:type="pct"/>
            <w:shd w:val="clear" w:color="auto" w:fill="auto"/>
            <w:noWrap/>
            <w:vAlign w:val="center"/>
          </w:tcPr>
          <w:p w14:paraId="09DCE23C">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样本</w:t>
            </w:r>
          </w:p>
        </w:tc>
        <w:tc>
          <w:tcPr>
            <w:tcW w:w="915" w:type="pct"/>
            <w:shd w:val="clear" w:color="auto" w:fill="auto"/>
            <w:vAlign w:val="center"/>
          </w:tcPr>
          <w:p w14:paraId="79DFCD71">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40</w:t>
            </w:r>
          </w:p>
        </w:tc>
        <w:tc>
          <w:tcPr>
            <w:tcW w:w="1360" w:type="pct"/>
            <w:shd w:val="clear" w:color="auto" w:fill="auto"/>
            <w:vAlign w:val="center"/>
          </w:tcPr>
          <w:p w14:paraId="19D96A5B">
            <w:pPr>
              <w:widowControl/>
              <w:spacing w:line="276" w:lineRule="auto"/>
              <w:contextualSpacing/>
              <w:jc w:val="center"/>
              <w:rPr>
                <w:rFonts w:ascii="仿宋" w:hAnsi="仿宋" w:eastAsia="仿宋" w:cs="宋体"/>
                <w:color w:val="auto"/>
                <w:kern w:val="0"/>
                <w:szCs w:val="21"/>
              </w:rPr>
            </w:pPr>
            <w:r>
              <w:rPr>
                <w:rFonts w:hint="eastAsia" w:ascii="仿宋" w:hAnsi="仿宋" w:eastAsia="仿宋" w:cs="宋体"/>
                <w:color w:val="auto"/>
                <w:kern w:val="0"/>
                <w:szCs w:val="21"/>
              </w:rPr>
              <w:t>300.00</w:t>
            </w:r>
          </w:p>
        </w:tc>
      </w:tr>
    </w:tbl>
    <w:p w14:paraId="40B4D9B8">
      <w:pPr>
        <w:spacing w:line="360" w:lineRule="auto"/>
        <w:contextualSpacing/>
        <w:rPr>
          <w:rFonts w:ascii="仿宋" w:hAnsi="仿宋" w:eastAsia="仿宋" w:cs="仿宋"/>
          <w:b/>
          <w:bCs/>
          <w:color w:val="auto"/>
          <w:szCs w:val="21"/>
        </w:rPr>
      </w:pPr>
      <w:r>
        <w:rPr>
          <w:rFonts w:hint="eastAsia" w:ascii="仿宋" w:hAnsi="仿宋" w:eastAsia="仿宋" w:cs="仿宋"/>
          <w:b/>
          <w:bCs/>
          <w:color w:val="auto"/>
          <w:szCs w:val="21"/>
        </w:rPr>
        <w:t>注：1）投标人所报委托服务明细单价不能超过上述单价限价，否则按废标处理。</w:t>
      </w:r>
    </w:p>
    <w:p w14:paraId="75113C6F">
      <w:pPr>
        <w:spacing w:line="360" w:lineRule="auto"/>
        <w:ind w:firstLine="422" w:firstLineChars="200"/>
        <w:contextualSpacing/>
        <w:rPr>
          <w:rFonts w:ascii="仿宋" w:hAnsi="仿宋" w:eastAsia="仿宋"/>
          <w:b/>
          <w:color w:val="auto"/>
        </w:rPr>
      </w:pPr>
      <w:r>
        <w:rPr>
          <w:rFonts w:hint="eastAsia" w:ascii="仿宋" w:hAnsi="仿宋" w:eastAsia="仿宋" w:cs="仿宋"/>
          <w:b/>
          <w:bCs/>
          <w:color w:val="auto"/>
          <w:szCs w:val="21"/>
        </w:rPr>
        <w:t>2）投标人所报数量不能低于上述委托服务中列明的数量，否则按废标处理。</w:t>
      </w:r>
    </w:p>
    <w:p w14:paraId="3148714D">
      <w:pPr>
        <w:pStyle w:val="6"/>
        <w:spacing w:line="360" w:lineRule="auto"/>
        <w:ind w:firstLine="482"/>
        <w:contextualSpacing/>
        <w:rPr>
          <w:rFonts w:ascii="仿宋" w:hAnsi="仿宋" w:eastAsia="仿宋"/>
          <w:b/>
          <w:color w:val="auto"/>
          <w:sz w:val="21"/>
        </w:rPr>
      </w:pPr>
      <w:r>
        <w:rPr>
          <w:rFonts w:hint="eastAsia" w:ascii="仿宋" w:hAnsi="仿宋" w:eastAsia="仿宋"/>
          <w:b/>
          <w:color w:val="auto"/>
          <w:sz w:val="21"/>
        </w:rPr>
        <w:t>（二）商务要求</w:t>
      </w:r>
    </w:p>
    <w:p w14:paraId="05F0082C">
      <w:pPr>
        <w:pStyle w:val="6"/>
        <w:spacing w:line="360" w:lineRule="auto"/>
        <w:ind w:firstLine="482"/>
        <w:rPr>
          <w:rFonts w:ascii="仿宋" w:hAnsi="仿宋" w:eastAsia="仿宋"/>
          <w:bCs/>
          <w:color w:val="auto"/>
          <w:sz w:val="21"/>
        </w:rPr>
      </w:pPr>
      <w:r>
        <w:rPr>
          <w:rFonts w:hint="eastAsia" w:ascii="仿宋" w:hAnsi="仿宋" w:eastAsia="仿宋"/>
          <w:bCs/>
          <w:color w:val="auto"/>
          <w:sz w:val="21"/>
        </w:rPr>
        <w:t>1、结果交付及实施保障条件：</w:t>
      </w:r>
    </w:p>
    <w:p w14:paraId="64763BC6">
      <w:pPr>
        <w:pStyle w:val="6"/>
        <w:spacing w:line="360" w:lineRule="auto"/>
        <w:ind w:firstLine="482"/>
        <w:rPr>
          <w:rFonts w:ascii="仿宋" w:hAnsi="仿宋" w:eastAsia="仿宋"/>
          <w:bCs/>
          <w:color w:val="auto"/>
          <w:sz w:val="21"/>
        </w:rPr>
      </w:pPr>
      <w:r>
        <w:rPr>
          <w:rFonts w:hint="eastAsia" w:ascii="仿宋" w:hAnsi="仿宋" w:eastAsia="仿宋"/>
          <w:bCs/>
          <w:color w:val="auto"/>
          <w:sz w:val="21"/>
        </w:rPr>
        <w:t>1.1、交付时间：自提交合格样品起计算，在30个工作日内交付TEM测试结果。</w:t>
      </w:r>
    </w:p>
    <w:p w14:paraId="26E01930">
      <w:pPr>
        <w:pStyle w:val="6"/>
        <w:spacing w:line="360" w:lineRule="auto"/>
        <w:ind w:firstLine="482"/>
        <w:rPr>
          <w:rFonts w:ascii="仿宋" w:hAnsi="仿宋" w:eastAsia="仿宋"/>
          <w:bCs/>
          <w:color w:val="auto"/>
          <w:sz w:val="21"/>
        </w:rPr>
      </w:pPr>
      <w:r>
        <w:rPr>
          <w:rFonts w:hint="eastAsia" w:ascii="仿宋" w:hAnsi="仿宋" w:eastAsia="仿宋"/>
          <w:bCs/>
          <w:color w:val="auto"/>
          <w:sz w:val="21"/>
        </w:rPr>
        <w:t>1.2、交付形式：提供样本的电子版检测数据结果。</w:t>
      </w:r>
    </w:p>
    <w:p w14:paraId="7E32FC62">
      <w:pPr>
        <w:pStyle w:val="6"/>
        <w:spacing w:line="360" w:lineRule="auto"/>
        <w:ind w:firstLine="482"/>
        <w:rPr>
          <w:rFonts w:ascii="仿宋" w:hAnsi="仿宋" w:eastAsia="仿宋"/>
          <w:bCs/>
          <w:color w:val="auto"/>
          <w:sz w:val="21"/>
        </w:rPr>
      </w:pPr>
      <w:r>
        <w:rPr>
          <w:rFonts w:hint="eastAsia" w:ascii="仿宋" w:hAnsi="仿宋" w:eastAsia="仿宋"/>
          <w:bCs/>
          <w:color w:val="auto"/>
          <w:sz w:val="21"/>
        </w:rPr>
        <w:t>1.3、严格执行合同相关规定，对样本数据的保密。</w:t>
      </w:r>
    </w:p>
    <w:p w14:paraId="0509336A">
      <w:pPr>
        <w:pStyle w:val="6"/>
        <w:spacing w:line="360" w:lineRule="auto"/>
        <w:ind w:firstLine="482"/>
        <w:rPr>
          <w:rFonts w:ascii="仿宋" w:hAnsi="仿宋" w:eastAsia="仿宋"/>
          <w:bCs/>
          <w:color w:val="auto"/>
          <w:sz w:val="21"/>
        </w:rPr>
      </w:pPr>
      <w:r>
        <w:rPr>
          <w:rFonts w:hint="eastAsia" w:ascii="仿宋" w:hAnsi="仿宋" w:eastAsia="仿宋"/>
          <w:bCs/>
          <w:color w:val="auto"/>
          <w:sz w:val="21"/>
        </w:rPr>
        <w:t>2、实施保障条件：</w:t>
      </w:r>
    </w:p>
    <w:p w14:paraId="4D062E11">
      <w:pPr>
        <w:pStyle w:val="6"/>
        <w:spacing w:line="360" w:lineRule="auto"/>
        <w:ind w:firstLine="482"/>
        <w:rPr>
          <w:rFonts w:ascii="仿宋" w:hAnsi="仿宋" w:eastAsia="仿宋"/>
          <w:bCs/>
          <w:color w:val="auto"/>
          <w:sz w:val="21"/>
        </w:rPr>
      </w:pPr>
      <w:r>
        <w:rPr>
          <w:rFonts w:hint="eastAsia" w:ascii="仿宋" w:hAnsi="仿宋" w:eastAsia="仿宋"/>
          <w:bCs/>
          <w:color w:val="auto"/>
          <w:sz w:val="21"/>
        </w:rPr>
        <w:t>2.1、具备在30个工作日内完成提供样本的测试能力。</w:t>
      </w:r>
    </w:p>
    <w:p w14:paraId="012223BD">
      <w:pPr>
        <w:pStyle w:val="6"/>
        <w:spacing w:line="360" w:lineRule="auto"/>
        <w:ind w:firstLine="482"/>
        <w:rPr>
          <w:rFonts w:ascii="仿宋" w:hAnsi="仿宋" w:eastAsia="仿宋"/>
          <w:bCs/>
          <w:color w:val="auto"/>
          <w:sz w:val="21"/>
        </w:rPr>
      </w:pPr>
      <w:r>
        <w:rPr>
          <w:rFonts w:hint="eastAsia" w:ascii="仿宋" w:hAnsi="仿宋" w:eastAsia="仿宋"/>
          <w:bCs/>
          <w:color w:val="auto"/>
          <w:sz w:val="21"/>
        </w:rPr>
        <w:t>2.2、团队项目参与人员具备专业的测试服务能力。</w:t>
      </w:r>
    </w:p>
    <w:p w14:paraId="15C1A9CF">
      <w:pPr>
        <w:pStyle w:val="6"/>
        <w:spacing w:line="360" w:lineRule="auto"/>
        <w:ind w:firstLine="482"/>
        <w:rPr>
          <w:rFonts w:ascii="仿宋" w:hAnsi="仿宋" w:eastAsia="仿宋"/>
          <w:bCs/>
          <w:color w:val="auto"/>
          <w:sz w:val="21"/>
        </w:rPr>
      </w:pPr>
      <w:r>
        <w:rPr>
          <w:rFonts w:hint="eastAsia" w:ascii="仿宋" w:hAnsi="仿宋" w:eastAsia="仿宋"/>
          <w:bCs/>
          <w:color w:val="auto"/>
          <w:sz w:val="21"/>
        </w:rPr>
        <w:t>3、售后服务：</w:t>
      </w:r>
    </w:p>
    <w:p w14:paraId="419C1AC1">
      <w:pPr>
        <w:pStyle w:val="6"/>
        <w:spacing w:line="360" w:lineRule="auto"/>
        <w:ind w:firstLine="482"/>
        <w:rPr>
          <w:rFonts w:ascii="仿宋" w:hAnsi="仿宋" w:eastAsia="仿宋"/>
          <w:bCs/>
          <w:color w:val="auto"/>
          <w:sz w:val="21"/>
        </w:rPr>
      </w:pPr>
      <w:r>
        <w:rPr>
          <w:rFonts w:hint="eastAsia" w:ascii="仿宋" w:hAnsi="仿宋" w:eastAsia="仿宋"/>
          <w:bCs/>
          <w:color w:val="auto"/>
          <w:sz w:val="21"/>
        </w:rPr>
        <w:t>3.1、数据验收合格后提供1年的售后服务，在服务期内，免费进行疑难问题解答，对数据分析结果和相关软件产品进行使用指导，并安排技术人员通过往来信函、电话、传真、电子邮件方式解答用户在数据使用过程中碰到的各种技术问题。</w:t>
      </w:r>
    </w:p>
    <w:p w14:paraId="7569D25B">
      <w:pPr>
        <w:pStyle w:val="6"/>
        <w:spacing w:line="360" w:lineRule="auto"/>
        <w:ind w:firstLine="482"/>
        <w:rPr>
          <w:rFonts w:ascii="仿宋" w:hAnsi="仿宋" w:eastAsia="仿宋"/>
          <w:bCs/>
          <w:color w:val="auto"/>
          <w:sz w:val="21"/>
        </w:rPr>
      </w:pPr>
      <w:r>
        <w:rPr>
          <w:rFonts w:hint="eastAsia" w:ascii="仿宋" w:hAnsi="仿宋" w:eastAsia="仿宋"/>
          <w:bCs/>
          <w:color w:val="auto"/>
          <w:sz w:val="21"/>
        </w:rPr>
        <w:t>3.2、咨询响应时间：2小时内回复，24小时内指派合格的技术人员进行回复。</w:t>
      </w:r>
    </w:p>
    <w:p w14:paraId="63BFF4E8">
      <w:pPr>
        <w:pStyle w:val="6"/>
        <w:spacing w:line="360" w:lineRule="auto"/>
        <w:ind w:firstLine="482"/>
        <w:rPr>
          <w:rFonts w:ascii="仿宋" w:hAnsi="仿宋" w:eastAsia="仿宋"/>
          <w:color w:val="auto"/>
          <w:sz w:val="21"/>
        </w:rPr>
      </w:pPr>
      <w:r>
        <w:rPr>
          <w:rFonts w:hint="eastAsia" w:ascii="仿宋" w:hAnsi="仿宋" w:eastAsia="仿宋"/>
          <w:color w:val="auto"/>
          <w:sz w:val="21"/>
        </w:rPr>
        <w:t>4.投标人应建立完善的数据安全和保密管理制度，对采购人提供的样本信息、检测数据、研究成果等承担保密义务。未经采购人书面同意，不得将任何数据资料用于本项目以外的用途。项目完成后，应按采购人要求返还或销毁相关数据。</w:t>
      </w:r>
    </w:p>
    <w:p w14:paraId="1E2A8A7E">
      <w:pPr>
        <w:pStyle w:val="6"/>
        <w:spacing w:line="360" w:lineRule="auto"/>
        <w:ind w:firstLine="482"/>
        <w:rPr>
          <w:rFonts w:ascii="仿宋" w:hAnsi="仿宋" w:eastAsia="仿宋"/>
          <w:color w:val="auto"/>
          <w:sz w:val="21"/>
        </w:rPr>
      </w:pPr>
      <w:r>
        <w:rPr>
          <w:rFonts w:hint="eastAsia" w:ascii="仿宋" w:hAnsi="仿宋" w:eastAsia="仿宋"/>
          <w:color w:val="auto"/>
          <w:sz w:val="21"/>
        </w:rPr>
        <w:t>5.本项目产生的检测数据、分析结果及相关研究成果的知识产权归采购人所有。</w:t>
      </w:r>
    </w:p>
    <w:p w14:paraId="14DB35E9">
      <w:pPr>
        <w:pStyle w:val="6"/>
        <w:spacing w:line="360" w:lineRule="auto"/>
        <w:ind w:firstLine="482"/>
        <w:rPr>
          <w:rFonts w:ascii="仿宋" w:hAnsi="仿宋" w:eastAsia="仿宋"/>
          <w:color w:val="auto"/>
          <w:sz w:val="21"/>
        </w:rPr>
      </w:pPr>
      <w:r>
        <w:rPr>
          <w:rFonts w:hint="eastAsia" w:ascii="仿宋" w:hAnsi="仿宋" w:eastAsia="仿宋"/>
          <w:color w:val="auto"/>
          <w:sz w:val="21"/>
        </w:rPr>
        <w:t>6.投标人应建立样品接收、登记、储存、处理、销毁的全流程管理制度，确保样品可追溯、可核查。需安排专人上门接收样品，并提供取样人员名单及联系方式。</w:t>
      </w:r>
    </w:p>
    <w:p w14:paraId="5C89BC72">
      <w:pPr>
        <w:pStyle w:val="6"/>
        <w:spacing w:line="360" w:lineRule="auto"/>
        <w:ind w:firstLine="482"/>
        <w:rPr>
          <w:rFonts w:ascii="仿宋" w:hAnsi="仿宋" w:eastAsia="仿宋"/>
          <w:b/>
          <w:bCs/>
          <w:color w:val="auto"/>
          <w:sz w:val="21"/>
        </w:rPr>
      </w:pPr>
      <w:r>
        <w:rPr>
          <w:rFonts w:hint="eastAsia" w:ascii="仿宋" w:hAnsi="仿宋" w:eastAsia="仿宋"/>
          <w:b/>
          <w:bCs/>
          <w:color w:val="auto"/>
          <w:sz w:val="21"/>
        </w:rPr>
        <w:t>（三）技术要求</w:t>
      </w:r>
    </w:p>
    <w:p w14:paraId="5709AF4E">
      <w:pPr>
        <w:pStyle w:val="6"/>
        <w:spacing w:line="360" w:lineRule="auto"/>
        <w:ind w:firstLine="482"/>
        <w:rPr>
          <w:rFonts w:ascii="仿宋" w:hAnsi="仿宋" w:eastAsia="仿宋"/>
          <w:bCs/>
          <w:color w:val="auto"/>
          <w:sz w:val="21"/>
        </w:rPr>
      </w:pPr>
      <w:r>
        <w:rPr>
          <w:rFonts w:hint="eastAsia" w:ascii="仿宋" w:hAnsi="仿宋" w:eastAsia="仿宋"/>
          <w:bCs/>
          <w:color w:val="auto"/>
          <w:sz w:val="21"/>
        </w:rPr>
        <w:t>1、实验平台有自营实验室。TEM实验平台主要提供透射电子显微镜相关的材料微观结构与成分分析服务，常用于研究材料的微观结构、晶体结构、缺陷、形貌尺寸、界面性质以及元素分布等。</w:t>
      </w:r>
    </w:p>
    <w:p w14:paraId="29973215">
      <w:pPr>
        <w:pStyle w:val="6"/>
        <w:spacing w:line="360" w:lineRule="auto"/>
        <w:ind w:firstLine="482"/>
        <w:rPr>
          <w:rFonts w:ascii="仿宋" w:hAnsi="仿宋" w:eastAsia="仿宋"/>
          <w:bCs/>
          <w:color w:val="auto"/>
          <w:sz w:val="21"/>
        </w:rPr>
      </w:pPr>
      <w:r>
        <w:rPr>
          <w:rFonts w:hint="eastAsia" w:ascii="仿宋" w:hAnsi="仿宋" w:eastAsia="仿宋"/>
          <w:bCs/>
          <w:color w:val="auto"/>
          <w:sz w:val="21"/>
        </w:rPr>
        <w:t>2、对TEM样本质量进行严格把控，测试步骤：</w:t>
      </w:r>
    </w:p>
    <w:p w14:paraId="286914F0">
      <w:pPr>
        <w:pStyle w:val="6"/>
        <w:spacing w:line="360" w:lineRule="auto"/>
        <w:ind w:firstLine="482"/>
        <w:rPr>
          <w:rFonts w:ascii="仿宋" w:hAnsi="仿宋" w:eastAsia="仿宋"/>
          <w:bCs/>
          <w:color w:val="auto"/>
          <w:sz w:val="21"/>
        </w:rPr>
      </w:pPr>
      <w:r>
        <w:rPr>
          <w:rFonts w:hint="eastAsia" w:ascii="仿宋" w:hAnsi="仿宋" w:eastAsia="仿宋"/>
          <w:bCs/>
          <w:color w:val="auto"/>
          <w:sz w:val="21"/>
        </w:rPr>
        <w:t>2.1、样品准备：粉末在分散剂中超声分散好后滴在铜网上。液体稀释到合适的浓度,超声分散后滴到铜网上。生物样品，通常需要经过包埋切片或者负染后再进行测试。块体样品：根据不同的测试要求,选择不同的减薄方式后再进行测试。</w:t>
      </w:r>
    </w:p>
    <w:p w14:paraId="625515B3">
      <w:pPr>
        <w:pStyle w:val="6"/>
        <w:spacing w:line="360" w:lineRule="auto"/>
        <w:ind w:firstLine="482"/>
        <w:rPr>
          <w:rFonts w:ascii="仿宋" w:hAnsi="仿宋" w:eastAsia="仿宋"/>
          <w:bCs/>
          <w:color w:val="auto"/>
          <w:sz w:val="21"/>
        </w:rPr>
      </w:pPr>
      <w:r>
        <w:rPr>
          <w:rFonts w:hint="eastAsia" w:ascii="仿宋" w:hAnsi="仿宋" w:eastAsia="仿宋"/>
          <w:bCs/>
          <w:color w:val="auto"/>
          <w:sz w:val="21"/>
        </w:rPr>
        <w:t>2.2、上样：根据不同的测试要求,选择不同的载网和样品杆。将载网放到样品杆上,之后将样品杆插到侧角台上,并开始预抽真空。</w:t>
      </w:r>
    </w:p>
    <w:p w14:paraId="752E5E0C">
      <w:pPr>
        <w:pStyle w:val="6"/>
        <w:spacing w:line="360" w:lineRule="auto"/>
        <w:ind w:firstLine="482"/>
        <w:rPr>
          <w:rFonts w:ascii="仿宋" w:hAnsi="仿宋" w:eastAsia="仿宋"/>
          <w:bCs/>
          <w:color w:val="auto"/>
          <w:sz w:val="21"/>
        </w:rPr>
      </w:pPr>
      <w:r>
        <w:rPr>
          <w:rFonts w:hint="eastAsia" w:ascii="仿宋" w:hAnsi="仿宋" w:eastAsia="仿宋"/>
          <w:bCs/>
          <w:color w:val="auto"/>
          <w:sz w:val="21"/>
        </w:rPr>
        <w:t>2.3、状态校准：检查电镜状态,并将聚光镜光阑进行居中。合轴,根据电镜状态,确定是否进行Gun和beam的tilt校准,之后完成3-9合轴。</w:t>
      </w:r>
    </w:p>
    <w:p w14:paraId="0EDAF364">
      <w:pPr>
        <w:pStyle w:val="6"/>
        <w:spacing w:line="360" w:lineRule="auto"/>
        <w:ind w:firstLine="482"/>
        <w:rPr>
          <w:rFonts w:ascii="仿宋" w:hAnsi="仿宋" w:eastAsia="仿宋"/>
          <w:bCs/>
          <w:color w:val="auto"/>
          <w:sz w:val="21"/>
        </w:rPr>
      </w:pPr>
      <w:r>
        <w:rPr>
          <w:rFonts w:hint="eastAsia" w:ascii="仿宋" w:hAnsi="仿宋" w:eastAsia="仿宋"/>
          <w:bCs/>
          <w:color w:val="auto"/>
          <w:sz w:val="21"/>
        </w:rPr>
        <w:t>2.4、物镜光阑的居中以及消像散。</w:t>
      </w:r>
    </w:p>
    <w:p w14:paraId="00B7EE91">
      <w:pPr>
        <w:pStyle w:val="6"/>
        <w:spacing w:line="360" w:lineRule="auto"/>
        <w:ind w:firstLine="482"/>
        <w:rPr>
          <w:rFonts w:ascii="仿宋" w:hAnsi="仿宋" w:eastAsia="仿宋"/>
          <w:bCs/>
          <w:color w:val="auto"/>
          <w:sz w:val="21"/>
        </w:rPr>
      </w:pPr>
      <w:r>
        <w:rPr>
          <w:rFonts w:hint="eastAsia" w:ascii="仿宋" w:hAnsi="仿宋" w:eastAsia="仿宋"/>
          <w:bCs/>
          <w:color w:val="auto"/>
          <w:sz w:val="21"/>
        </w:rPr>
        <w:t>2.5、电压中心的调整。</w:t>
      </w:r>
    </w:p>
    <w:p w14:paraId="2B47DCBC">
      <w:pPr>
        <w:pStyle w:val="6"/>
        <w:spacing w:line="360" w:lineRule="auto"/>
        <w:ind w:firstLine="482"/>
        <w:rPr>
          <w:rFonts w:ascii="仿宋" w:hAnsi="仿宋" w:eastAsia="仿宋"/>
          <w:bCs/>
          <w:color w:val="auto"/>
          <w:sz w:val="21"/>
        </w:rPr>
      </w:pPr>
      <w:r>
        <w:rPr>
          <w:rFonts w:hint="eastAsia" w:ascii="仿宋" w:hAnsi="仿宋" w:eastAsia="仿宋"/>
          <w:bCs/>
          <w:color w:val="auto"/>
          <w:sz w:val="21"/>
        </w:rPr>
        <w:t>3、项目管理实施要求：项目管理人员1人，具有中级及以上职称。</w:t>
      </w:r>
    </w:p>
    <w:p w14:paraId="2B0F4093">
      <w:pPr>
        <w:pStyle w:val="6"/>
        <w:spacing w:line="360" w:lineRule="auto"/>
        <w:ind w:firstLine="482"/>
        <w:rPr>
          <w:rFonts w:ascii="仿宋" w:hAnsi="仿宋" w:eastAsia="仿宋"/>
          <w:bCs/>
          <w:color w:val="auto"/>
          <w:sz w:val="21"/>
        </w:rPr>
      </w:pPr>
      <w:r>
        <w:rPr>
          <w:rFonts w:hint="eastAsia" w:ascii="仿宋" w:hAnsi="仿宋" w:eastAsia="仿宋"/>
          <w:bCs/>
          <w:color w:val="auto"/>
          <w:sz w:val="21"/>
        </w:rPr>
        <w:t>4、分析要求及验收标准：结果交付报告包含PDF报告等。</w:t>
      </w:r>
    </w:p>
    <w:p w14:paraId="54349049">
      <w:pPr>
        <w:pStyle w:val="6"/>
        <w:spacing w:line="360" w:lineRule="auto"/>
        <w:ind w:firstLine="482"/>
        <w:rPr>
          <w:rFonts w:ascii="仿宋" w:hAnsi="仿宋" w:eastAsia="仿宋"/>
          <w:bCs/>
          <w:color w:val="auto"/>
        </w:rPr>
      </w:pPr>
    </w:p>
    <w:p w14:paraId="77B7D847">
      <w:pPr>
        <w:widowControl/>
        <w:snapToGrid w:val="0"/>
        <w:spacing w:line="360" w:lineRule="auto"/>
        <w:ind w:firstLine="482" w:firstLineChars="200"/>
        <w:contextualSpacing/>
        <w:rPr>
          <w:rFonts w:ascii="仿宋" w:hAnsi="仿宋" w:eastAsia="仿宋" w:cs="仿宋"/>
          <w:b/>
          <w:color w:val="auto"/>
          <w:sz w:val="24"/>
        </w:rPr>
      </w:pPr>
      <w:r>
        <w:rPr>
          <w:rFonts w:hint="eastAsia" w:ascii="仿宋" w:hAnsi="仿宋" w:eastAsia="仿宋" w:cs="仿宋"/>
          <w:b/>
          <w:color w:val="auto"/>
          <w:sz w:val="24"/>
        </w:rPr>
        <w:t>2.5 需由投标人提供设计方案、解决方案或者组织方案的采购项目，应当说明采购标的的功能、应用场景、目标等基本要求</w:t>
      </w:r>
    </w:p>
    <w:p w14:paraId="56645C0A">
      <w:pPr>
        <w:pStyle w:val="6"/>
        <w:ind w:firstLineChars="175"/>
        <w:rPr>
          <w:rFonts w:ascii="仿宋" w:hAnsi="仿宋" w:eastAsia="仿宋"/>
          <w:bCs/>
          <w:color w:val="auto"/>
        </w:rPr>
      </w:pPr>
      <w:r>
        <w:rPr>
          <w:rFonts w:ascii="仿宋" w:hAnsi="仿宋" w:eastAsia="仿宋"/>
          <w:bCs/>
          <w:color w:val="auto"/>
        </w:rPr>
        <w:t>无。</w:t>
      </w:r>
    </w:p>
    <w:p w14:paraId="4756FAA3">
      <w:pPr>
        <w:pStyle w:val="6"/>
        <w:ind w:firstLineChars="175"/>
        <w:rPr>
          <w:rFonts w:ascii="仿宋" w:hAnsi="仿宋" w:eastAsia="仿宋"/>
          <w:bCs/>
          <w:color w:val="auto"/>
        </w:rPr>
      </w:pPr>
    </w:p>
    <w:p w14:paraId="632BC6E5">
      <w:pPr>
        <w:spacing w:line="360" w:lineRule="auto"/>
        <w:ind w:firstLine="480"/>
        <w:rPr>
          <w:rFonts w:ascii="仿宋" w:hAnsi="仿宋" w:eastAsia="仿宋" w:cs="Arial"/>
          <w:b/>
          <w:color w:val="auto"/>
          <w:sz w:val="24"/>
        </w:rPr>
      </w:pPr>
      <w:r>
        <w:rPr>
          <w:rFonts w:hint="eastAsia" w:ascii="仿宋" w:hAnsi="仿宋" w:eastAsia="仿宋" w:cs="Arial"/>
          <w:b/>
          <w:color w:val="auto"/>
          <w:sz w:val="24"/>
        </w:rPr>
        <w:t>3.验收标准</w:t>
      </w:r>
    </w:p>
    <w:p w14:paraId="217A222D">
      <w:pPr>
        <w:pStyle w:val="6"/>
        <w:spacing w:line="360" w:lineRule="auto"/>
        <w:ind w:firstLine="482"/>
        <w:rPr>
          <w:rFonts w:ascii="仿宋" w:hAnsi="仿宋" w:eastAsia="仿宋"/>
          <w:bCs/>
          <w:color w:val="auto"/>
        </w:rPr>
      </w:pPr>
      <w:r>
        <w:rPr>
          <w:rFonts w:hint="eastAsia" w:ascii="仿宋" w:hAnsi="仿宋" w:eastAsia="仿宋"/>
          <w:bCs/>
          <w:color w:val="auto"/>
        </w:rPr>
        <w:t>采购人按照国家有关规定以及招标文件的要求、投标人的投标文件及承诺与本项目合同约定标准进行验收。</w:t>
      </w:r>
    </w:p>
    <w:p w14:paraId="760D6CB3">
      <w:pPr>
        <w:pStyle w:val="6"/>
        <w:spacing w:line="360" w:lineRule="auto"/>
        <w:ind w:firstLine="482"/>
        <w:rPr>
          <w:rFonts w:ascii="仿宋" w:hAnsi="仿宋" w:eastAsia="仿宋"/>
          <w:bCs/>
          <w:color w:val="auto"/>
        </w:rPr>
      </w:pPr>
    </w:p>
    <w:p w14:paraId="62825E89">
      <w:pPr>
        <w:rPr>
          <w:color w:val="auto"/>
        </w:rPr>
      </w:pPr>
    </w:p>
    <w:bookmarkEnd w:id="68"/>
    <w:sectPr>
      <w:headerReference r:id="rId3" w:type="default"/>
      <w:footerReference r:id="rId4" w:type="default"/>
      <w:footerReference r:id="rId5"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Century Gothic">
    <w:panose1 w:val="020B0502020202020204"/>
    <w:charset w:val="00"/>
    <w:family w:val="swiss"/>
    <w:pitch w:val="default"/>
    <w:sig w:usb0="00000287" w:usb1="00000000" w:usb2="00000000" w:usb3="00000000" w:csb0="2000009F" w:csb1="DFD70000"/>
  </w:font>
  <w:font w:name="等线">
    <w:panose1 w:val="02010600030101010101"/>
    <w:charset w:val="86"/>
    <w:family w:val="auto"/>
    <w:pitch w:val="default"/>
    <w:sig w:usb0="A00002BF" w:usb1="38CF7CFA" w:usb2="00000016" w:usb3="00000000" w:csb0="0004000F"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AF19E">
    <w:pPr>
      <w:pStyle w:val="19"/>
      <w:spacing w:line="14" w:lineRule="auto"/>
      <w:rPr>
        <w:sz w:val="20"/>
      </w:rPr>
    </w:pPr>
    <w:r>
      <mc:AlternateContent>
        <mc:Choice Requires="wps">
          <w:drawing>
            <wp:anchor distT="0" distB="0" distL="114300" distR="114300" simplePos="0" relativeHeight="251662336" behindDoc="1" locked="0" layoutInCell="1" allowOverlap="1">
              <wp:simplePos x="0" y="0"/>
              <wp:positionH relativeFrom="page">
                <wp:posOffset>6191250</wp:posOffset>
              </wp:positionH>
              <wp:positionV relativeFrom="page">
                <wp:posOffset>10129520</wp:posOffset>
              </wp:positionV>
              <wp:extent cx="484505" cy="1524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14:paraId="33B96D01">
                          <w:pPr>
                            <w:spacing w:before="12"/>
                            <w:ind w:left="20"/>
                            <w:jc w:val="left"/>
                            <w:rPr>
                              <w:sz w:val="18"/>
                            </w:rPr>
                          </w:pPr>
                          <w:r>
                            <w:rPr>
                              <w:sz w:val="18"/>
                            </w:rPr>
                            <w:t xml:space="preserve">— </w:t>
                          </w:r>
                          <w:r>
                            <w:fldChar w:fldCharType="begin"/>
                          </w:r>
                          <w:r>
                            <w:rPr>
                              <w:sz w:val="18"/>
                            </w:rPr>
                            <w:instrText xml:space="preserve"> PAGE </w:instrText>
                          </w:r>
                          <w:r>
                            <w:fldChar w:fldCharType="separate"/>
                          </w:r>
                          <w:r>
                            <w:rPr>
                              <w:sz w:val="18"/>
                            </w:rPr>
                            <w:t>8</w:t>
                          </w:r>
                          <w:r>
                            <w:fldChar w:fldCharType="end"/>
                          </w:r>
                          <w:r>
                            <w:rPr>
                              <w:sz w:val="18"/>
                            </w:rPr>
                            <w:t xml:space="preserve"> —</w:t>
                          </w:r>
                        </w:p>
                      </w:txbxContent>
                    </wps:txbx>
                    <wps:bodyPr lIns="0" tIns="0" rIns="0" bIns="0" upright="1"/>
                  </wps:wsp>
                </a:graphicData>
              </a:graphic>
            </wp:anchor>
          </w:drawing>
        </mc:Choice>
        <mc:Fallback>
          <w:pict>
            <v:shape id="_x0000_s1026" o:spid="_x0000_s1026" o:spt="202" type="#_x0000_t202" style="position:absolute;left:0pt;margin-left:487.5pt;margin-top:797.6pt;height:12pt;width:38.15pt;mso-position-horizontal-relative:page;mso-position-vertical-relative:page;z-index:-251654144;mso-width-relative:page;mso-height-relative:page;" filled="f" stroked="f" coordsize="21600,21600" o:gfxdata="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fulDPbAAAADgEAAA8AAAAAAAAAAQAgAAAAIgAAAGRycy9kb3ducmV2LnhtbFBL&#10;AQIUABQAAAAIAIdO4kBMX037ugEAAHEDAAAOAAAAAAAAAAEAIAAAACoBAABkcnMvZTJvRG9jLnht&#10;bFBLBQYAAAAABgAGAFkBAABWBQAAAAA=&#10;">
              <v:fill on="f" focussize="0,0"/>
              <v:stroke on="f"/>
              <v:imagedata o:title=""/>
              <o:lock v:ext="edit" aspectratio="f"/>
              <v:textbox inset="0mm,0mm,0mm,0mm">
                <w:txbxContent>
                  <w:p w14:paraId="33B96D01">
                    <w:pPr>
                      <w:spacing w:before="12"/>
                      <w:ind w:left="20"/>
                      <w:jc w:val="left"/>
                      <w:rPr>
                        <w:sz w:val="18"/>
                      </w:rPr>
                    </w:pPr>
                    <w:r>
                      <w:rPr>
                        <w:sz w:val="18"/>
                      </w:rPr>
                      <w:t xml:space="preserve">— </w:t>
                    </w:r>
                    <w:r>
                      <w:fldChar w:fldCharType="begin"/>
                    </w:r>
                    <w:r>
                      <w:rPr>
                        <w:sz w:val="18"/>
                      </w:rPr>
                      <w:instrText xml:space="preserve"> PAGE </w:instrText>
                    </w:r>
                    <w:r>
                      <w:fldChar w:fldCharType="separate"/>
                    </w:r>
                    <w:r>
                      <w:rPr>
                        <w:sz w:val="18"/>
                      </w:rPr>
                      <w:t>8</w:t>
                    </w:r>
                    <w:r>
                      <w:fldChar w:fldCharType="end"/>
                    </w:r>
                    <w:r>
                      <w:rPr>
                        <w:sz w:val="18"/>
                      </w:rPr>
                      <w:t xml:space="preserve"> —</w:t>
                    </w:r>
                  </w:p>
                </w:txbxContent>
              </v:textbox>
            </v:shape>
          </w:pict>
        </mc:Fallback>
      </mc:AlternateContent>
    </w:r>
    <w:r>
      <mc:AlternateContent>
        <mc:Choice Requires="wps">
          <w:drawing>
            <wp:anchor distT="0" distB="0" distL="114300" distR="114300" simplePos="0" relativeHeight="251663360" behindDoc="1" locked="0" layoutInCell="1" allowOverlap="1">
              <wp:simplePos x="0" y="0"/>
              <wp:positionH relativeFrom="page">
                <wp:posOffset>887730</wp:posOffset>
              </wp:positionH>
              <wp:positionV relativeFrom="page">
                <wp:posOffset>10146030</wp:posOffset>
              </wp:positionV>
              <wp:extent cx="101600" cy="177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01600" cy="177800"/>
                      </a:xfrm>
                      <a:prstGeom prst="rect">
                        <a:avLst/>
                      </a:prstGeom>
                      <a:noFill/>
                      <a:ln>
                        <a:noFill/>
                      </a:ln>
                    </wps:spPr>
                    <wps:txbx>
                      <w:txbxContent>
                        <w:p w14:paraId="021EB307">
                          <w:pPr>
                            <w:spacing w:line="280" w:lineRule="exact"/>
                            <w:ind w:left="20"/>
                            <w:jc w:val="left"/>
                            <w:rPr>
                              <w:rFonts w:ascii="宋体"/>
                              <w:sz w:val="24"/>
                            </w:rPr>
                          </w:pPr>
                          <w:r>
                            <w:rPr>
                              <w:rFonts w:ascii="宋体"/>
                              <w:sz w:val="24"/>
                            </w:rPr>
                            <w:t xml:space="preserve"> </w:t>
                          </w:r>
                        </w:p>
                      </w:txbxContent>
                    </wps:txbx>
                    <wps:bodyPr lIns="0" tIns="0" rIns="0" bIns="0" upright="1"/>
                  </wps:wsp>
                </a:graphicData>
              </a:graphic>
            </wp:anchor>
          </w:drawing>
        </mc:Choice>
        <mc:Fallback>
          <w:pict>
            <v:shape id="_x0000_s1026" o:spid="_x0000_s1026" o:spt="202" type="#_x0000_t202" style="position:absolute;left:0pt;margin-left:69.9pt;margin-top:798.9pt;height:14pt;width:8pt;mso-position-horizontal-relative:page;mso-position-vertical-relative:page;z-index:-251653120;mso-width-relative:page;mso-height-relative:page;" filled="f" stroked="f" coordsize="21600,21600" o:gfxdata="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VxGCfXAAAADQEAAA8AAAAAAAAAAQAgAAAAIgAAAGRycy9kb3ducmV2LnhtbFBLAQIUABQA&#10;AAAIAIdO4kDzPZSEuAEAAHEDAAAOAAAAAAAAAAEAIAAAACYBAABkcnMvZTJvRG9jLnhtbFBLBQYA&#10;AAAABgAGAFkBAABQBQAAAAA=&#10;">
              <v:fill on="f" focussize="0,0"/>
              <v:stroke on="f"/>
              <v:imagedata o:title=""/>
              <o:lock v:ext="edit" aspectratio="f"/>
              <v:textbox inset="0mm,0mm,0mm,0mm">
                <w:txbxContent>
                  <w:p w14:paraId="021EB307">
                    <w:pPr>
                      <w:spacing w:line="280" w:lineRule="exact"/>
                      <w:ind w:left="20"/>
                      <w:jc w:val="left"/>
                      <w:rPr>
                        <w:rFonts w:ascii="宋体"/>
                        <w:sz w:val="24"/>
                      </w:rPr>
                    </w:pPr>
                    <w:r>
                      <w:rPr>
                        <w:rFonts w:ascii="宋体"/>
                        <w:sz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61F7A">
    <w:pPr>
      <w:pStyle w:val="19"/>
      <w:spacing w:line="14" w:lineRule="auto"/>
      <w:rPr>
        <w:sz w:val="20"/>
      </w:rPr>
    </w:pPr>
    <w:r>
      <mc:AlternateContent>
        <mc:Choice Requires="wps">
          <w:drawing>
            <wp:anchor distT="0" distB="0" distL="114300" distR="114300" simplePos="0" relativeHeight="251664384" behindDoc="1" locked="0" layoutInCell="1" allowOverlap="1">
              <wp:simplePos x="0" y="0"/>
              <wp:positionH relativeFrom="page">
                <wp:posOffset>887730</wp:posOffset>
              </wp:positionH>
              <wp:positionV relativeFrom="page">
                <wp:posOffset>10193655</wp:posOffset>
              </wp:positionV>
              <wp:extent cx="484505" cy="1524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14:paraId="2407E0D8">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wps:txbx>
                    <wps:bodyPr lIns="0" tIns="0" rIns="0" bIns="0" upright="1"/>
                  </wps:wsp>
                </a:graphicData>
              </a:graphic>
            </wp:anchor>
          </w:drawing>
        </mc:Choice>
        <mc:Fallback>
          <w:pict>
            <v:shape id="_x0000_s1026" o:spid="_x0000_s1026" o:spt="202" type="#_x0000_t202" style="position:absolute;left:0pt;margin-left:69.9pt;margin-top:802.65pt;height:12pt;width:38.15pt;mso-position-horizontal-relative:page;mso-position-vertical-relative:page;z-index:-251652096;mso-width-relative:page;mso-height-relative:page;" filled="f" stroked="f" coordsize="21600,21600" o:gfxdata="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4MxnTaAAAADQEAAA8AAAAAAAAAAQAgAAAAIgAAAGRycy9kb3ducmV2LnhtbFBL&#10;AQIUABQAAAAIAIdO4kDnum9muwEAAHEDAAAOAAAAAAAAAAEAIAAAACkBAABkcnMvZTJvRG9jLnht&#10;bFBLBQYAAAAABgAGAFkBAABWBQAAAAA=&#10;">
              <v:fill on="f" focussize="0,0"/>
              <v:stroke on="f"/>
              <v:imagedata o:title=""/>
              <o:lock v:ext="edit" aspectratio="f"/>
              <v:textbox inset="0mm,0mm,0mm,0mm">
                <w:txbxContent>
                  <w:p w14:paraId="2407E0D8">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4C368">
    <w:pPr>
      <w:pStyle w:val="19"/>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882650</wp:posOffset>
              </wp:positionH>
              <wp:positionV relativeFrom="page">
                <wp:posOffset>604520</wp:posOffset>
              </wp:positionV>
              <wp:extent cx="5796280" cy="0"/>
              <wp:effectExtent l="0" t="0" r="0" b="0"/>
              <wp:wrapNone/>
              <wp:docPr id="1" name="直线 1"/>
              <wp:cNvGraphicFramePr/>
              <a:graphic xmlns:a="http://schemas.openxmlformats.org/drawingml/2006/main">
                <a:graphicData uri="http://schemas.microsoft.com/office/word/2010/wordprocessingShape">
                  <wps:wsp>
                    <wps:cNvCnPr/>
                    <wps:spPr>
                      <a:xfrm>
                        <a:off x="0" y="0"/>
                        <a:ext cx="5796280"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直线 1" o:spid="_x0000_s1026" o:spt="20" style="position:absolute;left:0pt;margin-left:69.5pt;margin-top:47.6pt;height:0pt;width:456.4pt;mso-position-horizontal-relative:page;mso-position-vertical-relative:page;z-index:-251657216;mso-width-relative:page;mso-height-relative:page;" filled="f" stroked="t" coordsize="21600,21600" o:gfxdata="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Agn94NYAAAAKAQAADwAA&#10;AAAAAAABACAAAAAiAAAAZHJzL2Rvd25yZXYueG1sUEsBAhQAFAAAAAgAh07iQGM6ZNnfAQAAzwMA&#10;AA4AAAAAAAAAAQAgAAAAJQEAAGRycy9lMm9Eb2MueG1sUEsFBgAAAAAGAAYAWQEAAHYFAAAAAA==&#10;">
              <v:fill on="f" focussize="0,0"/>
              <v:stroke weight="0.72pt" color="#000000" joinstyle="round"/>
              <v:imagedata o:title=""/>
              <o:lock v:ext="edit" aspectratio="f"/>
            </v:lin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887730</wp:posOffset>
              </wp:positionH>
              <wp:positionV relativeFrom="page">
                <wp:posOffset>372110</wp:posOffset>
              </wp:positionV>
              <wp:extent cx="560705" cy="20256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60705" cy="202565"/>
                      </a:xfrm>
                      <a:prstGeom prst="rect">
                        <a:avLst/>
                      </a:prstGeom>
                      <a:noFill/>
                      <a:ln>
                        <a:noFill/>
                      </a:ln>
                    </wps:spPr>
                    <wps:txbx>
                      <w:txbxContent>
                        <w:p w14:paraId="619E04D2">
                          <w:pPr>
                            <w:spacing w:line="319" w:lineRule="exact"/>
                            <w:ind w:left="20"/>
                            <w:jc w:val="left"/>
                          </w:pPr>
                          <w:r>
                            <w:t>谈判文件</w:t>
                          </w:r>
                        </w:p>
                      </w:txbxContent>
                    </wps:txbx>
                    <wps:bodyPr lIns="0" tIns="0" rIns="0" bIns="0" upright="1"/>
                  </wps:wsp>
                </a:graphicData>
              </a:graphic>
            </wp:anchor>
          </w:drawing>
        </mc:Choice>
        <mc:Fallback>
          <w:pict>
            <v:shape id="_x0000_s1026" o:spid="_x0000_s1026" o:spt="202" type="#_x0000_t202" style="position:absolute;left:0pt;margin-left:69.9pt;margin-top:29.3pt;height:15.95pt;width:44.15pt;mso-position-horizontal-relative:page;mso-position-vertical-relative:page;z-index:-251656192;mso-width-relative:page;mso-height-relative:page;" filled="f" stroked="f" coordsize="21600,21600" o:gfxdata="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F3cFFtgAAAAJAQAADwAAAAAAAAABACAAAAAiAAAAZHJzL2Rvd25yZXYueG1sUEsBAhQA&#10;FAAAAAgAh07iQLj6UIe5AQAAcQMAAA4AAAAAAAAAAQAgAAAAJwEAAGRycy9lMm9Eb2MueG1sUEsF&#10;BgAAAAAGAAYAWQEAAFIFAAAAAA==&#10;">
              <v:fill on="f" focussize="0,0"/>
              <v:stroke on="f"/>
              <v:imagedata o:title=""/>
              <o:lock v:ext="edit" aspectratio="f"/>
              <v:textbox inset="0mm,0mm,0mm,0mm">
                <w:txbxContent>
                  <w:p w14:paraId="619E04D2">
                    <w:pPr>
                      <w:spacing w:line="319" w:lineRule="exact"/>
                      <w:ind w:left="20"/>
                      <w:jc w:val="left"/>
                    </w:pPr>
                    <w:r>
                      <w:t>谈判文件</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5956300</wp:posOffset>
              </wp:positionH>
              <wp:positionV relativeFrom="page">
                <wp:posOffset>372110</wp:posOffset>
              </wp:positionV>
              <wp:extent cx="559435" cy="202565"/>
              <wp:effectExtent l="0" t="0" r="0" b="0"/>
              <wp:wrapNone/>
              <wp:docPr id="3" name="文本框 3"/>
              <wp:cNvGraphicFramePr/>
              <a:graphic xmlns:a="http://schemas.openxmlformats.org/drawingml/2006/main">
                <a:graphicData uri="http://schemas.microsoft.com/office/word/2010/wordprocessingShape">
                  <wps:wsp>
                    <wps:cNvSpPr txBox="1"/>
                    <wps:spPr>
                      <a:xfrm>
                        <a:off x="0" y="0"/>
                        <a:ext cx="559435" cy="202565"/>
                      </a:xfrm>
                      <a:prstGeom prst="rect">
                        <a:avLst/>
                      </a:prstGeom>
                      <a:noFill/>
                      <a:ln>
                        <a:noFill/>
                      </a:ln>
                    </wps:spPr>
                    <wps:txbx>
                      <w:txbxContent>
                        <w:p w14:paraId="6E93B2DB">
                          <w:pPr>
                            <w:spacing w:line="319" w:lineRule="exact"/>
                            <w:ind w:left="20"/>
                            <w:jc w:val="left"/>
                          </w:pPr>
                          <w:r>
                            <w:t>合同样本</w:t>
                          </w:r>
                        </w:p>
                      </w:txbxContent>
                    </wps:txbx>
                    <wps:bodyPr lIns="0" tIns="0" rIns="0" bIns="0" upright="1"/>
                  </wps:wsp>
                </a:graphicData>
              </a:graphic>
            </wp:anchor>
          </w:drawing>
        </mc:Choice>
        <mc:Fallback>
          <w:pict>
            <v:shape id="_x0000_s1026" o:spid="_x0000_s1026" o:spt="202" type="#_x0000_t202" style="position:absolute;left:0pt;margin-left:469pt;margin-top:29.3pt;height:15.95pt;width:44.05pt;mso-position-horizontal-relative:page;mso-position-vertical-relative:page;z-index:-251655168;mso-width-relative:page;mso-height-relative:page;" filled="f" stroked="f" coordsize="21600,21600" o:gfxdata="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pFq1R2QAAAAoBAAAPAAAAAAAAAAEAIAAAACIAAABkcnMvZG93bnJldi54bWxQSwEC&#10;FAAUAAAACACHTuJA0PhdbboBAABxAwAADgAAAAAAAAABACAAAAAoAQAAZHJzL2Uyb0RvYy54bWxQ&#10;SwUGAAAAAAYABgBZAQAAVAUAAAAA&#10;">
              <v:fill on="f" focussize="0,0"/>
              <v:stroke on="f"/>
              <v:imagedata o:title=""/>
              <o:lock v:ext="edit" aspectratio="f"/>
              <v:textbox inset="0mm,0mm,0mm,0mm">
                <w:txbxContent>
                  <w:p w14:paraId="6E93B2DB">
                    <w:pPr>
                      <w:spacing w:line="319" w:lineRule="exact"/>
                      <w:ind w:left="20"/>
                      <w:jc w:val="left"/>
                    </w:pPr>
                    <w:r>
                      <w:t>合同样本</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51098"/>
    <w:multiLevelType w:val="multilevel"/>
    <w:tmpl w:val="13851098"/>
    <w:lvl w:ilvl="0" w:tentative="0">
      <w:start w:val="1"/>
      <w:numFmt w:val="japaneseCounting"/>
      <w:lvlText w:val="%1、"/>
      <w:lvlJc w:val="left"/>
      <w:pPr>
        <w:ind w:left="500" w:hanging="50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121"/>
    <w:rsid w:val="001247BD"/>
    <w:rsid w:val="001A64D5"/>
    <w:rsid w:val="001A7749"/>
    <w:rsid w:val="001D7E02"/>
    <w:rsid w:val="001E78A3"/>
    <w:rsid w:val="002000D7"/>
    <w:rsid w:val="0020585F"/>
    <w:rsid w:val="00262C0A"/>
    <w:rsid w:val="0027169F"/>
    <w:rsid w:val="00287BE9"/>
    <w:rsid w:val="002901AE"/>
    <w:rsid w:val="002B1A97"/>
    <w:rsid w:val="00307BC9"/>
    <w:rsid w:val="00331D98"/>
    <w:rsid w:val="00392D77"/>
    <w:rsid w:val="003A5DC6"/>
    <w:rsid w:val="00431219"/>
    <w:rsid w:val="0046640B"/>
    <w:rsid w:val="00471C3B"/>
    <w:rsid w:val="004F644E"/>
    <w:rsid w:val="004F66FA"/>
    <w:rsid w:val="00504DC9"/>
    <w:rsid w:val="00515BAC"/>
    <w:rsid w:val="0059095A"/>
    <w:rsid w:val="005A6B05"/>
    <w:rsid w:val="00613CF3"/>
    <w:rsid w:val="00687E80"/>
    <w:rsid w:val="006A37F0"/>
    <w:rsid w:val="006D6426"/>
    <w:rsid w:val="006F7B9A"/>
    <w:rsid w:val="007328B2"/>
    <w:rsid w:val="00767785"/>
    <w:rsid w:val="0077387E"/>
    <w:rsid w:val="007D3E6C"/>
    <w:rsid w:val="007D740F"/>
    <w:rsid w:val="007F4B3A"/>
    <w:rsid w:val="008300BA"/>
    <w:rsid w:val="00834121"/>
    <w:rsid w:val="00867494"/>
    <w:rsid w:val="00883501"/>
    <w:rsid w:val="008B1E99"/>
    <w:rsid w:val="00911391"/>
    <w:rsid w:val="0092428A"/>
    <w:rsid w:val="009E4BA7"/>
    <w:rsid w:val="00A242E8"/>
    <w:rsid w:val="00A42718"/>
    <w:rsid w:val="00A439C9"/>
    <w:rsid w:val="00B10D5B"/>
    <w:rsid w:val="00B23225"/>
    <w:rsid w:val="00B56523"/>
    <w:rsid w:val="00B6785E"/>
    <w:rsid w:val="00BB7182"/>
    <w:rsid w:val="00BE7A21"/>
    <w:rsid w:val="00BF25DA"/>
    <w:rsid w:val="00C3563E"/>
    <w:rsid w:val="00C460CB"/>
    <w:rsid w:val="00CA1927"/>
    <w:rsid w:val="00CB5D27"/>
    <w:rsid w:val="00CF4BAD"/>
    <w:rsid w:val="00D01513"/>
    <w:rsid w:val="00D50BAA"/>
    <w:rsid w:val="00D57FBF"/>
    <w:rsid w:val="00D85EFA"/>
    <w:rsid w:val="00DD75AB"/>
    <w:rsid w:val="00DE4230"/>
    <w:rsid w:val="00E45F05"/>
    <w:rsid w:val="00ED36F5"/>
    <w:rsid w:val="00EF5892"/>
    <w:rsid w:val="00F04A0A"/>
    <w:rsid w:val="00F41F90"/>
    <w:rsid w:val="00F54A46"/>
    <w:rsid w:val="00F6219A"/>
    <w:rsid w:val="00FF6404"/>
    <w:rsid w:val="5A7E5D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99" w:name="heading 7"/>
    <w:lsdException w:qFormat="1" w:uiPriority="99" w:name="heading 8"/>
    <w:lsdException w:qFormat="1" w:uiPriority="9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qFormat="1" w:uiPriority="99" w:name="toc 4"/>
    <w:lsdException w:qFormat="1" w:uiPriority="99" w:name="toc 5"/>
    <w:lsdException w:qFormat="1" w:uiPriority="99" w:name="toc 6"/>
    <w:lsdException w:qFormat="1" w:uiPriority="99" w:name="toc 7"/>
    <w:lsdException w:qFormat="1" w:uiPriority="99" w:name="toc 8"/>
    <w:lsdException w:qFormat="1" w:uiPriority="99" w:name="toc 9"/>
    <w:lsdException w:qFormat="1" w:uiPriority="0"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99"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name="Body Text First Indent"/>
    <w:lsdException w:qFormat="1" w:uiPriority="99" w:name="Body Text First Indent 2"/>
    <w:lsdException w:uiPriority="99" w:name="Note Heading"/>
    <w:lsdException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iPriority="99" w:name="Hyperlink"/>
    <w:lsdException w:qFormat="1" w:uiPriority="0" w:name="FollowedHyperlink"/>
    <w:lsdException w:qFormat="1" w:unhideWhenUsed="0" w:uiPriority="22" w:semiHidden="0" w:name="Strong"/>
    <w:lsdException w:qFormat="1" w:unhideWhenUsed="0" w:uiPriority="0" w:semiHidden="0" w:name="Emphasis"/>
    <w:lsdException w:qFormat="1"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1"/>
    <w:basedOn w:val="1"/>
    <w:next w:val="1"/>
    <w:link w:val="63"/>
    <w:qFormat/>
    <w:uiPriority w:val="0"/>
    <w:pPr>
      <w:keepNext/>
      <w:keepLines/>
      <w:autoSpaceDE w:val="0"/>
      <w:autoSpaceDN w:val="0"/>
      <w:adjustRightInd w:val="0"/>
      <w:spacing w:before="240" w:after="120" w:line="300" w:lineRule="auto"/>
      <w:jc w:val="center"/>
      <w:outlineLvl w:val="0"/>
    </w:pPr>
    <w:rPr>
      <w:rFonts w:ascii="宋体"/>
      <w:b/>
      <w:kern w:val="44"/>
      <w:sz w:val="32"/>
    </w:rPr>
  </w:style>
  <w:style w:type="paragraph" w:styleId="5">
    <w:name w:val="heading 2"/>
    <w:basedOn w:val="1"/>
    <w:next w:val="6"/>
    <w:link w:val="226"/>
    <w:unhideWhenUsed/>
    <w:qFormat/>
    <w:uiPriority w:val="0"/>
    <w:pPr>
      <w:keepNext/>
      <w:keepLines/>
      <w:autoSpaceDE w:val="0"/>
      <w:autoSpaceDN w:val="0"/>
      <w:adjustRightInd w:val="0"/>
      <w:spacing w:before="120" w:line="300" w:lineRule="auto"/>
      <w:jc w:val="center"/>
      <w:outlineLvl w:val="1"/>
    </w:pPr>
    <w:rPr>
      <w:rFonts w:ascii="Arial" w:hAnsi="Arial" w:eastAsia="黑体"/>
      <w:b/>
      <w:kern w:val="0"/>
      <w:sz w:val="30"/>
    </w:rPr>
  </w:style>
  <w:style w:type="paragraph" w:styleId="7">
    <w:name w:val="heading 3"/>
    <w:basedOn w:val="1"/>
    <w:next w:val="1"/>
    <w:link w:val="227"/>
    <w:semiHidden/>
    <w:unhideWhenUsed/>
    <w:qFormat/>
    <w:uiPriority w:val="0"/>
    <w:pPr>
      <w:keepNext/>
      <w:keepLines/>
      <w:autoSpaceDE w:val="0"/>
      <w:autoSpaceDN w:val="0"/>
      <w:adjustRightInd w:val="0"/>
      <w:spacing w:before="360" w:after="120"/>
      <w:jc w:val="left"/>
      <w:outlineLvl w:val="2"/>
    </w:pPr>
    <w:rPr>
      <w:rFonts w:ascii="宋体"/>
      <w:b/>
      <w:kern w:val="0"/>
      <w:sz w:val="24"/>
      <w:u w:val="single"/>
    </w:rPr>
  </w:style>
  <w:style w:type="paragraph" w:styleId="8">
    <w:name w:val="heading 4"/>
    <w:basedOn w:val="1"/>
    <w:next w:val="1"/>
    <w:link w:val="66"/>
    <w:semiHidden/>
    <w:unhideWhenUsed/>
    <w:qFormat/>
    <w:uiPriority w:val="0"/>
    <w:pPr>
      <w:keepNext/>
      <w:keepLines/>
      <w:adjustRightInd w:val="0"/>
      <w:spacing w:before="280" w:after="290" w:line="376" w:lineRule="atLeast"/>
      <w:outlineLvl w:val="3"/>
    </w:pPr>
    <w:rPr>
      <w:rFonts w:ascii="Arial" w:hAnsi="Arial" w:eastAsia="黑体"/>
      <w:b/>
      <w:kern w:val="0"/>
      <w:sz w:val="28"/>
    </w:rPr>
  </w:style>
  <w:style w:type="paragraph" w:styleId="9">
    <w:name w:val="heading 5"/>
    <w:basedOn w:val="1"/>
    <w:next w:val="1"/>
    <w:link w:val="67"/>
    <w:semiHidden/>
    <w:unhideWhenUsed/>
    <w:qFormat/>
    <w:uiPriority w:val="0"/>
    <w:pPr>
      <w:keepNext/>
      <w:keepLines/>
      <w:adjustRightInd w:val="0"/>
      <w:spacing w:before="280" w:after="290" w:line="376" w:lineRule="atLeast"/>
      <w:outlineLvl w:val="4"/>
    </w:pPr>
    <w:rPr>
      <w:b/>
      <w:kern w:val="0"/>
      <w:sz w:val="28"/>
    </w:rPr>
  </w:style>
  <w:style w:type="paragraph" w:styleId="10">
    <w:name w:val="heading 6"/>
    <w:basedOn w:val="1"/>
    <w:next w:val="1"/>
    <w:link w:val="68"/>
    <w:semiHidden/>
    <w:unhideWhenUsed/>
    <w:qFormat/>
    <w:uiPriority w:val="0"/>
    <w:pPr>
      <w:keepNext/>
      <w:keepLines/>
      <w:adjustRightInd w:val="0"/>
      <w:spacing w:before="240" w:after="64" w:line="320" w:lineRule="atLeast"/>
      <w:outlineLvl w:val="5"/>
    </w:pPr>
    <w:rPr>
      <w:rFonts w:ascii="Arial" w:hAnsi="Arial" w:eastAsia="黑体"/>
      <w:b/>
      <w:kern w:val="0"/>
      <w:sz w:val="24"/>
    </w:rPr>
  </w:style>
  <w:style w:type="paragraph" w:styleId="11">
    <w:name w:val="heading 7"/>
    <w:basedOn w:val="1"/>
    <w:next w:val="1"/>
    <w:link w:val="69"/>
    <w:semiHidden/>
    <w:unhideWhenUsed/>
    <w:qFormat/>
    <w:uiPriority w:val="99"/>
    <w:pPr>
      <w:keepNext/>
      <w:keepLines/>
      <w:adjustRightInd w:val="0"/>
      <w:spacing w:before="240" w:after="64" w:line="320" w:lineRule="atLeast"/>
      <w:outlineLvl w:val="6"/>
    </w:pPr>
    <w:rPr>
      <w:b/>
      <w:kern w:val="0"/>
      <w:sz w:val="24"/>
    </w:rPr>
  </w:style>
  <w:style w:type="paragraph" w:styleId="12">
    <w:name w:val="heading 8"/>
    <w:basedOn w:val="1"/>
    <w:next w:val="1"/>
    <w:link w:val="70"/>
    <w:semiHidden/>
    <w:unhideWhenUsed/>
    <w:qFormat/>
    <w:uiPriority w:val="99"/>
    <w:pPr>
      <w:keepNext/>
      <w:keepLines/>
      <w:adjustRightInd w:val="0"/>
      <w:spacing w:before="240" w:after="64" w:line="320" w:lineRule="atLeast"/>
      <w:outlineLvl w:val="7"/>
    </w:pPr>
    <w:rPr>
      <w:rFonts w:ascii="Arial" w:hAnsi="Arial" w:eastAsia="黑体"/>
      <w:kern w:val="0"/>
      <w:sz w:val="24"/>
    </w:rPr>
  </w:style>
  <w:style w:type="paragraph" w:styleId="13">
    <w:name w:val="heading 9"/>
    <w:basedOn w:val="1"/>
    <w:next w:val="1"/>
    <w:link w:val="71"/>
    <w:semiHidden/>
    <w:unhideWhenUsed/>
    <w:qFormat/>
    <w:uiPriority w:val="99"/>
    <w:pPr>
      <w:keepNext/>
      <w:keepLines/>
      <w:adjustRightInd w:val="0"/>
      <w:spacing w:before="240" w:after="64" w:line="320" w:lineRule="atLeast"/>
      <w:outlineLvl w:val="8"/>
    </w:pPr>
    <w:rPr>
      <w:rFonts w:ascii="Arial" w:hAnsi="Arial" w:eastAsia="黑体"/>
      <w:kern w:val="0"/>
    </w:rPr>
  </w:style>
  <w:style w:type="character" w:default="1" w:styleId="46">
    <w:name w:val="Default Paragraph Font"/>
    <w:semiHidden/>
    <w:unhideWhenUsed/>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78"/>
    <w:semiHidden/>
    <w:unhideWhenUsed/>
    <w:qFormat/>
    <w:uiPriority w:val="99"/>
    <w:pPr>
      <w:spacing w:after="120" w:line="480" w:lineRule="exact"/>
      <w:ind w:left="420" w:leftChars="200" w:firstLine="420" w:firstLineChars="200"/>
    </w:pPr>
    <w:rPr>
      <w:szCs w:val="20"/>
    </w:rPr>
  </w:style>
  <w:style w:type="paragraph" w:styleId="3">
    <w:name w:val="Body Text Indent"/>
    <w:basedOn w:val="1"/>
    <w:link w:val="228"/>
    <w:semiHidden/>
    <w:unhideWhenUsed/>
    <w:qFormat/>
    <w:uiPriority w:val="99"/>
    <w:pPr>
      <w:spacing w:line="360" w:lineRule="auto"/>
      <w:ind w:firstLine="570"/>
    </w:pPr>
    <w:rPr>
      <w:sz w:val="24"/>
      <w:szCs w:val="24"/>
    </w:rPr>
  </w:style>
  <w:style w:type="paragraph" w:styleId="6">
    <w:name w:val="Normal Indent"/>
    <w:basedOn w:val="1"/>
    <w:link w:val="74"/>
    <w:unhideWhenUsed/>
    <w:qFormat/>
    <w:uiPriority w:val="0"/>
    <w:pPr>
      <w:autoSpaceDE w:val="0"/>
      <w:autoSpaceDN w:val="0"/>
      <w:adjustRightInd w:val="0"/>
      <w:ind w:firstLine="420"/>
      <w:jc w:val="left"/>
    </w:pPr>
    <w:rPr>
      <w:rFonts w:ascii="宋体"/>
      <w:sz w:val="24"/>
      <w:szCs w:val="24"/>
    </w:rPr>
  </w:style>
  <w:style w:type="paragraph" w:styleId="14">
    <w:name w:val="toc 7"/>
    <w:basedOn w:val="1"/>
    <w:next w:val="1"/>
    <w:autoRedefine/>
    <w:semiHidden/>
    <w:unhideWhenUsed/>
    <w:qFormat/>
    <w:uiPriority w:val="99"/>
    <w:pPr>
      <w:ind w:left="2520" w:leftChars="1200"/>
    </w:pPr>
    <w:rPr>
      <w:szCs w:val="24"/>
    </w:rPr>
  </w:style>
  <w:style w:type="paragraph" w:styleId="15">
    <w:name w:val="caption"/>
    <w:basedOn w:val="1"/>
    <w:next w:val="1"/>
    <w:semiHidden/>
    <w:unhideWhenUsed/>
    <w:qFormat/>
    <w:uiPriority w:val="99"/>
    <w:pPr>
      <w:spacing w:line="480" w:lineRule="auto"/>
    </w:pPr>
    <w:rPr>
      <w:rFonts w:ascii="华文中宋" w:hAnsi="华文中宋" w:eastAsia="华文中宋"/>
      <w:sz w:val="36"/>
    </w:rPr>
  </w:style>
  <w:style w:type="paragraph" w:styleId="16">
    <w:name w:val="Document Map"/>
    <w:basedOn w:val="1"/>
    <w:link w:val="82"/>
    <w:semiHidden/>
    <w:unhideWhenUsed/>
    <w:qFormat/>
    <w:uiPriority w:val="99"/>
    <w:pPr>
      <w:shd w:val="clear" w:color="auto" w:fill="000080"/>
    </w:pPr>
    <w:rPr>
      <w:szCs w:val="24"/>
    </w:rPr>
  </w:style>
  <w:style w:type="paragraph" w:styleId="17">
    <w:name w:val="annotation text"/>
    <w:basedOn w:val="1"/>
    <w:link w:val="57"/>
    <w:qFormat/>
    <w:uiPriority w:val="99"/>
    <w:pPr>
      <w:adjustRightInd w:val="0"/>
      <w:spacing w:line="360" w:lineRule="atLeast"/>
      <w:jc w:val="left"/>
      <w:textAlignment w:val="baseline"/>
    </w:pPr>
    <w:rPr>
      <w:rFonts w:asciiTheme="minorHAnsi" w:hAnsiTheme="minorHAnsi" w:cstheme="minorBidi"/>
      <w:sz w:val="24"/>
      <w:szCs w:val="22"/>
    </w:rPr>
  </w:style>
  <w:style w:type="paragraph" w:styleId="18">
    <w:name w:val="Body Text 3"/>
    <w:basedOn w:val="1"/>
    <w:link w:val="79"/>
    <w:semiHidden/>
    <w:unhideWhenUsed/>
    <w:qFormat/>
    <w:uiPriority w:val="99"/>
    <w:pPr>
      <w:spacing w:after="120"/>
    </w:pPr>
    <w:rPr>
      <w:sz w:val="16"/>
      <w:szCs w:val="16"/>
    </w:rPr>
  </w:style>
  <w:style w:type="paragraph" w:styleId="19">
    <w:name w:val="Body Text"/>
    <w:basedOn w:val="1"/>
    <w:link w:val="72"/>
    <w:semiHidden/>
    <w:unhideWhenUsed/>
    <w:qFormat/>
    <w:uiPriority w:val="99"/>
    <w:pPr>
      <w:spacing w:after="120"/>
    </w:pPr>
    <w:rPr>
      <w:szCs w:val="24"/>
    </w:rPr>
  </w:style>
  <w:style w:type="paragraph" w:styleId="20">
    <w:name w:val="List 2"/>
    <w:basedOn w:val="1"/>
    <w:semiHidden/>
    <w:unhideWhenUsed/>
    <w:qFormat/>
    <w:uiPriority w:val="99"/>
    <w:pPr>
      <w:ind w:left="100" w:leftChars="200" w:hanging="200" w:hangingChars="200"/>
    </w:pPr>
    <w:rPr>
      <w:szCs w:val="24"/>
    </w:rPr>
  </w:style>
  <w:style w:type="paragraph" w:styleId="21">
    <w:name w:val="Block Text"/>
    <w:basedOn w:val="1"/>
    <w:semiHidden/>
    <w:unhideWhenUsed/>
    <w:qFormat/>
    <w:uiPriority w:val="99"/>
    <w:pPr>
      <w:widowControl/>
      <w:ind w:left="480" w:right="-341" w:firstLine="513"/>
    </w:pPr>
    <w:rPr>
      <w:kern w:val="0"/>
      <w:sz w:val="24"/>
    </w:rPr>
  </w:style>
  <w:style w:type="paragraph" w:styleId="22">
    <w:name w:val="toc 5"/>
    <w:basedOn w:val="1"/>
    <w:next w:val="1"/>
    <w:autoRedefine/>
    <w:semiHidden/>
    <w:unhideWhenUsed/>
    <w:qFormat/>
    <w:uiPriority w:val="99"/>
    <w:pPr>
      <w:ind w:left="1680" w:leftChars="800"/>
    </w:pPr>
    <w:rPr>
      <w:szCs w:val="24"/>
    </w:rPr>
  </w:style>
  <w:style w:type="paragraph" w:styleId="23">
    <w:name w:val="toc 3"/>
    <w:basedOn w:val="1"/>
    <w:next w:val="1"/>
    <w:autoRedefine/>
    <w:semiHidden/>
    <w:unhideWhenUsed/>
    <w:qFormat/>
    <w:uiPriority w:val="39"/>
    <w:pPr>
      <w:ind w:left="840" w:leftChars="400"/>
    </w:pPr>
    <w:rPr>
      <w:szCs w:val="24"/>
    </w:rPr>
  </w:style>
  <w:style w:type="paragraph" w:styleId="24">
    <w:name w:val="Plain Text"/>
    <w:basedOn w:val="1"/>
    <w:link w:val="53"/>
    <w:qFormat/>
    <w:uiPriority w:val="0"/>
    <w:rPr>
      <w:rFonts w:ascii="宋体" w:hAnsi="Courier New" w:cstheme="minorBidi"/>
      <w:szCs w:val="22"/>
    </w:rPr>
  </w:style>
  <w:style w:type="paragraph" w:styleId="25">
    <w:name w:val="toc 8"/>
    <w:basedOn w:val="1"/>
    <w:next w:val="1"/>
    <w:autoRedefine/>
    <w:semiHidden/>
    <w:unhideWhenUsed/>
    <w:qFormat/>
    <w:uiPriority w:val="99"/>
    <w:pPr>
      <w:ind w:left="2940" w:leftChars="1400"/>
    </w:pPr>
    <w:rPr>
      <w:szCs w:val="24"/>
    </w:rPr>
  </w:style>
  <w:style w:type="paragraph" w:styleId="26">
    <w:name w:val="Date"/>
    <w:basedOn w:val="1"/>
    <w:next w:val="1"/>
    <w:link w:val="76"/>
    <w:semiHidden/>
    <w:unhideWhenUsed/>
    <w:qFormat/>
    <w:uiPriority w:val="99"/>
    <w:pPr>
      <w:ind w:left="100" w:leftChars="2500"/>
    </w:pPr>
    <w:rPr>
      <w:rFonts w:ascii="仿宋_GB2312" w:hAnsi="宋体" w:eastAsia="仿宋_GB2312"/>
      <w:color w:val="000000"/>
      <w:sz w:val="24"/>
      <w:szCs w:val="24"/>
    </w:rPr>
  </w:style>
  <w:style w:type="paragraph" w:styleId="27">
    <w:name w:val="Body Text Indent 2"/>
    <w:basedOn w:val="1"/>
    <w:link w:val="80"/>
    <w:semiHidden/>
    <w:unhideWhenUsed/>
    <w:qFormat/>
    <w:uiPriority w:val="99"/>
    <w:pPr>
      <w:ind w:firstLine="480" w:firstLineChars="200"/>
    </w:pPr>
    <w:rPr>
      <w:rFonts w:ascii="仿宋_GB2312" w:eastAsia="仿宋_GB2312"/>
      <w:sz w:val="24"/>
      <w:szCs w:val="24"/>
    </w:rPr>
  </w:style>
  <w:style w:type="paragraph" w:styleId="28">
    <w:name w:val="Balloon Text"/>
    <w:basedOn w:val="1"/>
    <w:link w:val="84"/>
    <w:semiHidden/>
    <w:unhideWhenUsed/>
    <w:qFormat/>
    <w:uiPriority w:val="99"/>
    <w:rPr>
      <w:sz w:val="18"/>
      <w:szCs w:val="18"/>
    </w:rPr>
  </w:style>
  <w:style w:type="paragraph" w:styleId="29">
    <w:name w:val="footer"/>
    <w:basedOn w:val="1"/>
    <w:link w:val="52"/>
    <w:unhideWhenUsed/>
    <w:qFormat/>
    <w:uiPriority w:val="99"/>
    <w:pPr>
      <w:tabs>
        <w:tab w:val="center" w:pos="4153"/>
        <w:tab w:val="right" w:pos="8306"/>
      </w:tabs>
      <w:snapToGrid w:val="0"/>
      <w:jc w:val="left"/>
    </w:pPr>
    <w:rPr>
      <w:sz w:val="18"/>
      <w:szCs w:val="18"/>
    </w:rPr>
  </w:style>
  <w:style w:type="paragraph" w:styleId="30">
    <w:name w:val="header"/>
    <w:basedOn w:val="1"/>
    <w:link w:val="51"/>
    <w:unhideWhenUsed/>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autoRedefine/>
    <w:semiHidden/>
    <w:unhideWhenUsed/>
    <w:qFormat/>
    <w:uiPriority w:val="39"/>
    <w:pPr>
      <w:tabs>
        <w:tab w:val="left" w:pos="1050"/>
        <w:tab w:val="right" w:leader="dot" w:pos="8937"/>
      </w:tabs>
      <w:spacing w:line="300" w:lineRule="auto"/>
    </w:pPr>
    <w:rPr>
      <w:rFonts w:ascii="宋体" w:hAnsi="宋体"/>
      <w:b/>
      <w:sz w:val="24"/>
      <w:szCs w:val="24"/>
    </w:rPr>
  </w:style>
  <w:style w:type="paragraph" w:styleId="32">
    <w:name w:val="toc 4"/>
    <w:basedOn w:val="1"/>
    <w:next w:val="1"/>
    <w:autoRedefine/>
    <w:semiHidden/>
    <w:unhideWhenUsed/>
    <w:qFormat/>
    <w:uiPriority w:val="99"/>
    <w:pPr>
      <w:ind w:left="1260" w:leftChars="600"/>
    </w:pPr>
    <w:rPr>
      <w:szCs w:val="24"/>
    </w:rPr>
  </w:style>
  <w:style w:type="paragraph" w:styleId="33">
    <w:name w:val="toc 6"/>
    <w:basedOn w:val="1"/>
    <w:next w:val="1"/>
    <w:autoRedefine/>
    <w:semiHidden/>
    <w:unhideWhenUsed/>
    <w:qFormat/>
    <w:uiPriority w:val="99"/>
    <w:pPr>
      <w:ind w:left="2100" w:leftChars="1000"/>
    </w:pPr>
    <w:rPr>
      <w:szCs w:val="24"/>
    </w:rPr>
  </w:style>
  <w:style w:type="paragraph" w:styleId="34">
    <w:name w:val="Body Text Indent 3"/>
    <w:basedOn w:val="1"/>
    <w:link w:val="81"/>
    <w:semiHidden/>
    <w:unhideWhenUsed/>
    <w:qFormat/>
    <w:uiPriority w:val="99"/>
    <w:pPr>
      <w:autoSpaceDE w:val="0"/>
      <w:autoSpaceDN w:val="0"/>
      <w:adjustRightInd w:val="0"/>
      <w:spacing w:before="120" w:line="22" w:lineRule="atLeast"/>
      <w:ind w:left="720" w:firstLine="480"/>
      <w:jc w:val="left"/>
    </w:pPr>
    <w:rPr>
      <w:rFonts w:ascii="宋体"/>
      <w:kern w:val="0"/>
      <w:sz w:val="24"/>
    </w:rPr>
  </w:style>
  <w:style w:type="paragraph" w:styleId="35">
    <w:name w:val="toc 2"/>
    <w:basedOn w:val="1"/>
    <w:next w:val="1"/>
    <w:autoRedefine/>
    <w:semiHidden/>
    <w:unhideWhenUsed/>
    <w:qFormat/>
    <w:uiPriority w:val="39"/>
    <w:pPr>
      <w:tabs>
        <w:tab w:val="right" w:leader="dot" w:pos="8937"/>
      </w:tabs>
      <w:spacing w:line="312" w:lineRule="auto"/>
      <w:ind w:left="420" w:leftChars="200"/>
    </w:pPr>
    <w:rPr>
      <w:szCs w:val="24"/>
    </w:rPr>
  </w:style>
  <w:style w:type="paragraph" w:styleId="36">
    <w:name w:val="toc 9"/>
    <w:basedOn w:val="1"/>
    <w:next w:val="1"/>
    <w:autoRedefine/>
    <w:semiHidden/>
    <w:unhideWhenUsed/>
    <w:qFormat/>
    <w:uiPriority w:val="99"/>
    <w:pPr>
      <w:ind w:left="3360" w:leftChars="1600"/>
    </w:pPr>
    <w:rPr>
      <w:szCs w:val="24"/>
    </w:rPr>
  </w:style>
  <w:style w:type="paragraph" w:styleId="37">
    <w:name w:val="HTML Preformatted"/>
    <w:basedOn w:val="1"/>
    <w:link w:val="73"/>
    <w:semiHidden/>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3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39">
    <w:name w:val="index 1"/>
    <w:basedOn w:val="1"/>
    <w:next w:val="1"/>
    <w:autoRedefine/>
    <w:semiHidden/>
    <w:unhideWhenUsed/>
    <w:qFormat/>
    <w:uiPriority w:val="99"/>
  </w:style>
  <w:style w:type="paragraph" w:styleId="40">
    <w:name w:val="Title"/>
    <w:basedOn w:val="1"/>
    <w:link w:val="54"/>
    <w:qFormat/>
    <w:uiPriority w:val="99"/>
    <w:pPr>
      <w:spacing w:before="240" w:after="60"/>
      <w:jc w:val="center"/>
      <w:outlineLvl w:val="0"/>
    </w:pPr>
    <w:rPr>
      <w:rFonts w:ascii="Arial" w:hAnsi="Arial" w:cs="Arial"/>
      <w:b/>
      <w:bCs/>
      <w:sz w:val="32"/>
      <w:szCs w:val="32"/>
    </w:rPr>
  </w:style>
  <w:style w:type="paragraph" w:styleId="41">
    <w:name w:val="annotation subject"/>
    <w:basedOn w:val="17"/>
    <w:next w:val="17"/>
    <w:link w:val="83"/>
    <w:semiHidden/>
    <w:unhideWhenUsed/>
    <w:qFormat/>
    <w:uiPriority w:val="99"/>
    <w:pPr>
      <w:adjustRightInd/>
      <w:spacing w:line="240" w:lineRule="auto"/>
      <w:textAlignment w:val="auto"/>
    </w:pPr>
    <w:rPr>
      <w:rFonts w:ascii="Times New Roman" w:hAnsi="Times New Roman" w:cs="Times New Roman"/>
      <w:b/>
      <w:bCs/>
      <w:sz w:val="21"/>
      <w:szCs w:val="24"/>
    </w:rPr>
  </w:style>
  <w:style w:type="paragraph" w:styleId="42">
    <w:name w:val="Body Text First Indent"/>
    <w:basedOn w:val="19"/>
    <w:link w:val="77"/>
    <w:semiHidden/>
    <w:unhideWhenUsed/>
    <w:qFormat/>
    <w:uiPriority w:val="99"/>
    <w:pPr>
      <w:ind w:firstLine="420" w:firstLineChars="100"/>
    </w:pPr>
    <w:rPr>
      <w:rFonts w:eastAsia="仿宋" w:asciiTheme="minorHAnsi" w:hAnsiTheme="minorHAnsi" w:cstheme="minorBidi"/>
      <w:sz w:val="28"/>
    </w:rPr>
  </w:style>
  <w:style w:type="table" w:styleId="44">
    <w:name w:val="Table Grid"/>
    <w:basedOn w:val="43"/>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45">
    <w:name w:val="Medium Grid 1 Accent 2"/>
    <w:basedOn w:val="43"/>
    <w:qFormat/>
    <w:uiPriority w:val="0"/>
    <w:rPr>
      <w:rFonts w:ascii="Times New Roman" w:hAnsi="Times New Roman" w:eastAsia="宋体" w:cs="Times New Roman"/>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7">
    <w:name w:val="FollowedHyperlink"/>
    <w:semiHidden/>
    <w:unhideWhenUsed/>
    <w:qFormat/>
    <w:uiPriority w:val="0"/>
    <w:rPr>
      <w:color w:val="800080"/>
      <w:u w:val="single"/>
    </w:rPr>
  </w:style>
  <w:style w:type="character" w:styleId="48">
    <w:name w:val="Emphasis"/>
    <w:qFormat/>
    <w:uiPriority w:val="0"/>
    <w:rPr>
      <w:color w:val="CC0033"/>
    </w:rPr>
  </w:style>
  <w:style w:type="character" w:styleId="49">
    <w:name w:val="Hyperlink"/>
    <w:semiHidden/>
    <w:unhideWhenUsed/>
    <w:qFormat/>
    <w:uiPriority w:val="99"/>
    <w:rPr>
      <w:color w:val="0000FF"/>
      <w:u w:val="single"/>
    </w:rPr>
  </w:style>
  <w:style w:type="character" w:styleId="50">
    <w:name w:val="annotation reference"/>
    <w:unhideWhenUsed/>
    <w:qFormat/>
    <w:uiPriority w:val="99"/>
    <w:rPr>
      <w:sz w:val="21"/>
      <w:szCs w:val="21"/>
    </w:rPr>
  </w:style>
  <w:style w:type="character" w:customStyle="1" w:styleId="51">
    <w:name w:val="页眉 Char"/>
    <w:basedOn w:val="46"/>
    <w:link w:val="30"/>
    <w:qFormat/>
    <w:uiPriority w:val="0"/>
    <w:rPr>
      <w:sz w:val="18"/>
      <w:szCs w:val="18"/>
    </w:rPr>
  </w:style>
  <w:style w:type="character" w:customStyle="1" w:styleId="52">
    <w:name w:val="页脚 Char"/>
    <w:basedOn w:val="46"/>
    <w:link w:val="29"/>
    <w:qFormat/>
    <w:uiPriority w:val="99"/>
    <w:rPr>
      <w:sz w:val="18"/>
      <w:szCs w:val="18"/>
    </w:rPr>
  </w:style>
  <w:style w:type="character" w:customStyle="1" w:styleId="53">
    <w:name w:val="纯文本 Char"/>
    <w:link w:val="24"/>
    <w:qFormat/>
    <w:uiPriority w:val="0"/>
    <w:rPr>
      <w:rFonts w:ascii="宋体" w:hAnsi="Courier New" w:eastAsia="宋体"/>
    </w:rPr>
  </w:style>
  <w:style w:type="character" w:customStyle="1" w:styleId="54">
    <w:name w:val="标题 Char1"/>
    <w:link w:val="40"/>
    <w:qFormat/>
    <w:uiPriority w:val="99"/>
    <w:rPr>
      <w:rFonts w:ascii="Arial" w:hAnsi="Arial" w:eastAsia="宋体" w:cs="Arial"/>
      <w:b/>
      <w:bCs/>
      <w:sz w:val="32"/>
      <w:szCs w:val="32"/>
    </w:rPr>
  </w:style>
  <w:style w:type="character" w:customStyle="1" w:styleId="55">
    <w:name w:val="纯文本 Char1"/>
    <w:basedOn w:val="46"/>
    <w:semiHidden/>
    <w:qFormat/>
    <w:uiPriority w:val="0"/>
    <w:rPr>
      <w:rFonts w:ascii="宋体" w:hAnsi="Courier New" w:eastAsia="宋体" w:cs="Courier New"/>
      <w:szCs w:val="21"/>
    </w:rPr>
  </w:style>
  <w:style w:type="character" w:customStyle="1" w:styleId="56">
    <w:name w:val="标题 Char"/>
    <w:basedOn w:val="46"/>
    <w:qFormat/>
    <w:uiPriority w:val="99"/>
    <w:rPr>
      <w:rFonts w:eastAsia="宋体" w:asciiTheme="majorHAnsi" w:hAnsiTheme="majorHAnsi" w:cstheme="majorBidi"/>
      <w:b/>
      <w:bCs/>
      <w:sz w:val="32"/>
      <w:szCs w:val="32"/>
    </w:rPr>
  </w:style>
  <w:style w:type="character" w:customStyle="1" w:styleId="57">
    <w:name w:val="批注文字 Char1"/>
    <w:link w:val="17"/>
    <w:qFormat/>
    <w:uiPriority w:val="99"/>
    <w:rPr>
      <w:rFonts w:eastAsia="宋体"/>
      <w:sz w:val="24"/>
    </w:rPr>
  </w:style>
  <w:style w:type="character" w:customStyle="1" w:styleId="58">
    <w:name w:val="批注文字 Char"/>
    <w:basedOn w:val="46"/>
    <w:semiHidden/>
    <w:qFormat/>
    <w:uiPriority w:val="99"/>
    <w:rPr>
      <w:rFonts w:ascii="Times New Roman" w:hAnsi="Times New Roman" w:eastAsia="宋体" w:cs="Times New Roman"/>
      <w:szCs w:val="20"/>
    </w:rPr>
  </w:style>
  <w:style w:type="paragraph" w:customStyle="1" w:styleId="59">
    <w:name w:val="列出段落1"/>
    <w:basedOn w:val="1"/>
    <w:qFormat/>
    <w:uiPriority w:val="99"/>
    <w:pPr>
      <w:ind w:firstLine="420" w:firstLineChars="200"/>
    </w:pPr>
    <w:rPr>
      <w:rFonts w:ascii="Calibri" w:hAnsi="Calibri"/>
      <w:szCs w:val="22"/>
    </w:rPr>
  </w:style>
  <w:style w:type="paragraph" w:customStyle="1" w:styleId="60">
    <w:name w:val="SOW正文"/>
    <w:basedOn w:val="1"/>
    <w:qFormat/>
    <w:uiPriority w:val="0"/>
    <w:pPr>
      <w:snapToGrid w:val="0"/>
      <w:spacing w:before="120" w:line="400" w:lineRule="exact"/>
      <w:ind w:firstLine="425"/>
    </w:pPr>
    <w:rPr>
      <w:sz w:val="24"/>
    </w:rPr>
  </w:style>
  <w:style w:type="character" w:customStyle="1" w:styleId="61">
    <w:name w:val="批注文字 Char2"/>
    <w:qFormat/>
    <w:uiPriority w:val="0"/>
    <w:rPr>
      <w:sz w:val="24"/>
    </w:rPr>
  </w:style>
  <w:style w:type="character" w:customStyle="1" w:styleId="62">
    <w:name w:val="标题 Char2"/>
    <w:locked/>
    <w:uiPriority w:val="99"/>
    <w:rPr>
      <w:rFonts w:ascii="Arial" w:hAnsi="Arial" w:eastAsia="宋体" w:cs="Arial"/>
      <w:b/>
      <w:bCs/>
      <w:sz w:val="32"/>
      <w:szCs w:val="32"/>
    </w:rPr>
  </w:style>
  <w:style w:type="character" w:customStyle="1" w:styleId="63">
    <w:name w:val="标题 1 Char"/>
    <w:basedOn w:val="46"/>
    <w:link w:val="4"/>
    <w:qFormat/>
    <w:uiPriority w:val="0"/>
    <w:rPr>
      <w:rFonts w:ascii="宋体" w:hAnsi="Times New Roman" w:eastAsia="宋体" w:cs="Times New Roman"/>
      <w:b/>
      <w:kern w:val="44"/>
      <w:sz w:val="32"/>
      <w:szCs w:val="20"/>
    </w:rPr>
  </w:style>
  <w:style w:type="character" w:customStyle="1" w:styleId="64">
    <w:name w:val="标题 2 Char"/>
    <w:basedOn w:val="46"/>
    <w:semiHidden/>
    <w:qFormat/>
    <w:uiPriority w:val="0"/>
    <w:rPr>
      <w:rFonts w:asciiTheme="majorHAnsi" w:hAnsiTheme="majorHAnsi" w:eastAsiaTheme="majorEastAsia" w:cstheme="majorBidi"/>
      <w:b/>
      <w:bCs/>
      <w:sz w:val="32"/>
      <w:szCs w:val="32"/>
    </w:rPr>
  </w:style>
  <w:style w:type="character" w:customStyle="1" w:styleId="65">
    <w:name w:val="标题 3 Char"/>
    <w:basedOn w:val="46"/>
    <w:semiHidden/>
    <w:qFormat/>
    <w:uiPriority w:val="0"/>
    <w:rPr>
      <w:rFonts w:ascii="Times New Roman" w:hAnsi="Times New Roman" w:eastAsia="宋体" w:cs="Times New Roman"/>
      <w:b/>
      <w:bCs/>
      <w:sz w:val="32"/>
      <w:szCs w:val="32"/>
    </w:rPr>
  </w:style>
  <w:style w:type="character" w:customStyle="1" w:styleId="66">
    <w:name w:val="标题 4 Char"/>
    <w:basedOn w:val="46"/>
    <w:link w:val="8"/>
    <w:semiHidden/>
    <w:qFormat/>
    <w:uiPriority w:val="0"/>
    <w:rPr>
      <w:rFonts w:ascii="Arial" w:hAnsi="Arial" w:eastAsia="黑体" w:cs="Times New Roman"/>
      <w:b/>
      <w:kern w:val="0"/>
      <w:sz w:val="28"/>
      <w:szCs w:val="20"/>
    </w:rPr>
  </w:style>
  <w:style w:type="character" w:customStyle="1" w:styleId="67">
    <w:name w:val="标题 5 Char"/>
    <w:basedOn w:val="46"/>
    <w:link w:val="9"/>
    <w:semiHidden/>
    <w:qFormat/>
    <w:uiPriority w:val="0"/>
    <w:rPr>
      <w:rFonts w:ascii="Times New Roman" w:hAnsi="Times New Roman" w:eastAsia="宋体" w:cs="Times New Roman"/>
      <w:b/>
      <w:kern w:val="0"/>
      <w:sz w:val="28"/>
      <w:szCs w:val="20"/>
    </w:rPr>
  </w:style>
  <w:style w:type="character" w:customStyle="1" w:styleId="68">
    <w:name w:val="标题 6 Char"/>
    <w:basedOn w:val="46"/>
    <w:link w:val="10"/>
    <w:semiHidden/>
    <w:qFormat/>
    <w:uiPriority w:val="0"/>
    <w:rPr>
      <w:rFonts w:ascii="Arial" w:hAnsi="Arial" w:eastAsia="黑体" w:cs="Times New Roman"/>
      <w:b/>
      <w:kern w:val="0"/>
      <w:sz w:val="24"/>
      <w:szCs w:val="20"/>
    </w:rPr>
  </w:style>
  <w:style w:type="character" w:customStyle="1" w:styleId="69">
    <w:name w:val="标题 7 Char"/>
    <w:basedOn w:val="46"/>
    <w:link w:val="11"/>
    <w:semiHidden/>
    <w:qFormat/>
    <w:uiPriority w:val="99"/>
    <w:rPr>
      <w:rFonts w:ascii="Times New Roman" w:hAnsi="Times New Roman" w:eastAsia="宋体" w:cs="Times New Roman"/>
      <w:b/>
      <w:kern w:val="0"/>
      <w:sz w:val="24"/>
      <w:szCs w:val="20"/>
    </w:rPr>
  </w:style>
  <w:style w:type="character" w:customStyle="1" w:styleId="70">
    <w:name w:val="标题 8 Char"/>
    <w:basedOn w:val="46"/>
    <w:link w:val="12"/>
    <w:semiHidden/>
    <w:qFormat/>
    <w:uiPriority w:val="99"/>
    <w:rPr>
      <w:rFonts w:ascii="Arial" w:hAnsi="Arial" w:eastAsia="黑体" w:cs="Times New Roman"/>
      <w:kern w:val="0"/>
      <w:sz w:val="24"/>
      <w:szCs w:val="20"/>
    </w:rPr>
  </w:style>
  <w:style w:type="character" w:customStyle="1" w:styleId="71">
    <w:name w:val="标题 9 Char"/>
    <w:basedOn w:val="46"/>
    <w:link w:val="13"/>
    <w:semiHidden/>
    <w:qFormat/>
    <w:uiPriority w:val="99"/>
    <w:rPr>
      <w:rFonts w:ascii="Arial" w:hAnsi="Arial" w:eastAsia="黑体" w:cs="Times New Roman"/>
      <w:kern w:val="0"/>
      <w:szCs w:val="20"/>
    </w:rPr>
  </w:style>
  <w:style w:type="character" w:customStyle="1" w:styleId="72">
    <w:name w:val="正文文本 Char"/>
    <w:basedOn w:val="46"/>
    <w:link w:val="19"/>
    <w:semiHidden/>
    <w:qFormat/>
    <w:uiPriority w:val="99"/>
    <w:rPr>
      <w:rFonts w:ascii="Times New Roman" w:hAnsi="Times New Roman" w:eastAsia="宋体" w:cs="Times New Roman"/>
      <w:szCs w:val="24"/>
    </w:rPr>
  </w:style>
  <w:style w:type="character" w:customStyle="1" w:styleId="73">
    <w:name w:val="HTML 预设格式 Char"/>
    <w:basedOn w:val="46"/>
    <w:link w:val="37"/>
    <w:semiHidden/>
    <w:qFormat/>
    <w:uiPriority w:val="0"/>
    <w:rPr>
      <w:rFonts w:ascii="宋体" w:hAnsi="宋体" w:eastAsia="宋体" w:cs="宋体"/>
      <w:kern w:val="0"/>
      <w:sz w:val="24"/>
      <w:szCs w:val="24"/>
    </w:rPr>
  </w:style>
  <w:style w:type="character" w:customStyle="1" w:styleId="74">
    <w:name w:val="正文缩进 Char1"/>
    <w:link w:val="6"/>
    <w:qFormat/>
    <w:locked/>
    <w:uiPriority w:val="0"/>
    <w:rPr>
      <w:rFonts w:ascii="宋体" w:hAnsi="Times New Roman" w:eastAsia="宋体" w:cs="Times New Roman"/>
      <w:sz w:val="24"/>
      <w:szCs w:val="24"/>
    </w:rPr>
  </w:style>
  <w:style w:type="character" w:customStyle="1" w:styleId="75">
    <w:name w:val="正文文本缩进 Char"/>
    <w:basedOn w:val="46"/>
    <w:semiHidden/>
    <w:qFormat/>
    <w:uiPriority w:val="0"/>
    <w:rPr>
      <w:rFonts w:ascii="Times New Roman" w:hAnsi="Times New Roman" w:eastAsia="宋体" w:cs="Times New Roman"/>
      <w:szCs w:val="20"/>
    </w:rPr>
  </w:style>
  <w:style w:type="character" w:customStyle="1" w:styleId="76">
    <w:name w:val="日期 Char"/>
    <w:basedOn w:val="46"/>
    <w:link w:val="26"/>
    <w:semiHidden/>
    <w:qFormat/>
    <w:uiPriority w:val="99"/>
    <w:rPr>
      <w:rFonts w:ascii="仿宋_GB2312" w:hAnsi="宋体" w:eastAsia="仿宋_GB2312" w:cs="Times New Roman"/>
      <w:color w:val="000000"/>
      <w:sz w:val="24"/>
      <w:szCs w:val="24"/>
    </w:rPr>
  </w:style>
  <w:style w:type="character" w:customStyle="1" w:styleId="77">
    <w:name w:val="正文首行缩进 Char"/>
    <w:basedOn w:val="72"/>
    <w:link w:val="42"/>
    <w:semiHidden/>
    <w:uiPriority w:val="99"/>
    <w:rPr>
      <w:rFonts w:ascii="Times New Roman" w:hAnsi="Times New Roman" w:eastAsia="仿宋" w:cs="Times New Roman"/>
      <w:sz w:val="28"/>
      <w:szCs w:val="24"/>
    </w:rPr>
  </w:style>
  <w:style w:type="character" w:customStyle="1" w:styleId="78">
    <w:name w:val="正文首行缩进 2 Char"/>
    <w:basedOn w:val="75"/>
    <w:link w:val="2"/>
    <w:semiHidden/>
    <w:qFormat/>
    <w:uiPriority w:val="99"/>
    <w:rPr>
      <w:rFonts w:ascii="Times New Roman" w:hAnsi="Times New Roman" w:eastAsia="宋体" w:cs="Times New Roman"/>
      <w:sz w:val="24"/>
      <w:szCs w:val="20"/>
    </w:rPr>
  </w:style>
  <w:style w:type="character" w:customStyle="1" w:styleId="79">
    <w:name w:val="正文文本 3 Char"/>
    <w:basedOn w:val="46"/>
    <w:link w:val="18"/>
    <w:semiHidden/>
    <w:qFormat/>
    <w:uiPriority w:val="99"/>
    <w:rPr>
      <w:rFonts w:ascii="Times New Roman" w:hAnsi="Times New Roman" w:eastAsia="宋体" w:cs="Times New Roman"/>
      <w:sz w:val="16"/>
      <w:szCs w:val="16"/>
    </w:rPr>
  </w:style>
  <w:style w:type="character" w:customStyle="1" w:styleId="80">
    <w:name w:val="正文文本缩进 2 Char"/>
    <w:basedOn w:val="46"/>
    <w:link w:val="27"/>
    <w:semiHidden/>
    <w:qFormat/>
    <w:uiPriority w:val="99"/>
    <w:rPr>
      <w:rFonts w:ascii="仿宋_GB2312" w:hAnsi="Times New Roman" w:eastAsia="仿宋_GB2312" w:cs="Times New Roman"/>
      <w:sz w:val="24"/>
      <w:szCs w:val="24"/>
    </w:rPr>
  </w:style>
  <w:style w:type="character" w:customStyle="1" w:styleId="81">
    <w:name w:val="正文文本缩进 3 Char"/>
    <w:basedOn w:val="46"/>
    <w:link w:val="34"/>
    <w:semiHidden/>
    <w:qFormat/>
    <w:uiPriority w:val="99"/>
    <w:rPr>
      <w:rFonts w:ascii="宋体" w:hAnsi="Times New Roman" w:eastAsia="宋体" w:cs="Times New Roman"/>
      <w:kern w:val="0"/>
      <w:sz w:val="24"/>
      <w:szCs w:val="20"/>
    </w:rPr>
  </w:style>
  <w:style w:type="character" w:customStyle="1" w:styleId="82">
    <w:name w:val="文档结构图 Char"/>
    <w:basedOn w:val="46"/>
    <w:link w:val="16"/>
    <w:semiHidden/>
    <w:qFormat/>
    <w:uiPriority w:val="99"/>
    <w:rPr>
      <w:rFonts w:ascii="Times New Roman" w:hAnsi="Times New Roman" w:eastAsia="宋体" w:cs="Times New Roman"/>
      <w:szCs w:val="24"/>
      <w:shd w:val="clear" w:color="auto" w:fill="000080"/>
    </w:rPr>
  </w:style>
  <w:style w:type="character" w:customStyle="1" w:styleId="83">
    <w:name w:val="批注主题 Char"/>
    <w:basedOn w:val="57"/>
    <w:link w:val="41"/>
    <w:semiHidden/>
    <w:qFormat/>
    <w:uiPriority w:val="99"/>
    <w:rPr>
      <w:rFonts w:ascii="Times New Roman" w:hAnsi="Times New Roman" w:eastAsia="宋体" w:cs="Times New Roman"/>
      <w:b/>
      <w:bCs/>
      <w:sz w:val="24"/>
      <w:szCs w:val="24"/>
    </w:rPr>
  </w:style>
  <w:style w:type="character" w:customStyle="1" w:styleId="84">
    <w:name w:val="批注框文本 Char"/>
    <w:basedOn w:val="46"/>
    <w:link w:val="28"/>
    <w:semiHidden/>
    <w:qFormat/>
    <w:uiPriority w:val="99"/>
    <w:rPr>
      <w:rFonts w:ascii="Times New Roman" w:hAnsi="Times New Roman" w:eastAsia="宋体" w:cs="Times New Roman"/>
      <w:sz w:val="18"/>
      <w:szCs w:val="18"/>
    </w:rPr>
  </w:style>
  <w:style w:type="paragraph" w:styleId="85">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86">
    <w:name w:val="Revision"/>
    <w:semiHidden/>
    <w:qFormat/>
    <w:uiPriority w:val="99"/>
    <w:rPr>
      <w:rFonts w:ascii="Times New Roman" w:hAnsi="Times New Roman" w:eastAsia="宋体" w:cs="Times New Roman"/>
      <w:kern w:val="2"/>
      <w:sz w:val="21"/>
      <w:szCs w:val="24"/>
      <w:lang w:val="en-US" w:eastAsia="zh-CN" w:bidi="ar-SA"/>
    </w:rPr>
  </w:style>
  <w:style w:type="character" w:customStyle="1" w:styleId="87">
    <w:name w:val="列出段落 Char1"/>
    <w:link w:val="88"/>
    <w:qFormat/>
    <w:locked/>
    <w:uiPriority w:val="34"/>
    <w:rPr>
      <w:rFonts w:ascii="Calibri" w:hAnsi="Calibri" w:cs="Calibri"/>
    </w:rPr>
  </w:style>
  <w:style w:type="paragraph" w:styleId="88">
    <w:name w:val="List Paragraph"/>
    <w:basedOn w:val="1"/>
    <w:link w:val="87"/>
    <w:qFormat/>
    <w:uiPriority w:val="34"/>
    <w:pPr>
      <w:ind w:firstLine="420" w:firstLineChars="200"/>
    </w:pPr>
    <w:rPr>
      <w:rFonts w:ascii="Calibri" w:hAnsi="Calibri" w:cs="Calibri" w:eastAsiaTheme="minorEastAsia"/>
      <w:szCs w:val="22"/>
    </w:rPr>
  </w:style>
  <w:style w:type="character" w:customStyle="1" w:styleId="89">
    <w:name w:val="正文小标题 Char"/>
    <w:link w:val="90"/>
    <w:qFormat/>
    <w:locked/>
    <w:uiPriority w:val="0"/>
    <w:rPr>
      <w:rFonts w:ascii="宋体" w:hAnsi="宋体" w:eastAsia="宋体"/>
      <w:b/>
      <w:i/>
      <w:color w:val="FF0000"/>
      <w:sz w:val="24"/>
    </w:rPr>
  </w:style>
  <w:style w:type="paragraph" w:customStyle="1" w:styleId="90">
    <w:name w:val="正文小标题"/>
    <w:basedOn w:val="1"/>
    <w:next w:val="6"/>
    <w:link w:val="89"/>
    <w:qFormat/>
    <w:uiPriority w:val="0"/>
    <w:pPr>
      <w:adjustRightInd w:val="0"/>
      <w:snapToGrid w:val="0"/>
      <w:spacing w:beforeLines="100"/>
      <w:ind w:firstLine="482"/>
      <w:jc w:val="left"/>
    </w:pPr>
    <w:rPr>
      <w:rFonts w:ascii="宋体" w:hAnsi="宋体" w:cstheme="minorBidi"/>
      <w:b/>
      <w:i/>
      <w:color w:val="FF0000"/>
      <w:sz w:val="24"/>
      <w:szCs w:val="22"/>
    </w:rPr>
  </w:style>
  <w:style w:type="character" w:customStyle="1" w:styleId="91">
    <w:name w:val="正文缩进 Char Char"/>
    <w:link w:val="92"/>
    <w:qFormat/>
    <w:locked/>
    <w:uiPriority w:val="0"/>
    <w:rPr>
      <w:rFonts w:ascii="宋体" w:hAnsi="宋体" w:eastAsia="宋体"/>
      <w:color w:val="000000"/>
      <w:kern w:val="28"/>
      <w:sz w:val="28"/>
    </w:rPr>
  </w:style>
  <w:style w:type="paragraph" w:customStyle="1" w:styleId="92">
    <w:name w:val="正文缩进1"/>
    <w:basedOn w:val="1"/>
    <w:link w:val="91"/>
    <w:qFormat/>
    <w:uiPriority w:val="0"/>
    <w:pPr>
      <w:widowControl/>
      <w:adjustRightInd w:val="0"/>
      <w:snapToGrid w:val="0"/>
      <w:spacing w:line="480" w:lineRule="exact"/>
      <w:ind w:firstLine="567"/>
    </w:pPr>
    <w:rPr>
      <w:rFonts w:ascii="宋体" w:hAnsi="宋体" w:cstheme="minorBidi"/>
      <w:color w:val="000000"/>
      <w:kern w:val="28"/>
      <w:sz w:val="28"/>
      <w:szCs w:val="22"/>
    </w:rPr>
  </w:style>
  <w:style w:type="character" w:customStyle="1" w:styleId="93">
    <w:name w:val="正文文本缩进 Char1"/>
    <w:link w:val="94"/>
    <w:qFormat/>
    <w:locked/>
    <w:uiPriority w:val="0"/>
    <w:rPr>
      <w:rFonts w:ascii="宋体" w:hAnsi="宋体" w:eastAsia="宋体"/>
      <w:sz w:val="24"/>
      <w:szCs w:val="24"/>
    </w:rPr>
  </w:style>
  <w:style w:type="paragraph" w:customStyle="1" w:styleId="94">
    <w:name w:val="正文文本缩进1"/>
    <w:basedOn w:val="1"/>
    <w:link w:val="93"/>
    <w:qFormat/>
    <w:uiPriority w:val="0"/>
    <w:pPr>
      <w:spacing w:line="480" w:lineRule="exact"/>
      <w:ind w:firstLine="480" w:firstLineChars="200"/>
    </w:pPr>
    <w:rPr>
      <w:rFonts w:ascii="宋体" w:hAnsi="宋体" w:cstheme="minorBidi"/>
      <w:sz w:val="24"/>
      <w:szCs w:val="24"/>
    </w:rPr>
  </w:style>
  <w:style w:type="character" w:customStyle="1" w:styleId="95">
    <w:name w:val="注释 Char"/>
    <w:link w:val="96"/>
    <w:qFormat/>
    <w:locked/>
    <w:uiPriority w:val="0"/>
    <w:rPr>
      <w:rFonts w:ascii="宋体" w:hAnsi="宋体" w:eastAsia="宋体"/>
      <w:szCs w:val="21"/>
    </w:rPr>
  </w:style>
  <w:style w:type="paragraph" w:customStyle="1" w:styleId="96">
    <w:name w:val="注释"/>
    <w:basedOn w:val="1"/>
    <w:link w:val="95"/>
    <w:qFormat/>
    <w:uiPriority w:val="0"/>
    <w:pPr>
      <w:adjustRightInd w:val="0"/>
      <w:snapToGrid w:val="0"/>
      <w:ind w:left="420" w:hanging="420" w:hangingChars="200"/>
      <w:jc w:val="left"/>
    </w:pPr>
    <w:rPr>
      <w:rFonts w:ascii="宋体" w:hAnsi="宋体" w:cstheme="minorBidi"/>
      <w:szCs w:val="21"/>
    </w:rPr>
  </w:style>
  <w:style w:type="character" w:customStyle="1" w:styleId="97">
    <w:name w:val="正文大标题 Char"/>
    <w:link w:val="98"/>
    <w:qFormat/>
    <w:locked/>
    <w:uiPriority w:val="0"/>
    <w:rPr>
      <w:rFonts w:ascii="宋体" w:hAnsi="宋体" w:eastAsia="宋体"/>
      <w:b/>
      <w:color w:val="000000"/>
      <w:sz w:val="28"/>
      <w:szCs w:val="21"/>
    </w:rPr>
  </w:style>
  <w:style w:type="paragraph" w:customStyle="1" w:styleId="98">
    <w:name w:val="正文大标题"/>
    <w:basedOn w:val="90"/>
    <w:next w:val="6"/>
    <w:link w:val="97"/>
    <w:qFormat/>
    <w:uiPriority w:val="0"/>
    <w:pPr>
      <w:jc w:val="center"/>
    </w:pPr>
    <w:rPr>
      <w:i w:val="0"/>
      <w:color w:val="000000"/>
      <w:sz w:val="28"/>
      <w:szCs w:val="21"/>
    </w:rPr>
  </w:style>
  <w:style w:type="character" w:customStyle="1" w:styleId="99">
    <w:name w:val="正文格式 Char"/>
    <w:link w:val="100"/>
    <w:qFormat/>
    <w:locked/>
    <w:uiPriority w:val="0"/>
    <w:rPr>
      <w:rFonts w:ascii="宋体" w:hAnsi="宋体" w:eastAsia="宋体"/>
      <w:sz w:val="24"/>
      <w:szCs w:val="24"/>
      <w:lang w:val="en-GB"/>
    </w:rPr>
  </w:style>
  <w:style w:type="paragraph" w:customStyle="1" w:styleId="100">
    <w:name w:val="正文格式"/>
    <w:basedOn w:val="1"/>
    <w:link w:val="99"/>
    <w:qFormat/>
    <w:uiPriority w:val="0"/>
    <w:pPr>
      <w:spacing w:beforeLines="50" w:line="360" w:lineRule="auto"/>
      <w:ind w:firstLine="480" w:firstLineChars="200"/>
    </w:pPr>
    <w:rPr>
      <w:rFonts w:ascii="宋体" w:hAnsi="宋体" w:cstheme="minorBidi"/>
      <w:sz w:val="24"/>
      <w:szCs w:val="24"/>
      <w:lang w:val="en-GB"/>
    </w:rPr>
  </w:style>
  <w:style w:type="character" w:customStyle="1" w:styleId="101">
    <w:name w:val="正文表格 Char"/>
    <w:link w:val="102"/>
    <w:qFormat/>
    <w:locked/>
    <w:uiPriority w:val="0"/>
    <w:rPr>
      <w:rFonts w:ascii="宋体" w:hAnsi="宋体" w:eastAsia="宋体"/>
      <w:color w:val="000000"/>
      <w:szCs w:val="21"/>
    </w:rPr>
  </w:style>
  <w:style w:type="paragraph" w:customStyle="1" w:styleId="102">
    <w:name w:val="正文表格"/>
    <w:basedOn w:val="1"/>
    <w:link w:val="101"/>
    <w:qFormat/>
    <w:uiPriority w:val="0"/>
    <w:pPr>
      <w:adjustRightInd w:val="0"/>
      <w:snapToGrid w:val="0"/>
      <w:jc w:val="left"/>
    </w:pPr>
    <w:rPr>
      <w:rFonts w:ascii="宋体" w:hAnsi="宋体" w:cstheme="minorBidi"/>
      <w:color w:val="000000"/>
      <w:szCs w:val="21"/>
    </w:rPr>
  </w:style>
  <w:style w:type="character" w:customStyle="1" w:styleId="103">
    <w:name w:val="中等深浅网格 1 - 强调文字颜色 2 Char"/>
    <w:link w:val="104"/>
    <w:qFormat/>
    <w:locked/>
    <w:uiPriority w:val="0"/>
    <w:rPr>
      <w:szCs w:val="24"/>
      <w:lang w:val="zh-CN"/>
    </w:rPr>
  </w:style>
  <w:style w:type="paragraph" w:customStyle="1" w:styleId="104">
    <w:name w:val="1"/>
    <w:link w:val="103"/>
    <w:qFormat/>
    <w:uiPriority w:val="0"/>
    <w:rPr>
      <w:rFonts w:asciiTheme="minorHAnsi" w:hAnsiTheme="minorHAnsi" w:eastAsiaTheme="minorEastAsia" w:cstheme="minorBidi"/>
      <w:kern w:val="2"/>
      <w:sz w:val="21"/>
      <w:szCs w:val="24"/>
      <w:lang w:val="zh-CN" w:eastAsia="zh-CN" w:bidi="ar-SA"/>
    </w:rPr>
  </w:style>
  <w:style w:type="character" w:customStyle="1" w:styleId="105">
    <w:name w:val="正文重点 Char"/>
    <w:link w:val="106"/>
    <w:qFormat/>
    <w:locked/>
    <w:uiPriority w:val="0"/>
    <w:rPr>
      <w:b/>
      <w:sz w:val="24"/>
    </w:rPr>
  </w:style>
  <w:style w:type="paragraph" w:customStyle="1" w:styleId="106">
    <w:name w:val="正文重点"/>
    <w:basedOn w:val="1"/>
    <w:link w:val="105"/>
    <w:qFormat/>
    <w:uiPriority w:val="0"/>
    <w:pPr>
      <w:adjustRightInd w:val="0"/>
      <w:spacing w:line="360" w:lineRule="auto"/>
      <w:ind w:firstLine="482" w:firstLineChars="200"/>
      <w:jc w:val="left"/>
    </w:pPr>
    <w:rPr>
      <w:rFonts w:asciiTheme="minorHAnsi" w:hAnsiTheme="minorHAnsi" w:eastAsiaTheme="minorEastAsia" w:cstheme="minorBidi"/>
      <w:b/>
      <w:sz w:val="24"/>
      <w:szCs w:val="22"/>
    </w:rPr>
  </w:style>
  <w:style w:type="paragraph" w:customStyle="1" w:styleId="107">
    <w:name w:val="正文文本样式"/>
    <w:basedOn w:val="1"/>
    <w:qFormat/>
    <w:uiPriority w:val="99"/>
    <w:pPr>
      <w:spacing w:line="360" w:lineRule="auto"/>
      <w:ind w:firstLine="482"/>
    </w:pPr>
    <w:rPr>
      <w:rFonts w:cs="宋体"/>
      <w:sz w:val="24"/>
    </w:rPr>
  </w:style>
  <w:style w:type="paragraph" w:customStyle="1" w:styleId="108">
    <w:name w:val="Char1"/>
    <w:basedOn w:val="1"/>
    <w:qFormat/>
    <w:uiPriority w:val="99"/>
    <w:pPr>
      <w:tabs>
        <w:tab w:val="left" w:pos="360"/>
      </w:tabs>
    </w:pPr>
    <w:rPr>
      <w:sz w:val="24"/>
      <w:szCs w:val="24"/>
    </w:rPr>
  </w:style>
  <w:style w:type="paragraph" w:customStyle="1" w:styleId="109">
    <w:name w:val="Char Char Char Char Char Char Char2"/>
    <w:basedOn w:val="1"/>
    <w:qFormat/>
    <w:uiPriority w:val="99"/>
    <w:pPr>
      <w:snapToGrid w:val="0"/>
      <w:spacing w:line="360" w:lineRule="auto"/>
      <w:ind w:firstLine="200" w:firstLineChars="200"/>
    </w:pPr>
    <w:rPr>
      <w:rFonts w:eastAsia="仿宋_GB2312"/>
      <w:sz w:val="24"/>
      <w:szCs w:val="24"/>
    </w:rPr>
  </w:style>
  <w:style w:type="paragraph" w:customStyle="1" w:styleId="110">
    <w:name w:val="xl41"/>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11">
    <w:name w:val="xl5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0"/>
    </w:rPr>
  </w:style>
  <w:style w:type="paragraph" w:customStyle="1" w:styleId="112">
    <w:name w:val="Char Char Char1 Char2"/>
    <w:basedOn w:val="1"/>
    <w:qFormat/>
    <w:uiPriority w:val="99"/>
    <w:rPr>
      <w:rFonts w:ascii="Tahoma" w:hAnsi="Tahoma"/>
      <w:sz w:val="24"/>
    </w:rPr>
  </w:style>
  <w:style w:type="paragraph" w:customStyle="1" w:styleId="113">
    <w:name w:val="xl36"/>
    <w:basedOn w:val="1"/>
    <w:qFormat/>
    <w:uiPriority w:val="99"/>
    <w:pPr>
      <w:widowControl/>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14">
    <w:name w:val="Char3 Char Char Char2"/>
    <w:basedOn w:val="1"/>
    <w:qFormat/>
    <w:uiPriority w:val="99"/>
    <w:rPr>
      <w:rFonts w:ascii="Tahoma" w:hAnsi="Tahoma"/>
      <w:sz w:val="24"/>
    </w:rPr>
  </w:style>
  <w:style w:type="paragraph" w:customStyle="1" w:styleId="115">
    <w:name w:val="标题1-附件"/>
    <w:basedOn w:val="4"/>
    <w:qFormat/>
    <w:uiPriority w:val="99"/>
    <w:pPr>
      <w:jc w:val="left"/>
    </w:pPr>
    <w:rPr>
      <w:sz w:val="24"/>
      <w:szCs w:val="24"/>
    </w:rPr>
  </w:style>
  <w:style w:type="paragraph" w:customStyle="1" w:styleId="116">
    <w:name w:val="章标题"/>
    <w:next w:val="1"/>
    <w:qFormat/>
    <w:uiPriority w:val="99"/>
    <w:pPr>
      <w:spacing w:beforeLines="50" w:line="460" w:lineRule="exact"/>
      <w:jc w:val="both"/>
      <w:outlineLvl w:val="0"/>
    </w:pPr>
    <w:rPr>
      <w:rFonts w:ascii="黑体" w:hAnsi="Times New Roman" w:eastAsia="黑体" w:cs="Times New Roman"/>
      <w:b/>
      <w:kern w:val="0"/>
      <w:sz w:val="28"/>
      <w:szCs w:val="20"/>
      <w:lang w:val="en-US" w:eastAsia="zh-CN" w:bidi="ar-SA"/>
    </w:rPr>
  </w:style>
  <w:style w:type="paragraph" w:customStyle="1" w:styleId="117">
    <w:name w:val="无标题条"/>
    <w:next w:val="1"/>
    <w:qFormat/>
    <w:uiPriority w:val="99"/>
    <w:pPr>
      <w:jc w:val="both"/>
    </w:pPr>
    <w:rPr>
      <w:rFonts w:ascii="Times New Roman" w:hAnsi="Times New Roman" w:eastAsia="宋体" w:cs="Times New Roman"/>
      <w:kern w:val="0"/>
      <w:sz w:val="21"/>
      <w:szCs w:val="20"/>
      <w:lang w:val="en-US" w:eastAsia="zh-CN" w:bidi="ar-SA"/>
    </w:rPr>
  </w:style>
  <w:style w:type="paragraph" w:customStyle="1" w:styleId="118">
    <w:name w:val="Char3 Char Char Char1"/>
    <w:basedOn w:val="1"/>
    <w:qFormat/>
    <w:uiPriority w:val="99"/>
    <w:rPr>
      <w:rFonts w:ascii="Tahoma" w:hAnsi="Tahoma"/>
      <w:sz w:val="24"/>
    </w:rPr>
  </w:style>
  <w:style w:type="paragraph" w:customStyle="1" w:styleId="119">
    <w:name w:val="font7"/>
    <w:basedOn w:val="1"/>
    <w:qFormat/>
    <w:uiPriority w:val="99"/>
    <w:pPr>
      <w:widowControl/>
      <w:spacing w:before="100" w:beforeAutospacing="1" w:after="100" w:afterAutospacing="1"/>
      <w:jc w:val="left"/>
    </w:pPr>
    <w:rPr>
      <w:rFonts w:eastAsia="Arial Unicode MS"/>
      <w:b/>
      <w:bCs/>
      <w:color w:val="000000"/>
      <w:kern w:val="0"/>
      <w:sz w:val="20"/>
    </w:rPr>
  </w:style>
  <w:style w:type="paragraph" w:customStyle="1" w:styleId="120">
    <w:name w:val="正文列项_字母"/>
    <w:basedOn w:val="1"/>
    <w:qFormat/>
    <w:uiPriority w:val="99"/>
    <w:pPr>
      <w:autoSpaceDE w:val="0"/>
      <w:autoSpaceDN w:val="0"/>
      <w:spacing w:line="460" w:lineRule="exact"/>
      <w:ind w:left="480" w:leftChars="300" w:hanging="180" w:hangingChars="180"/>
      <w:outlineLvl w:val="6"/>
    </w:pPr>
    <w:rPr>
      <w:rFonts w:ascii="宋体"/>
      <w:kern w:val="0"/>
      <w:sz w:val="28"/>
    </w:rPr>
  </w:style>
  <w:style w:type="paragraph" w:customStyle="1" w:styleId="121">
    <w:name w:val="1名"/>
    <w:basedOn w:val="1"/>
    <w:qFormat/>
    <w:uiPriority w:val="99"/>
    <w:pPr>
      <w:tabs>
        <w:tab w:val="left" w:pos="360"/>
      </w:tabs>
      <w:spacing w:before="120"/>
      <w:ind w:left="360" w:hanging="360"/>
    </w:pPr>
    <w:rPr>
      <w:rFonts w:ascii="宋体"/>
      <w:sz w:val="28"/>
    </w:rPr>
  </w:style>
  <w:style w:type="paragraph" w:customStyle="1" w:styleId="122">
    <w:name w:val="Char Char Char1 Char1"/>
    <w:basedOn w:val="1"/>
    <w:qFormat/>
    <w:uiPriority w:val="99"/>
    <w:rPr>
      <w:rFonts w:ascii="Tahoma" w:hAnsi="Tahoma"/>
      <w:sz w:val="24"/>
    </w:rPr>
  </w:style>
  <w:style w:type="paragraph" w:customStyle="1" w:styleId="123">
    <w:name w:val="正文须知-3级"/>
    <w:basedOn w:val="1"/>
    <w:qFormat/>
    <w:uiPriority w:val="99"/>
    <w:pPr>
      <w:adjustRightInd w:val="0"/>
      <w:snapToGrid w:val="0"/>
      <w:spacing w:line="300" w:lineRule="auto"/>
      <w:ind w:left="851" w:hanging="355" w:hangingChars="355"/>
    </w:pPr>
    <w:rPr>
      <w:rFonts w:ascii="宋体" w:hAnsi="Calibri"/>
      <w:sz w:val="24"/>
      <w:szCs w:val="21"/>
    </w:rPr>
  </w:style>
  <w:style w:type="paragraph" w:customStyle="1" w:styleId="124">
    <w:name w:val="xl47"/>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125">
    <w:name w:val="xl4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26">
    <w:name w:val="Char3 Char Char Char"/>
    <w:basedOn w:val="1"/>
    <w:qFormat/>
    <w:uiPriority w:val="99"/>
    <w:rPr>
      <w:rFonts w:ascii="Tahoma" w:hAnsi="Tahoma"/>
      <w:sz w:val="24"/>
    </w:rPr>
  </w:style>
  <w:style w:type="paragraph" w:customStyle="1" w:styleId="127">
    <w:name w:val="xl3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rPr>
  </w:style>
  <w:style w:type="paragraph" w:customStyle="1" w:styleId="128">
    <w:name w:val="项目编号1"/>
    <w:basedOn w:val="1"/>
    <w:qFormat/>
    <w:uiPriority w:val="99"/>
    <w:pPr>
      <w:spacing w:before="100" w:beforeAutospacing="1" w:after="100" w:afterAutospacing="1" w:line="360" w:lineRule="auto"/>
      <w:ind w:left="420" w:hanging="420"/>
    </w:pPr>
    <w:rPr>
      <w:sz w:val="24"/>
      <w:szCs w:val="24"/>
    </w:rPr>
  </w:style>
  <w:style w:type="paragraph" w:customStyle="1" w:styleId="129">
    <w:name w:val="font6"/>
    <w:basedOn w:val="1"/>
    <w:qFormat/>
    <w:uiPriority w:val="99"/>
    <w:pPr>
      <w:widowControl/>
      <w:spacing w:before="100" w:beforeAutospacing="1" w:after="100" w:afterAutospacing="1"/>
      <w:jc w:val="left"/>
    </w:pPr>
    <w:rPr>
      <w:rFonts w:ascii="宋体" w:hAnsi="宋体" w:cs="宋体"/>
      <w:kern w:val="0"/>
      <w:sz w:val="20"/>
    </w:rPr>
  </w:style>
  <w:style w:type="paragraph" w:customStyle="1" w:styleId="130">
    <w:name w:val="xl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131">
    <w:name w:val="Char Char Char1"/>
    <w:basedOn w:val="1"/>
    <w:qFormat/>
    <w:uiPriority w:val="99"/>
    <w:rPr>
      <w:rFonts w:ascii="Tahoma" w:hAnsi="Tahoma"/>
      <w:sz w:val="24"/>
    </w:rPr>
  </w:style>
  <w:style w:type="paragraph" w:customStyle="1" w:styleId="132">
    <w:name w:val="项目编号2"/>
    <w:basedOn w:val="128"/>
    <w:qFormat/>
    <w:uiPriority w:val="99"/>
    <w:pPr>
      <w:ind w:left="0" w:firstLine="0"/>
    </w:pPr>
  </w:style>
  <w:style w:type="paragraph" w:customStyle="1" w:styleId="133">
    <w:name w:val="Char22"/>
    <w:basedOn w:val="1"/>
    <w:qFormat/>
    <w:uiPriority w:val="99"/>
    <w:rPr>
      <w:rFonts w:ascii="Tahoma" w:hAnsi="Tahoma"/>
      <w:sz w:val="24"/>
    </w:rPr>
  </w:style>
  <w:style w:type="paragraph" w:customStyle="1" w:styleId="134">
    <w:name w:val="xl2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35">
    <w:name w:val="List Paragraph1"/>
    <w:basedOn w:val="1"/>
    <w:qFormat/>
    <w:uiPriority w:val="99"/>
    <w:pPr>
      <w:ind w:firstLine="420" w:firstLineChars="200"/>
    </w:pPr>
    <w:rPr>
      <w:rFonts w:ascii="Calibri" w:hAnsi="Calibri"/>
      <w:szCs w:val="22"/>
    </w:rPr>
  </w:style>
  <w:style w:type="paragraph" w:customStyle="1" w:styleId="136">
    <w:name w:val="xl4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rPr>
  </w:style>
  <w:style w:type="paragraph" w:customStyle="1" w:styleId="137">
    <w:name w:val="Char Char Char Char Char Char Char Char Char Char1"/>
    <w:basedOn w:val="1"/>
    <w:qFormat/>
    <w:uiPriority w:val="99"/>
    <w:rPr>
      <w:rFonts w:ascii="宋体" w:hAnsi="宋体" w:cs="Courier New"/>
      <w:sz w:val="32"/>
      <w:szCs w:val="32"/>
    </w:rPr>
  </w:style>
  <w:style w:type="paragraph" w:customStyle="1" w:styleId="138">
    <w:name w:val="Char Char1 Char Char Char Char Char Char"/>
    <w:basedOn w:val="1"/>
    <w:qFormat/>
    <w:uiPriority w:val="99"/>
    <w:pPr>
      <w:widowControl/>
      <w:spacing w:after="160" w:line="240" w:lineRule="exact"/>
      <w:jc w:val="left"/>
    </w:pPr>
    <w:rPr>
      <w:rFonts w:ascii="Verdana" w:hAnsi="Verdana" w:eastAsia="仿宋_GB2312"/>
      <w:kern w:val="0"/>
      <w:sz w:val="24"/>
      <w:lang w:eastAsia="en-US"/>
    </w:rPr>
  </w:style>
  <w:style w:type="paragraph" w:customStyle="1" w:styleId="139">
    <w:name w:val="表格1"/>
    <w:basedOn w:val="1"/>
    <w:qFormat/>
    <w:uiPriority w:val="99"/>
    <w:pPr>
      <w:ind w:firstLine="480" w:firstLineChars="200"/>
      <w:jc w:val="center"/>
    </w:pPr>
    <w:rPr>
      <w:sz w:val="24"/>
    </w:rPr>
  </w:style>
  <w:style w:type="paragraph" w:customStyle="1" w:styleId="140">
    <w:name w:val="Char Char Char Char Char Char Char"/>
    <w:basedOn w:val="1"/>
    <w:qFormat/>
    <w:uiPriority w:val="99"/>
    <w:pPr>
      <w:snapToGrid w:val="0"/>
      <w:spacing w:line="360" w:lineRule="auto"/>
      <w:ind w:firstLine="200" w:firstLineChars="200"/>
    </w:pPr>
    <w:rPr>
      <w:rFonts w:eastAsia="仿宋_GB2312"/>
      <w:sz w:val="24"/>
      <w:szCs w:val="24"/>
    </w:rPr>
  </w:style>
  <w:style w:type="paragraph" w:customStyle="1" w:styleId="141">
    <w:name w:val="正文须知-1级"/>
    <w:basedOn w:val="1"/>
    <w:next w:val="1"/>
    <w:qFormat/>
    <w:uiPriority w:val="99"/>
    <w:pPr>
      <w:adjustRightInd w:val="0"/>
      <w:snapToGrid w:val="0"/>
      <w:spacing w:line="300" w:lineRule="auto"/>
      <w:ind w:left="680" w:hanging="680"/>
    </w:pPr>
    <w:rPr>
      <w:rFonts w:ascii="宋体" w:hAnsi="Calibri"/>
      <w:sz w:val="24"/>
      <w:szCs w:val="21"/>
    </w:rPr>
  </w:style>
  <w:style w:type="paragraph" w:customStyle="1" w:styleId="142">
    <w:name w:val="Char Char Char Char Char Char Char Char Char Char Char Char Char Char Char Char1"/>
    <w:basedOn w:val="1"/>
    <w:qFormat/>
    <w:uiPriority w:val="99"/>
    <w:pPr>
      <w:widowControl/>
      <w:spacing w:after="160" w:line="240" w:lineRule="exact"/>
      <w:jc w:val="center"/>
    </w:pPr>
    <w:rPr>
      <w:rFonts w:ascii="宋体" w:hAnsi="宋体"/>
      <w:b/>
      <w:kern w:val="0"/>
      <w:sz w:val="30"/>
      <w:szCs w:val="30"/>
      <w:lang w:eastAsia="en-US"/>
    </w:rPr>
  </w:style>
  <w:style w:type="paragraph" w:customStyle="1" w:styleId="143">
    <w:name w:val="正文文本样式 加粗"/>
    <w:basedOn w:val="107"/>
    <w:qFormat/>
    <w:uiPriority w:val="99"/>
    <w:rPr>
      <w:b/>
    </w:rPr>
  </w:style>
  <w:style w:type="paragraph" w:customStyle="1" w:styleId="144">
    <w:name w:val="Char Char Char2"/>
    <w:basedOn w:val="1"/>
    <w:qFormat/>
    <w:uiPriority w:val="99"/>
    <w:rPr>
      <w:rFonts w:ascii="Tahoma" w:hAnsi="Tahoma"/>
      <w:sz w:val="24"/>
    </w:rPr>
  </w:style>
  <w:style w:type="paragraph" w:customStyle="1" w:styleId="145">
    <w:name w:val="xl3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eastAsia="Arial Unicode MS"/>
      <w:color w:val="000000"/>
      <w:kern w:val="0"/>
      <w:sz w:val="20"/>
    </w:rPr>
  </w:style>
  <w:style w:type="paragraph" w:customStyle="1" w:styleId="146">
    <w:name w:val="xl5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b/>
      <w:bCs/>
      <w:color w:val="000000"/>
      <w:kern w:val="0"/>
      <w:sz w:val="20"/>
    </w:rPr>
  </w:style>
  <w:style w:type="paragraph" w:customStyle="1" w:styleId="147">
    <w:name w:val="样式2"/>
    <w:basedOn w:val="39"/>
    <w:qFormat/>
    <w:uiPriority w:val="99"/>
    <w:pPr>
      <w:spacing w:line="360" w:lineRule="auto"/>
      <w:jc w:val="center"/>
    </w:pPr>
    <w:rPr>
      <w:sz w:val="24"/>
    </w:rPr>
  </w:style>
  <w:style w:type="paragraph" w:customStyle="1" w:styleId="148">
    <w:name w:val="样式 宋体 五号 行距: 单倍行距"/>
    <w:basedOn w:val="1"/>
    <w:qFormat/>
    <w:uiPriority w:val="99"/>
    <w:pPr>
      <w:adjustRightInd w:val="0"/>
      <w:jc w:val="left"/>
    </w:pPr>
    <w:rPr>
      <w:rFonts w:ascii="宋体" w:hAnsi="宋体"/>
      <w:kern w:val="0"/>
    </w:rPr>
  </w:style>
  <w:style w:type="paragraph" w:customStyle="1" w:styleId="149">
    <w:name w:val="Char Char Char Char Char Char Char Char Char Char"/>
    <w:basedOn w:val="1"/>
    <w:qFormat/>
    <w:uiPriority w:val="99"/>
    <w:rPr>
      <w:szCs w:val="24"/>
    </w:rPr>
  </w:style>
  <w:style w:type="paragraph" w:customStyle="1" w:styleId="150">
    <w:name w:val="xl4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151">
    <w:name w:val="xl3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20"/>
    </w:rPr>
  </w:style>
  <w:style w:type="paragraph" w:customStyle="1" w:styleId="152">
    <w:name w:val="正文列项_数字"/>
    <w:basedOn w:val="1"/>
    <w:qFormat/>
    <w:uiPriority w:val="99"/>
    <w:pPr>
      <w:autoSpaceDE w:val="0"/>
      <w:autoSpaceDN w:val="0"/>
      <w:spacing w:line="460" w:lineRule="exact"/>
      <w:ind w:left="680" w:leftChars="530" w:hanging="150" w:hangingChars="150"/>
      <w:outlineLvl w:val="7"/>
    </w:pPr>
    <w:rPr>
      <w:rFonts w:ascii="宋体"/>
      <w:kern w:val="0"/>
      <w:sz w:val="28"/>
    </w:rPr>
  </w:style>
  <w:style w:type="paragraph" w:customStyle="1" w:styleId="153">
    <w:name w:val="Char Char Char1 Char"/>
    <w:basedOn w:val="1"/>
    <w:qFormat/>
    <w:uiPriority w:val="99"/>
    <w:rPr>
      <w:rFonts w:ascii="Tahoma" w:hAnsi="Tahoma"/>
      <w:sz w:val="24"/>
    </w:rPr>
  </w:style>
  <w:style w:type="paragraph" w:customStyle="1" w:styleId="154">
    <w:name w:val="xl3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55">
    <w:name w:val="Char2 Char Char Char Char Char Char1"/>
    <w:basedOn w:val="1"/>
    <w:qFormat/>
    <w:uiPriority w:val="99"/>
    <w:pPr>
      <w:widowControl/>
      <w:spacing w:line="400" w:lineRule="exact"/>
      <w:jc w:val="center"/>
    </w:pPr>
    <w:rPr>
      <w:szCs w:val="24"/>
    </w:rPr>
  </w:style>
  <w:style w:type="paragraph" w:customStyle="1" w:styleId="156">
    <w:name w:val="xl5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57">
    <w:name w:val="正文 + 宋体"/>
    <w:basedOn w:val="1"/>
    <w:qFormat/>
    <w:uiPriority w:val="99"/>
    <w:pPr>
      <w:widowControl/>
      <w:ind w:left="360" w:hanging="360"/>
      <w:jc w:val="left"/>
    </w:pPr>
    <w:rPr>
      <w:rFonts w:ascii="宋体" w:hAnsi="宋体" w:cs="宋体"/>
      <w:b/>
      <w:bCs/>
      <w:color w:val="000000"/>
      <w:kern w:val="0"/>
      <w:sz w:val="18"/>
      <w:szCs w:val="18"/>
    </w:rPr>
  </w:style>
  <w:style w:type="paragraph" w:customStyle="1" w:styleId="158">
    <w:name w:val="Default"/>
    <w:qFormat/>
    <w:uiPriority w:val="99"/>
    <w:pPr>
      <w:widowControl w:val="0"/>
      <w:autoSpaceDE w:val="0"/>
      <w:autoSpaceDN w:val="0"/>
      <w:adjustRightInd w:val="0"/>
    </w:pPr>
    <w:rPr>
      <w:rFonts w:ascii="Symbol" w:hAnsi="Symbol" w:eastAsia="宋体" w:cs="Symbol"/>
      <w:color w:val="000000"/>
      <w:kern w:val="0"/>
      <w:sz w:val="24"/>
      <w:szCs w:val="24"/>
      <w:lang w:val="en-US" w:eastAsia="zh-CN" w:bidi="ar-SA"/>
    </w:rPr>
  </w:style>
  <w:style w:type="paragraph" w:customStyle="1" w:styleId="159">
    <w:name w:val="Char Char Char Char Char Char Char Char Char Char Char Char Char Char Char Char"/>
    <w:basedOn w:val="1"/>
    <w:qFormat/>
    <w:uiPriority w:val="99"/>
    <w:pPr>
      <w:widowControl/>
      <w:spacing w:after="160" w:line="240" w:lineRule="exact"/>
      <w:jc w:val="center"/>
    </w:pPr>
    <w:rPr>
      <w:rFonts w:ascii="宋体" w:hAnsi="宋体"/>
      <w:b/>
      <w:kern w:val="0"/>
      <w:sz w:val="30"/>
      <w:szCs w:val="30"/>
      <w:lang w:eastAsia="en-US"/>
    </w:rPr>
  </w:style>
  <w:style w:type="paragraph" w:customStyle="1" w:styleId="160">
    <w:name w:val="图中文字"/>
    <w:basedOn w:val="1"/>
    <w:qFormat/>
    <w:uiPriority w:val="99"/>
    <w:pPr>
      <w:adjustRightInd w:val="0"/>
      <w:snapToGrid w:val="0"/>
      <w:spacing w:line="0" w:lineRule="atLeast"/>
      <w:jc w:val="center"/>
    </w:pPr>
    <w:rPr>
      <w:sz w:val="24"/>
    </w:rPr>
  </w:style>
  <w:style w:type="paragraph" w:customStyle="1" w:styleId="161">
    <w:name w:val="样式 标题 2 + 宋体 五号 行距: 单倍行距"/>
    <w:basedOn w:val="5"/>
    <w:qFormat/>
    <w:uiPriority w:val="99"/>
    <w:pPr>
      <w:tabs>
        <w:tab w:val="left" w:pos="1188"/>
      </w:tabs>
      <w:autoSpaceDE/>
      <w:autoSpaceDN/>
      <w:spacing w:before="260" w:after="260" w:line="240" w:lineRule="auto"/>
      <w:ind w:left="1188" w:hanging="360"/>
      <w:jc w:val="left"/>
    </w:pPr>
    <w:rPr>
      <w:rFonts w:ascii="宋体" w:hAnsi="宋体" w:eastAsia="宋体"/>
      <w:bCs/>
      <w:sz w:val="21"/>
    </w:rPr>
  </w:style>
  <w:style w:type="paragraph" w:customStyle="1" w:styleId="162">
    <w:name w:val="xl4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163">
    <w:name w:val="xl44"/>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64">
    <w:name w:val="字元 字元"/>
    <w:basedOn w:val="1"/>
    <w:qFormat/>
    <w:uiPriority w:val="99"/>
    <w:rPr>
      <w:rFonts w:ascii="Tahoma" w:hAnsi="Tahoma"/>
      <w:sz w:val="24"/>
    </w:rPr>
  </w:style>
  <w:style w:type="paragraph" w:customStyle="1" w:styleId="165">
    <w:name w:val="Char Char Char Char Char Char Char Char Char Char2"/>
    <w:basedOn w:val="1"/>
    <w:qFormat/>
    <w:uiPriority w:val="99"/>
    <w:rPr>
      <w:rFonts w:ascii="宋体" w:hAnsi="宋体" w:cs="Courier New"/>
      <w:sz w:val="32"/>
      <w:szCs w:val="32"/>
    </w:rPr>
  </w:style>
  <w:style w:type="paragraph" w:customStyle="1" w:styleId="166">
    <w:name w:val="Char2 Char Char Char Char Char Char"/>
    <w:basedOn w:val="1"/>
    <w:qFormat/>
    <w:uiPriority w:val="99"/>
    <w:pPr>
      <w:widowControl/>
      <w:spacing w:line="400" w:lineRule="exact"/>
      <w:jc w:val="center"/>
    </w:pPr>
    <w:rPr>
      <w:szCs w:val="24"/>
    </w:rPr>
  </w:style>
  <w:style w:type="paragraph" w:customStyle="1" w:styleId="167">
    <w:name w:val="??"/>
    <w:qFormat/>
    <w:uiPriority w:val="99"/>
    <w:pPr>
      <w:widowControl w:val="0"/>
      <w:overflowPunct w:val="0"/>
      <w:autoSpaceDE w:val="0"/>
      <w:autoSpaceDN w:val="0"/>
      <w:adjustRightInd w:val="0"/>
      <w:jc w:val="both"/>
    </w:pPr>
    <w:rPr>
      <w:rFonts w:ascii="Times New Roman" w:hAnsi="Times New Roman" w:eastAsia="宋体" w:cs="Times New Roman"/>
      <w:kern w:val="2"/>
      <w:sz w:val="21"/>
      <w:szCs w:val="20"/>
      <w:lang w:val="en-US" w:eastAsia="en-US" w:bidi="ar-SA"/>
    </w:rPr>
  </w:style>
  <w:style w:type="paragraph" w:customStyle="1" w:styleId="168">
    <w:name w:val="xl46"/>
    <w:basedOn w:val="1"/>
    <w:qFormat/>
    <w:uiPriority w:val="99"/>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169">
    <w:name w:val="图例"/>
    <w:basedOn w:val="1"/>
    <w:qFormat/>
    <w:uiPriority w:val="99"/>
    <w:pPr>
      <w:spacing w:before="120" w:after="120" w:line="360" w:lineRule="auto"/>
      <w:jc w:val="center"/>
    </w:pPr>
    <w:rPr>
      <w:rFonts w:eastAsia="仿宋_GB2312"/>
      <w:b/>
      <w:sz w:val="24"/>
    </w:rPr>
  </w:style>
  <w:style w:type="paragraph" w:customStyle="1" w:styleId="170">
    <w:name w:val="图文"/>
    <w:basedOn w:val="1"/>
    <w:qFormat/>
    <w:uiPriority w:val="99"/>
    <w:pPr>
      <w:adjustRightInd w:val="0"/>
      <w:snapToGrid w:val="0"/>
      <w:spacing w:after="50" w:line="360" w:lineRule="auto"/>
    </w:pPr>
    <w:rPr>
      <w:sz w:val="24"/>
      <w:szCs w:val="24"/>
    </w:rPr>
  </w:style>
  <w:style w:type="paragraph" w:customStyle="1" w:styleId="171">
    <w:name w:val="Char Char1 Char Char Char Char Char Char1"/>
    <w:basedOn w:val="1"/>
    <w:qFormat/>
    <w:uiPriority w:val="99"/>
    <w:pPr>
      <w:widowControl/>
      <w:spacing w:after="160" w:line="240" w:lineRule="exact"/>
      <w:jc w:val="left"/>
    </w:pPr>
    <w:rPr>
      <w:rFonts w:ascii="Verdana" w:hAnsi="Verdana" w:eastAsia="仿宋_GB2312"/>
      <w:kern w:val="0"/>
      <w:sz w:val="24"/>
      <w:lang w:eastAsia="en-US"/>
    </w:rPr>
  </w:style>
  <w:style w:type="paragraph" w:customStyle="1" w:styleId="172">
    <w:name w:val="22222222222222"/>
    <w:basedOn w:val="1"/>
    <w:qFormat/>
    <w:uiPriority w:val="99"/>
    <w:pPr>
      <w:widowControl/>
      <w:adjustRightInd w:val="0"/>
      <w:spacing w:line="360" w:lineRule="auto"/>
      <w:ind w:firstLine="480" w:firstLineChars="200"/>
      <w:jc w:val="left"/>
    </w:pPr>
    <w:rPr>
      <w:color w:val="FF0000"/>
      <w:kern w:val="0"/>
      <w:sz w:val="24"/>
    </w:rPr>
  </w:style>
  <w:style w:type="paragraph" w:customStyle="1" w:styleId="173">
    <w:name w:val="正文须知-2级"/>
    <w:basedOn w:val="1"/>
    <w:qFormat/>
    <w:uiPriority w:val="99"/>
    <w:pPr>
      <w:adjustRightInd w:val="0"/>
      <w:snapToGrid w:val="0"/>
      <w:spacing w:line="300" w:lineRule="auto"/>
      <w:ind w:left="851" w:hanging="851"/>
    </w:pPr>
    <w:rPr>
      <w:rFonts w:ascii="宋体" w:hAnsi="Calibri"/>
      <w:sz w:val="24"/>
      <w:szCs w:val="21"/>
    </w:rPr>
  </w:style>
  <w:style w:type="paragraph" w:customStyle="1" w:styleId="174">
    <w:name w:val="xl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rPr>
  </w:style>
  <w:style w:type="paragraph" w:customStyle="1" w:styleId="175">
    <w:name w:val="Char Char41"/>
    <w:basedOn w:val="1"/>
    <w:qFormat/>
    <w:uiPriority w:val="99"/>
    <w:pPr>
      <w:widowControl/>
      <w:spacing w:line="400" w:lineRule="exact"/>
      <w:jc w:val="center"/>
    </w:pPr>
    <w:rPr>
      <w:szCs w:val="24"/>
    </w:rPr>
  </w:style>
  <w:style w:type="paragraph" w:customStyle="1" w:styleId="176">
    <w:name w:val="xl23"/>
    <w:basedOn w:val="1"/>
    <w:qFormat/>
    <w:uiPriority w:val="99"/>
    <w:pPr>
      <w:widowControl/>
      <w:spacing w:before="100" w:beforeAutospacing="1" w:after="100" w:afterAutospacing="1" w:line="360" w:lineRule="auto"/>
    </w:pPr>
    <w:rPr>
      <w:kern w:val="0"/>
      <w:sz w:val="24"/>
    </w:rPr>
  </w:style>
  <w:style w:type="paragraph" w:customStyle="1" w:styleId="177">
    <w:name w:val="_Style 160"/>
    <w:qFormat/>
    <w:uiPriority w:val="99"/>
    <w:rPr>
      <w:rFonts w:ascii="Times New Roman" w:hAnsi="Times New Roman" w:eastAsia="宋体" w:cs="Times New Roman"/>
      <w:kern w:val="2"/>
      <w:sz w:val="21"/>
      <w:szCs w:val="24"/>
      <w:lang w:val="en-US" w:eastAsia="zh-CN" w:bidi="ar-SA"/>
    </w:rPr>
  </w:style>
  <w:style w:type="paragraph" w:customStyle="1" w:styleId="178">
    <w:name w:val="项目编号3"/>
    <w:basedOn w:val="107"/>
    <w:qFormat/>
    <w:uiPriority w:val="99"/>
    <w:pPr>
      <w:ind w:left="902" w:hanging="420"/>
    </w:pPr>
  </w:style>
  <w:style w:type="paragraph" w:customStyle="1" w:styleId="179">
    <w:name w:val="修订1"/>
    <w:qFormat/>
    <w:uiPriority w:val="99"/>
    <w:rPr>
      <w:rFonts w:ascii="Times New Roman" w:hAnsi="Times New Roman" w:eastAsia="宋体" w:cs="Times New Roman"/>
      <w:kern w:val="2"/>
      <w:sz w:val="21"/>
      <w:szCs w:val="24"/>
      <w:lang w:val="en-US" w:eastAsia="zh-CN" w:bidi="ar-SA"/>
    </w:rPr>
  </w:style>
  <w:style w:type="paragraph" w:customStyle="1" w:styleId="180">
    <w:name w:val="字元 字元2"/>
    <w:basedOn w:val="1"/>
    <w:qFormat/>
    <w:uiPriority w:val="99"/>
    <w:rPr>
      <w:rFonts w:ascii="Tahoma" w:hAnsi="Tahoma"/>
      <w:sz w:val="24"/>
    </w:rPr>
  </w:style>
  <w:style w:type="paragraph" w:customStyle="1" w:styleId="181">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182">
    <w:name w:val="Char Char4"/>
    <w:basedOn w:val="1"/>
    <w:qFormat/>
    <w:uiPriority w:val="99"/>
    <w:pPr>
      <w:widowControl/>
      <w:spacing w:line="400" w:lineRule="exact"/>
      <w:jc w:val="center"/>
    </w:pPr>
    <w:rPr>
      <w:szCs w:val="24"/>
    </w:rPr>
  </w:style>
  <w:style w:type="paragraph" w:customStyle="1" w:styleId="183">
    <w:name w:val="Char Char Char"/>
    <w:basedOn w:val="1"/>
    <w:qFormat/>
    <w:uiPriority w:val="99"/>
    <w:rPr>
      <w:rFonts w:ascii="Tahoma" w:hAnsi="Tahoma"/>
      <w:sz w:val="24"/>
    </w:rPr>
  </w:style>
  <w:style w:type="paragraph" w:customStyle="1" w:styleId="184">
    <w:name w:val="1 Char Char Char Char"/>
    <w:basedOn w:val="1"/>
    <w:qFormat/>
    <w:uiPriority w:val="99"/>
    <w:rPr>
      <w:rFonts w:ascii="Tahoma" w:hAnsi="Tahoma"/>
      <w:sz w:val="24"/>
    </w:rPr>
  </w:style>
  <w:style w:type="paragraph" w:customStyle="1" w:styleId="185">
    <w:name w:val="xl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FF6600"/>
      <w:kern w:val="0"/>
      <w:sz w:val="20"/>
    </w:rPr>
  </w:style>
  <w:style w:type="paragraph" w:customStyle="1" w:styleId="186">
    <w:name w:val="Char"/>
    <w:basedOn w:val="1"/>
    <w:qFormat/>
    <w:uiPriority w:val="99"/>
    <w:pPr>
      <w:tabs>
        <w:tab w:val="left" w:pos="360"/>
      </w:tabs>
    </w:pPr>
    <w:rPr>
      <w:sz w:val="24"/>
      <w:szCs w:val="24"/>
    </w:rPr>
  </w:style>
  <w:style w:type="paragraph" w:customStyle="1" w:styleId="187">
    <w:name w:val="default"/>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88">
    <w:name w:val="xl5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b/>
      <w:bCs/>
      <w:color w:val="000000"/>
      <w:kern w:val="0"/>
      <w:sz w:val="16"/>
      <w:szCs w:val="16"/>
    </w:rPr>
  </w:style>
  <w:style w:type="paragraph" w:customStyle="1" w:styleId="189">
    <w:name w:val="Char2"/>
    <w:basedOn w:val="1"/>
    <w:qFormat/>
    <w:uiPriority w:val="99"/>
    <w:rPr>
      <w:rFonts w:ascii="Tahoma" w:hAnsi="Tahoma"/>
      <w:sz w:val="24"/>
    </w:rPr>
  </w:style>
  <w:style w:type="paragraph" w:customStyle="1" w:styleId="190">
    <w:name w:val="font8"/>
    <w:basedOn w:val="1"/>
    <w:qFormat/>
    <w:uiPriority w:val="99"/>
    <w:pPr>
      <w:widowControl/>
      <w:spacing w:before="100" w:beforeAutospacing="1" w:after="100" w:afterAutospacing="1"/>
      <w:jc w:val="left"/>
    </w:pPr>
    <w:rPr>
      <w:kern w:val="0"/>
      <w:sz w:val="36"/>
      <w:szCs w:val="36"/>
    </w:rPr>
  </w:style>
  <w:style w:type="paragraph" w:customStyle="1" w:styleId="191">
    <w:name w:val="正文 + 楷体_GB2312"/>
    <w:basedOn w:val="1"/>
    <w:qFormat/>
    <w:uiPriority w:val="99"/>
    <w:pPr>
      <w:widowControl/>
      <w:jc w:val="left"/>
    </w:pPr>
    <w:rPr>
      <w:rFonts w:ascii="楷体_GB2312" w:eastAsia="楷体_GB2312" w:cs="Arial"/>
      <w:kern w:val="0"/>
      <w:sz w:val="24"/>
      <w:szCs w:val="24"/>
    </w:rPr>
  </w:style>
  <w:style w:type="paragraph" w:customStyle="1" w:styleId="192">
    <w:name w:val="font9"/>
    <w:basedOn w:val="1"/>
    <w:qFormat/>
    <w:uiPriority w:val="99"/>
    <w:pPr>
      <w:widowControl/>
      <w:spacing w:before="100" w:beforeAutospacing="1" w:after="100" w:afterAutospacing="1"/>
      <w:jc w:val="left"/>
    </w:pPr>
    <w:rPr>
      <w:rFonts w:ascii="宋体" w:hAnsi="宋体" w:cs="Arial Unicode MS"/>
      <w:color w:val="000000"/>
      <w:kern w:val="0"/>
      <w:sz w:val="20"/>
    </w:rPr>
  </w:style>
  <w:style w:type="paragraph" w:customStyle="1" w:styleId="193">
    <w:name w:val="默认段落字体 Para Char Char Char Char"/>
    <w:basedOn w:val="1"/>
    <w:qFormat/>
    <w:uiPriority w:val="99"/>
    <w:rPr>
      <w:rFonts w:ascii="Arial" w:hAnsi="Arial" w:cs="Arial"/>
      <w:szCs w:val="21"/>
    </w:rPr>
  </w:style>
  <w:style w:type="paragraph" w:customStyle="1" w:styleId="194">
    <w:name w:val="正文缩进2"/>
    <w:basedOn w:val="1"/>
    <w:qFormat/>
    <w:uiPriority w:val="99"/>
    <w:pPr>
      <w:widowControl/>
      <w:adjustRightInd w:val="0"/>
      <w:snapToGrid w:val="0"/>
      <w:spacing w:line="480" w:lineRule="exact"/>
      <w:ind w:firstLine="567"/>
    </w:pPr>
    <w:rPr>
      <w:rFonts w:ascii="宋体"/>
      <w:color w:val="000000"/>
      <w:kern w:val="28"/>
      <w:sz w:val="28"/>
      <w:lang w:val="zh-CN"/>
    </w:rPr>
  </w:style>
  <w:style w:type="paragraph" w:customStyle="1" w:styleId="195">
    <w:name w:val="Char3"/>
    <w:basedOn w:val="1"/>
    <w:qFormat/>
    <w:uiPriority w:val="99"/>
    <w:pPr>
      <w:tabs>
        <w:tab w:val="left" w:pos="360"/>
      </w:tabs>
    </w:pPr>
    <w:rPr>
      <w:sz w:val="24"/>
      <w:szCs w:val="24"/>
    </w:rPr>
  </w:style>
  <w:style w:type="paragraph" w:customStyle="1" w:styleId="196">
    <w:name w:val="文档正文"/>
    <w:basedOn w:val="1"/>
    <w:qFormat/>
    <w:uiPriority w:val="99"/>
    <w:pPr>
      <w:snapToGrid w:val="0"/>
      <w:spacing w:before="120" w:after="120" w:line="180" w:lineRule="auto"/>
    </w:pPr>
    <w:rPr>
      <w:rFonts w:ascii="Arial" w:hAnsi="Arial"/>
    </w:rPr>
  </w:style>
  <w:style w:type="paragraph" w:customStyle="1" w:styleId="197">
    <w:name w:val="background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98">
    <w:name w:val="Char Char Char Char Char Char Char1"/>
    <w:basedOn w:val="1"/>
    <w:qFormat/>
    <w:uiPriority w:val="99"/>
    <w:pPr>
      <w:snapToGrid w:val="0"/>
      <w:spacing w:line="360" w:lineRule="auto"/>
      <w:ind w:firstLine="200" w:firstLineChars="200"/>
    </w:pPr>
    <w:rPr>
      <w:rFonts w:eastAsia="仿宋_GB2312"/>
      <w:sz w:val="24"/>
      <w:szCs w:val="24"/>
    </w:rPr>
  </w:style>
  <w:style w:type="paragraph" w:customStyle="1" w:styleId="199">
    <w:name w:val="Char Char1 Char Char Char Char 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200">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01">
    <w:name w:val="正文文本缩进2"/>
    <w:basedOn w:val="1"/>
    <w:qFormat/>
    <w:uiPriority w:val="99"/>
    <w:pPr>
      <w:spacing w:line="480" w:lineRule="exact"/>
      <w:ind w:firstLine="480" w:firstLineChars="200"/>
    </w:pPr>
    <w:rPr>
      <w:rFonts w:ascii="宋体" w:hAnsi="宋体"/>
      <w:kern w:val="0"/>
      <w:sz w:val="24"/>
      <w:szCs w:val="24"/>
      <w:lang w:val="zh-CN"/>
    </w:rPr>
  </w:style>
  <w:style w:type="paragraph" w:customStyle="1" w:styleId="202">
    <w:name w:val="xl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203">
    <w:name w:val="表格文字"/>
    <w:basedOn w:val="3"/>
    <w:qFormat/>
    <w:uiPriority w:val="99"/>
    <w:pPr>
      <w:spacing w:before="20" w:after="20" w:line="240" w:lineRule="auto"/>
      <w:ind w:firstLine="0"/>
    </w:pPr>
    <w:rPr>
      <w:rFonts w:ascii="Century Gothic" w:hAnsi="Century Gothic"/>
      <w:sz w:val="20"/>
      <w:szCs w:val="20"/>
    </w:rPr>
  </w:style>
  <w:style w:type="paragraph" w:customStyle="1" w:styleId="204">
    <w:name w:val="Char Char1"/>
    <w:basedOn w:val="16"/>
    <w:qFormat/>
    <w:uiPriority w:val="99"/>
    <w:rPr>
      <w:rFonts w:ascii="Tahoma" w:hAnsi="Tahoma"/>
      <w:sz w:val="24"/>
    </w:rPr>
  </w:style>
  <w:style w:type="paragraph" w:customStyle="1" w:styleId="205">
    <w:name w:val="Char1 Char Char Char1"/>
    <w:basedOn w:val="1"/>
    <w:qFormat/>
    <w:uiPriority w:val="99"/>
    <w:rPr>
      <w:rFonts w:ascii="Tahoma" w:hAnsi="Tahoma" w:cs="仿宋_GB2312"/>
      <w:sz w:val="24"/>
      <w:szCs w:val="28"/>
    </w:rPr>
  </w:style>
  <w:style w:type="paragraph" w:customStyle="1" w:styleId="206">
    <w:name w:val="缺省文本"/>
    <w:basedOn w:val="1"/>
    <w:qFormat/>
    <w:uiPriority w:val="99"/>
    <w:pPr>
      <w:autoSpaceDE w:val="0"/>
      <w:autoSpaceDN w:val="0"/>
      <w:adjustRightInd w:val="0"/>
      <w:jc w:val="left"/>
    </w:pPr>
    <w:rPr>
      <w:kern w:val="0"/>
      <w:sz w:val="24"/>
      <w:szCs w:val="24"/>
    </w:rPr>
  </w:style>
  <w:style w:type="paragraph" w:customStyle="1" w:styleId="207">
    <w:name w:val="xl4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208">
    <w:name w:val="列出段落2"/>
    <w:basedOn w:val="1"/>
    <w:qFormat/>
    <w:uiPriority w:val="99"/>
    <w:pPr>
      <w:ind w:firstLine="420" w:firstLineChars="200"/>
    </w:pPr>
    <w:rPr>
      <w:rFonts w:ascii="Calibri" w:hAnsi="Calibri"/>
      <w:szCs w:val="22"/>
    </w:rPr>
  </w:style>
  <w:style w:type="paragraph" w:customStyle="1" w:styleId="209">
    <w:name w:val="xl45"/>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210">
    <w:name w:val="xl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11">
    <w:name w:val="xl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212">
    <w:name w:val="xl37"/>
    <w:basedOn w:val="1"/>
    <w:qFormat/>
    <w:uiPriority w:val="99"/>
    <w:pPr>
      <w:widowControl/>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13">
    <w:name w:val="xl35"/>
    <w:basedOn w:val="1"/>
    <w:qFormat/>
    <w:uiPriority w:val="99"/>
    <w:pPr>
      <w:widowControl/>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14">
    <w:name w:val="字元 字元1"/>
    <w:basedOn w:val="1"/>
    <w:qFormat/>
    <w:uiPriority w:val="99"/>
    <w:rPr>
      <w:rFonts w:ascii="Tahoma" w:hAnsi="Tahoma"/>
      <w:sz w:val="24"/>
    </w:rPr>
  </w:style>
  <w:style w:type="paragraph" w:customStyle="1" w:styleId="215">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216">
    <w:name w:val="xl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rPr>
  </w:style>
  <w:style w:type="paragraph" w:customStyle="1" w:styleId="217">
    <w:name w:val="Char21"/>
    <w:basedOn w:val="1"/>
    <w:qFormat/>
    <w:uiPriority w:val="99"/>
    <w:rPr>
      <w:rFonts w:ascii="Tahoma" w:hAnsi="Tahoma"/>
      <w:sz w:val="24"/>
    </w:rPr>
  </w:style>
  <w:style w:type="paragraph" w:customStyle="1" w:styleId="218">
    <w:name w:val="正文 A"/>
    <w:basedOn w:val="1"/>
    <w:qFormat/>
    <w:uiPriority w:val="99"/>
    <w:rPr>
      <w:rFonts w:ascii="Arial Unicode MS" w:hAnsi="Arial Unicode MS" w:eastAsia="Times New Roman"/>
      <w:color w:val="000000"/>
      <w:szCs w:val="21"/>
    </w:rPr>
  </w:style>
  <w:style w:type="character" w:customStyle="1" w:styleId="219">
    <w:name w:val="Body text|1_"/>
    <w:link w:val="220"/>
    <w:locked/>
    <w:uiPriority w:val="0"/>
    <w:rPr>
      <w:rFonts w:ascii="宋体" w:hAnsi="宋体" w:eastAsia="宋体" w:cs="宋体"/>
      <w:lang w:val="zh-TW" w:eastAsia="zh-TW" w:bidi="zh-TW"/>
    </w:rPr>
  </w:style>
  <w:style w:type="paragraph" w:customStyle="1" w:styleId="220">
    <w:name w:val="Body text|1"/>
    <w:basedOn w:val="1"/>
    <w:link w:val="219"/>
    <w:qFormat/>
    <w:uiPriority w:val="0"/>
    <w:pPr>
      <w:spacing w:after="60"/>
      <w:jc w:val="left"/>
    </w:pPr>
    <w:rPr>
      <w:rFonts w:ascii="宋体" w:hAnsi="宋体" w:cs="宋体"/>
      <w:szCs w:val="22"/>
      <w:lang w:val="zh-TW" w:eastAsia="zh-TW" w:bidi="zh-TW"/>
    </w:rPr>
  </w:style>
  <w:style w:type="paragraph" w:customStyle="1" w:styleId="221">
    <w:name w:val="msonospacing"/>
    <w:basedOn w:val="1"/>
    <w:qFormat/>
    <w:uiPriority w:val="99"/>
    <w:rPr>
      <w:rFonts w:ascii="等线" w:hAnsi="等线" w:eastAsia="等线"/>
      <w:szCs w:val="24"/>
    </w:rPr>
  </w:style>
  <w:style w:type="character" w:customStyle="1" w:styleId="222">
    <w:name w:val="目录用 Char"/>
    <w:link w:val="223"/>
    <w:locked/>
    <w:uiPriority w:val="0"/>
    <w:rPr>
      <w:b/>
      <w:sz w:val="36"/>
      <w:szCs w:val="36"/>
    </w:rPr>
  </w:style>
  <w:style w:type="paragraph" w:customStyle="1" w:styleId="223">
    <w:name w:val="目录用"/>
    <w:basedOn w:val="1"/>
    <w:link w:val="222"/>
    <w:qFormat/>
    <w:uiPriority w:val="0"/>
    <w:pPr>
      <w:snapToGrid w:val="0"/>
      <w:spacing w:line="540" w:lineRule="exact"/>
      <w:jc w:val="center"/>
      <w:outlineLvl w:val="0"/>
    </w:pPr>
    <w:rPr>
      <w:rFonts w:asciiTheme="minorHAnsi" w:hAnsiTheme="minorHAnsi" w:eastAsiaTheme="minorEastAsia" w:cstheme="minorBidi"/>
      <w:b/>
      <w:sz w:val="36"/>
      <w:szCs w:val="36"/>
    </w:rPr>
  </w:style>
  <w:style w:type="paragraph" w:customStyle="1" w:styleId="224">
    <w:name w:val="UserStyle_0"/>
    <w:basedOn w:val="1"/>
    <w:qFormat/>
    <w:uiPriority w:val="99"/>
    <w:pPr>
      <w:widowControl/>
      <w:spacing w:line="240" w:lineRule="atLeast"/>
      <w:jc w:val="left"/>
    </w:pPr>
    <w:rPr>
      <w:rFonts w:ascii="宋体" w:hAnsi="宋体"/>
      <w:color w:val="000000"/>
      <w:kern w:val="0"/>
    </w:rPr>
  </w:style>
  <w:style w:type="character" w:customStyle="1" w:styleId="225">
    <w:name w:val="正文文本 Char1"/>
    <w:uiPriority w:val="0"/>
    <w:rPr>
      <w:rFonts w:hint="eastAsia" w:ascii="宋体" w:hAnsi="宋体" w:eastAsia="宋体" w:cs="宋体"/>
      <w:sz w:val="24"/>
      <w:szCs w:val="24"/>
    </w:rPr>
  </w:style>
  <w:style w:type="character" w:customStyle="1" w:styleId="226">
    <w:name w:val="标题 2 Char1"/>
    <w:link w:val="5"/>
    <w:qFormat/>
    <w:locked/>
    <w:uiPriority w:val="0"/>
    <w:rPr>
      <w:rFonts w:ascii="Arial" w:hAnsi="Arial" w:eastAsia="黑体" w:cs="Times New Roman"/>
      <w:b/>
      <w:kern w:val="0"/>
      <w:sz w:val="30"/>
      <w:szCs w:val="20"/>
    </w:rPr>
  </w:style>
  <w:style w:type="character" w:customStyle="1" w:styleId="227">
    <w:name w:val="标题 3 Char1"/>
    <w:link w:val="7"/>
    <w:semiHidden/>
    <w:qFormat/>
    <w:locked/>
    <w:uiPriority w:val="0"/>
    <w:rPr>
      <w:rFonts w:ascii="宋体" w:hAnsi="Times New Roman" w:eastAsia="宋体" w:cs="Times New Roman"/>
      <w:b/>
      <w:kern w:val="0"/>
      <w:sz w:val="24"/>
      <w:szCs w:val="20"/>
      <w:u w:val="single"/>
    </w:rPr>
  </w:style>
  <w:style w:type="character" w:customStyle="1" w:styleId="228">
    <w:name w:val="正文文本缩进 Char3"/>
    <w:link w:val="3"/>
    <w:semiHidden/>
    <w:locked/>
    <w:uiPriority w:val="99"/>
    <w:rPr>
      <w:rFonts w:ascii="Times New Roman" w:hAnsi="Times New Roman" w:eastAsia="宋体" w:cs="Times New Roman"/>
      <w:sz w:val="24"/>
      <w:szCs w:val="24"/>
    </w:rPr>
  </w:style>
  <w:style w:type="character" w:customStyle="1" w:styleId="229">
    <w:name w:val="页脚 Char1"/>
    <w:semiHidden/>
    <w:qFormat/>
    <w:locked/>
    <w:uiPriority w:val="99"/>
    <w:rPr>
      <w:rFonts w:ascii="宋体" w:hAnsi="Times New Roman" w:eastAsia="宋体" w:cs="Times New Roman"/>
      <w:kern w:val="0"/>
      <w:sz w:val="18"/>
      <w:szCs w:val="20"/>
    </w:rPr>
  </w:style>
  <w:style w:type="character" w:customStyle="1" w:styleId="230">
    <w:name w:val="页眉 Char1"/>
    <w:semiHidden/>
    <w:qFormat/>
    <w:locked/>
    <w:uiPriority w:val="99"/>
    <w:rPr>
      <w:rFonts w:ascii="Times New Roman" w:hAnsi="Times New Roman" w:eastAsia="宋体" w:cs="Times New Roman"/>
      <w:sz w:val="18"/>
      <w:szCs w:val="18"/>
    </w:rPr>
  </w:style>
  <w:style w:type="character" w:customStyle="1" w:styleId="231">
    <w:name w:val="正文文本缩进 Char2"/>
    <w:qFormat/>
    <w:uiPriority w:val="0"/>
    <w:rPr>
      <w:rFonts w:hint="eastAsia" w:ascii="宋体" w:hAnsi="宋体" w:eastAsia="宋体"/>
      <w:kern w:val="2"/>
      <w:sz w:val="24"/>
      <w:szCs w:val="24"/>
      <w:lang w:val="en-US" w:eastAsia="zh-CN" w:bidi="ar-SA"/>
    </w:rPr>
  </w:style>
  <w:style w:type="character" w:customStyle="1" w:styleId="232">
    <w:name w:val="title4"/>
    <w:qFormat/>
    <w:uiPriority w:val="0"/>
    <w:rPr>
      <w:b/>
      <w:bCs/>
      <w:color w:val="1D87B3"/>
      <w:sz w:val="15"/>
      <w:szCs w:val="15"/>
    </w:rPr>
  </w:style>
  <w:style w:type="character" w:customStyle="1" w:styleId="233">
    <w:name w:val="chanpin拷贝"/>
    <w:qFormat/>
    <w:uiPriority w:val="0"/>
  </w:style>
  <w:style w:type="character" w:customStyle="1" w:styleId="234">
    <w:name w:val="c21"/>
    <w:qFormat/>
    <w:uiPriority w:val="0"/>
    <w:rPr>
      <w:rFonts w:hint="default" w:ascii="ˎ̥" w:hAnsi="ˎ̥"/>
      <w:color w:val="000000"/>
      <w:sz w:val="20"/>
      <w:szCs w:val="20"/>
      <w:u w:val="none"/>
    </w:rPr>
  </w:style>
  <w:style w:type="character" w:customStyle="1" w:styleId="235">
    <w:name w:val="txt"/>
    <w:qFormat/>
    <w:uiPriority w:val="0"/>
  </w:style>
  <w:style w:type="character" w:customStyle="1" w:styleId="236">
    <w:name w:val="正文缩进 Char"/>
    <w:qFormat/>
    <w:uiPriority w:val="0"/>
    <w:rPr>
      <w:rFonts w:hint="eastAsia" w:ascii="宋体" w:hAnsi="宋体" w:eastAsia="宋体"/>
      <w:kern w:val="2"/>
      <w:sz w:val="24"/>
      <w:szCs w:val="24"/>
      <w:lang w:val="en-US" w:eastAsia="zh-CN" w:bidi="ar-SA"/>
    </w:rPr>
  </w:style>
  <w:style w:type="character" w:customStyle="1" w:styleId="237">
    <w:name w:val="批注文字 字符"/>
    <w:qFormat/>
    <w:uiPriority w:val="99"/>
    <w:rPr>
      <w:rFonts w:hint="default" w:ascii="Times New Roman" w:hAnsi="Times New Roman" w:eastAsia="宋体" w:cs="Times New Roman"/>
      <w:sz w:val="24"/>
      <w:lang w:val="en-US" w:eastAsia="zh-CN" w:bidi="ar-SA"/>
    </w:rPr>
  </w:style>
  <w:style w:type="character" w:customStyle="1" w:styleId="238">
    <w:name w:val="street-address"/>
    <w:qFormat/>
    <w:uiPriority w:val="0"/>
  </w:style>
  <w:style w:type="character" w:customStyle="1" w:styleId="239">
    <w:name w:val="bjh-p"/>
    <w:qFormat/>
    <w:uiPriority w:val="0"/>
  </w:style>
  <w:style w:type="character" w:customStyle="1" w:styleId="240">
    <w:name w:val="black1"/>
    <w:qFormat/>
    <w:uiPriority w:val="0"/>
    <w:rPr>
      <w:color w:val="000000"/>
    </w:rPr>
  </w:style>
  <w:style w:type="character" w:customStyle="1" w:styleId="241">
    <w:name w:val="Char Char11"/>
    <w:qFormat/>
    <w:uiPriority w:val="0"/>
    <w:rPr>
      <w:rFonts w:hint="eastAsia" w:ascii="宋体" w:hAnsi="宋体" w:eastAsia="宋体"/>
      <w:b/>
      <w:sz w:val="24"/>
      <w:u w:val="single"/>
      <w:lang w:val="en-US" w:eastAsia="zh-CN" w:bidi="ar-SA"/>
    </w:rPr>
  </w:style>
  <w:style w:type="character" w:customStyle="1" w:styleId="242">
    <w:name w:val="纯文本 字符"/>
    <w:qFormat/>
    <w:uiPriority w:val="99"/>
    <w:rPr>
      <w:rFonts w:hint="eastAsia" w:ascii="宋体" w:hAnsi="Courier New" w:eastAsia="宋体" w:cs="Times New Roman"/>
      <w:kern w:val="2"/>
      <w:sz w:val="21"/>
      <w:szCs w:val="21"/>
      <w:lang w:val="en-US" w:eastAsia="zh-CN" w:bidi="ar-SA"/>
    </w:rPr>
  </w:style>
  <w:style w:type="character" w:customStyle="1" w:styleId="243">
    <w:name w:val="标题 3 Char Char"/>
    <w:qFormat/>
    <w:uiPriority w:val="0"/>
    <w:rPr>
      <w:rFonts w:hint="eastAsia" w:ascii="宋体" w:hAnsi="宋体" w:eastAsia="宋体"/>
      <w:b/>
      <w:bCs/>
      <w:kern w:val="2"/>
      <w:sz w:val="32"/>
      <w:szCs w:val="32"/>
      <w:lang w:val="en-US" w:eastAsia="zh-CN" w:bidi="ar-SA"/>
    </w:rPr>
  </w:style>
  <w:style w:type="character" w:customStyle="1" w:styleId="244">
    <w:name w:val="apple-style-span"/>
    <w:qFormat/>
    <w:uiPriority w:val="0"/>
    <w:rPr>
      <w:rFonts w:hint="default" w:ascii="Times New Roman" w:hAnsi="Times New Roman" w:cs="Times New Roman"/>
    </w:rPr>
  </w:style>
  <w:style w:type="character" w:customStyle="1" w:styleId="245">
    <w:name w:val="chanpin1"/>
    <w:qFormat/>
    <w:uiPriority w:val="0"/>
    <w:rPr>
      <w:rFonts w:hint="default" w:ascii="ˎ̥" w:hAnsi="ˎ̥"/>
      <w:color w:val="000000"/>
      <w:sz w:val="20"/>
      <w:szCs w:val="20"/>
      <w:u w:val="none"/>
    </w:rPr>
  </w:style>
  <w:style w:type="character" w:customStyle="1" w:styleId="246">
    <w:name w:val="locality"/>
    <w:qFormat/>
    <w:uiPriority w:val="0"/>
  </w:style>
  <w:style w:type="character" w:customStyle="1" w:styleId="247">
    <w:name w:val="段1 Char"/>
    <w:qFormat/>
    <w:uiPriority w:val="0"/>
    <w:rPr>
      <w:rFonts w:hint="eastAsia" w:ascii="宋体" w:hAnsi="宋体" w:eastAsia="宋体"/>
      <w:sz w:val="24"/>
      <w:lang w:val="en-US" w:eastAsia="zh-CN" w:bidi="ar-SA"/>
    </w:rPr>
  </w:style>
  <w:style w:type="character" w:customStyle="1" w:styleId="248">
    <w:name w:val="列出段落 Char"/>
    <w:qFormat/>
    <w:uiPriority w:val="0"/>
    <w:rPr>
      <w:rFonts w:hint="default" w:ascii="Calibri" w:hAnsi="Calibri" w:eastAsia="宋体" w:cs="Calibri"/>
      <w:kern w:val="2"/>
      <w:sz w:val="21"/>
      <w:szCs w:val="22"/>
      <w:lang w:val="en-US" w:eastAsia="zh-CN" w:bidi="ar-SA"/>
    </w:rPr>
  </w:style>
  <w:style w:type="character" w:customStyle="1" w:styleId="249">
    <w:name w:val="纯文本 字符1"/>
    <w:qFormat/>
    <w:uiPriority w:val="0"/>
    <w:rPr>
      <w:rFonts w:hint="eastAsia" w:ascii="宋体" w:hAnsi="Courier New" w:eastAsia="宋体"/>
    </w:rPr>
  </w:style>
  <w:style w:type="character" w:customStyle="1" w:styleId="250">
    <w:name w:val="Char Char111"/>
    <w:qFormat/>
    <w:uiPriority w:val="0"/>
    <w:rPr>
      <w:rFonts w:hint="eastAsia" w:ascii="宋体" w:hAnsi="宋体" w:eastAsia="宋体"/>
      <w:b/>
      <w:sz w:val="24"/>
      <w:u w:val="single"/>
      <w:lang w:val="en-US" w:eastAsia="zh-CN" w:bidi="ar-SA"/>
    </w:rPr>
  </w:style>
  <w:style w:type="character" w:customStyle="1" w:styleId="251">
    <w:name w:val="NormalCharacter"/>
    <w:qFormat/>
    <w:uiPriority w:val="0"/>
  </w:style>
  <w:style w:type="character" w:customStyle="1" w:styleId="252">
    <w:name w:val="标题 2 Char Char"/>
    <w:qFormat/>
    <w:uiPriority w:val="0"/>
    <w:rPr>
      <w:rFonts w:hint="default" w:ascii="Arial" w:hAnsi="Arial" w:eastAsia="黑体" w:cs="Arial"/>
      <w:b/>
      <w:bCs/>
      <w:kern w:val="2"/>
      <w:sz w:val="32"/>
      <w:szCs w:val="32"/>
      <w:lang w:val="en-US" w:eastAsia="zh-CN" w:bidi="ar-SA"/>
    </w:rPr>
  </w:style>
  <w:style w:type="character" w:customStyle="1" w:styleId="253">
    <w:name w:val="style81"/>
    <w:uiPriority w:val="0"/>
    <w:rPr>
      <w:sz w:val="24"/>
      <w:szCs w:val="24"/>
    </w:rPr>
  </w:style>
  <w:style w:type="character" w:customStyle="1" w:styleId="254">
    <w:name w:val="long_text"/>
    <w:basedOn w:val="46"/>
    <w:qFormat/>
    <w:uiPriority w:val="0"/>
  </w:style>
  <w:style w:type="table" w:customStyle="1" w:styleId="255">
    <w:name w:val="Table Normal"/>
    <w:qFormat/>
    <w:uiPriority w:val="2"/>
    <w:pPr>
      <w:widowControl w:val="0"/>
      <w:autoSpaceDE w:val="0"/>
      <w:autoSpaceDN w:val="0"/>
    </w:pPr>
    <w:rPr>
      <w:rFonts w:ascii="Calibri" w:hAnsi="Calibri" w:eastAsia="宋体" w:cs="Times New Roman"/>
      <w:kern w:val="0"/>
      <w:sz w:val="22"/>
      <w:lang w:eastAsia="en-US"/>
    </w:rPr>
    <w:tblPr>
      <w:tblCellMar>
        <w:top w:w="0" w:type="dxa"/>
        <w:left w:w="0" w:type="dxa"/>
        <w:bottom w:w="0" w:type="dxa"/>
        <w:right w:w="0" w:type="dxa"/>
      </w:tblCellMar>
    </w:tblPr>
  </w:style>
  <w:style w:type="table" w:customStyle="1" w:styleId="256">
    <w:name w:val="TableGrid"/>
    <w:uiPriority w:val="0"/>
    <w:rPr>
      <w:rFonts w:ascii="Calibri" w:hAnsi="Calibri" w:eastAsia="等线" w:cs="Times New Roman"/>
      <w:kern w:val="0"/>
      <w:sz w:val="22"/>
      <w:lang w:eastAsia="en-US"/>
    </w:rPr>
    <w:tblPr>
      <w:tblCellMar>
        <w:top w:w="0" w:type="dxa"/>
        <w:left w:w="0" w:type="dxa"/>
        <w:bottom w:w="0" w:type="dxa"/>
        <w:right w:w="0" w:type="dxa"/>
      </w:tblCellMar>
    </w:tblPr>
  </w:style>
  <w:style w:type="table" w:customStyle="1" w:styleId="257">
    <w:name w:val="Table Normal1"/>
    <w:semiHidden/>
    <w:qFormat/>
    <w:uiPriority w:val="2"/>
    <w:rPr>
      <w:kern w:val="0"/>
      <w:sz w:val="20"/>
      <w:szCs w:val="20"/>
    </w:rPr>
    <w:tblPr>
      <w:tblCellMar>
        <w:top w:w="0" w:type="dxa"/>
        <w:left w:w="0" w:type="dxa"/>
        <w:bottom w:w="0" w:type="dxa"/>
        <w:right w:w="0" w:type="dxa"/>
      </w:tblCellMar>
    </w:tblPr>
  </w:style>
  <w:style w:type="paragraph" w:customStyle="1" w:styleId="258">
    <w:name w:val="项目符号1"/>
    <w:basedOn w:val="107"/>
    <w:qFormat/>
    <w:uiPriority w:val="99"/>
    <w:pPr>
      <w:ind w:left="-25" w:firstLine="0"/>
    </w:pPr>
  </w:style>
  <w:style w:type="paragraph" w:customStyle="1" w:styleId="259">
    <w:name w:val="一级条标题"/>
    <w:basedOn w:val="116"/>
    <w:next w:val="1"/>
    <w:qFormat/>
    <w:uiPriority w:val="99"/>
    <w:pPr>
      <w:tabs>
        <w:tab w:val="left" w:pos="360"/>
        <w:tab w:val="left" w:pos="840"/>
      </w:tabs>
      <w:ind w:hanging="840"/>
      <w:outlineLvl w:val="1"/>
    </w:pPr>
  </w:style>
  <w:style w:type="paragraph" w:customStyle="1" w:styleId="260">
    <w:name w:val="二级条标题"/>
    <w:basedOn w:val="259"/>
    <w:next w:val="1"/>
    <w:qFormat/>
    <w:uiPriority w:val="99"/>
    <w:pPr>
      <w:outlineLvl w:val="2"/>
    </w:pPr>
    <w:rPr>
      <w:rFonts w:ascii="宋体" w:eastAsia="宋体"/>
      <w:b w:val="0"/>
    </w:rPr>
  </w:style>
  <w:style w:type="paragraph" w:customStyle="1" w:styleId="261">
    <w:name w:val="三级条标题"/>
    <w:basedOn w:val="260"/>
    <w:next w:val="1"/>
    <w:qFormat/>
    <w:uiPriority w:val="99"/>
    <w:pPr>
      <w:outlineLvl w:val="3"/>
    </w:pPr>
  </w:style>
  <w:style w:type="paragraph" w:customStyle="1" w:styleId="262">
    <w:name w:val="四级条标题"/>
    <w:basedOn w:val="261"/>
    <w:next w:val="1"/>
    <w:qFormat/>
    <w:uiPriority w:val="99"/>
    <w:pPr>
      <w:outlineLvl w:val="4"/>
    </w:pPr>
  </w:style>
  <w:style w:type="paragraph" w:customStyle="1" w:styleId="263">
    <w:name w:val="五级条标题"/>
    <w:basedOn w:val="262"/>
    <w:next w:val="1"/>
    <w:qFormat/>
    <w:uiPriority w:val="99"/>
    <w:pPr>
      <w:outlineLvl w:val="5"/>
    </w:pPr>
  </w:style>
  <w:style w:type="paragraph" w:customStyle="1" w:styleId="264">
    <w:name w:val="列表段落1"/>
    <w:basedOn w:val="1"/>
    <w:autoRedefine/>
    <w:qFormat/>
    <w:uiPriority w:val="34"/>
    <w:pPr>
      <w:ind w:firstLine="420" w:firstLineChars="200"/>
    </w:pPr>
  </w:style>
  <w:style w:type="paragraph" w:customStyle="1" w:styleId="265">
    <w:name w:val="招标文件正文"/>
    <w:basedOn w:val="1"/>
    <w:link w:val="266"/>
    <w:qFormat/>
    <w:uiPriority w:val="0"/>
    <w:pPr>
      <w:spacing w:line="300" w:lineRule="auto"/>
      <w:ind w:firstLine="200" w:firstLineChars="200"/>
      <w:jc w:val="left"/>
    </w:pPr>
    <w:rPr>
      <w:kern w:val="0"/>
      <w:sz w:val="32"/>
      <w:szCs w:val="32"/>
    </w:rPr>
  </w:style>
  <w:style w:type="character" w:customStyle="1" w:styleId="266">
    <w:name w:val="招标文件正文 Char Char"/>
    <w:link w:val="265"/>
    <w:qFormat/>
    <w:uiPriority w:val="0"/>
    <w:rPr>
      <w:rFonts w:ascii="Times New Roman" w:hAnsi="Times New Roman" w:eastAsia="宋体" w:cs="Times New Roman"/>
      <w:kern w:val="0"/>
      <w:sz w:val="32"/>
      <w:szCs w:val="32"/>
    </w:rPr>
  </w:style>
  <w:style w:type="paragraph" w:customStyle="1" w:styleId="267">
    <w:name w:val="正文（缩进）"/>
    <w:basedOn w:val="1"/>
    <w:qFormat/>
    <w:uiPriority w:val="0"/>
    <w:pPr>
      <w:spacing w:before="50" w:after="50"/>
      <w:ind w:firstLine="20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4647</Words>
  <Characters>4972</Characters>
  <Lines>37</Lines>
  <Paragraphs>10</Paragraphs>
  <TotalTime>0</TotalTime>
  <ScaleCrop>false</ScaleCrop>
  <LinksUpToDate>false</LinksUpToDate>
  <CharactersWithSpaces>4979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2023-03-03T07:02:00Z</dcterms:created>
  <dc:creator>ThinkPad</dc:creator>
  <cp:lastModifiedBy>Estela</cp:lastModifiedBy>
  <dcterms:modified xsi:type="dcterms:W3CDTF">2026-08-13T07:20:14Z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eyJoZGlkIjoiMWJmYmVhMGQ2YWQwOTc0ZDFkYmVkZTE0NzFkNThlYzIiLCJ1c2VySWQiOiIyNDc5MzkxNzUifQ==</vt:lpwstr>
  </property>
  <property fmtid="{D5CDD505-2E9C-101B-9397-08002B2CF9AE}" pid="3" name="KSOProductBuildVer">
    <vt:lpwstr>2052-12.1.0.28043</vt:lpwstr>
  </property>
  <property fmtid="{D5CDD505-2E9C-101B-9397-08002B2CF9AE}" pid="4" name="ICV">
    <vt:lpwstr>BE2C58B0CB974D4FA20496DD3D27F1D1_12</vt:lpwstr>
  </property>
</Properties>
</file>