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1EDD8">
      <w:pPr>
        <w:spacing w:line="360" w:lineRule="auto"/>
        <w:jc w:val="center"/>
        <w:outlineLvl w:val="0"/>
        <w:rPr>
          <w:rFonts w:ascii="Times New Roman" w:hAnsi="Times New Roman" w:eastAsia="宋体" w:cs="Times New Roman"/>
          <w:b/>
          <w:sz w:val="36"/>
          <w:szCs w:val="36"/>
          <w:highlight w:val="none"/>
        </w:rPr>
      </w:pPr>
      <w:r>
        <w:rPr>
          <w:rFonts w:ascii="Times New Roman" w:hAnsi="Times New Roman" w:eastAsia="宋体" w:cs="Times New Roman"/>
          <w:b/>
          <w:sz w:val="36"/>
          <w:szCs w:val="36"/>
          <w:highlight w:val="none"/>
        </w:rPr>
        <w:t>采购需求</w:t>
      </w:r>
    </w:p>
    <w:p w14:paraId="41FF8158">
      <w:pPr>
        <w:widowControl w:val="0"/>
        <w:tabs>
          <w:tab w:val="left" w:pos="1050"/>
          <w:tab w:val="right" w:leader="dot" w:pos="8937"/>
        </w:tabs>
        <w:spacing w:line="360" w:lineRule="auto"/>
        <w:jc w:val="both"/>
        <w:rPr>
          <w:rFonts w:hint="eastAsia" w:ascii="宋体" w:hAnsi="宋体" w:eastAsia="宋体" w:cs="宋体"/>
          <w:b/>
          <w:kern w:val="2"/>
          <w:sz w:val="24"/>
          <w:szCs w:val="24"/>
          <w:highlight w:val="none"/>
          <w:lang w:val="en-US" w:eastAsia="zh-CN" w:bidi="ar-SA"/>
        </w:rPr>
      </w:pPr>
    </w:p>
    <w:p w14:paraId="575E8C36">
      <w:pPr>
        <w:spacing w:line="360" w:lineRule="auto"/>
        <w:jc w:val="center"/>
        <w:outlineLvl w:val="0"/>
        <w:rPr>
          <w:rFonts w:ascii="Times New Roman" w:hAnsi="Times New Roman" w:eastAsia="宋体" w:cs="Times New Roman"/>
          <w:b/>
          <w:bCs w:val="0"/>
          <w:highlight w:val="none"/>
        </w:rPr>
      </w:pPr>
      <w:r>
        <w:rPr>
          <w:rFonts w:hint="eastAsia" w:ascii="宋体" w:hAnsi="宋体" w:eastAsia="宋体" w:cs="宋体"/>
          <w:b/>
          <w:bCs w:val="0"/>
          <w:sz w:val="28"/>
          <w:szCs w:val="28"/>
          <w:highlight w:val="none"/>
        </w:rPr>
        <w:t>北京市司法局2026年政务云租赁服务项目（第一包）</w:t>
      </w:r>
    </w:p>
    <w:p w14:paraId="571522AD">
      <w:pPr>
        <w:keepNext/>
        <w:keepLines/>
        <w:numPr>
          <w:ilvl w:val="0"/>
          <w:numId w:val="1"/>
        </w:numPr>
        <w:spacing w:before="340" w:after="330" w:line="360" w:lineRule="auto"/>
        <w:ind w:firstLine="562"/>
        <w:outlineLvl w:val="0"/>
        <w:rPr>
          <w:rFonts w:hint="eastAsia" w:ascii="宋体" w:hAnsi="宋体" w:eastAsia="宋体" w:cs="宋体"/>
          <w:b/>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采购</w:t>
      </w:r>
      <w:r>
        <w:rPr>
          <w:rFonts w:hint="eastAsia" w:ascii="宋体" w:hAnsi="宋体" w:eastAsia="宋体" w:cs="宋体"/>
          <w:b/>
          <w:sz w:val="24"/>
          <w:highlight w:val="none"/>
        </w:rPr>
        <w:t>标的</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43"/>
        <w:gridCol w:w="1702"/>
        <w:gridCol w:w="1045"/>
        <w:gridCol w:w="1901"/>
      </w:tblGrid>
      <w:tr w14:paraId="71C5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3BF851D3">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序号</w:t>
            </w:r>
          </w:p>
        </w:tc>
        <w:tc>
          <w:tcPr>
            <w:tcW w:w="2343" w:type="dxa"/>
            <w:noWrap w:val="0"/>
            <w:vAlign w:val="center"/>
          </w:tcPr>
          <w:p w14:paraId="1CFA46F9">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货物或服务名称</w:t>
            </w:r>
          </w:p>
        </w:tc>
        <w:tc>
          <w:tcPr>
            <w:tcW w:w="1702" w:type="dxa"/>
            <w:noWrap w:val="0"/>
            <w:vAlign w:val="center"/>
          </w:tcPr>
          <w:p w14:paraId="6A479A8B">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数量</w:t>
            </w:r>
          </w:p>
        </w:tc>
        <w:tc>
          <w:tcPr>
            <w:tcW w:w="1045" w:type="dxa"/>
            <w:noWrap w:val="0"/>
            <w:vAlign w:val="center"/>
          </w:tcPr>
          <w:p w14:paraId="6FDF0C7F">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单位</w:t>
            </w:r>
          </w:p>
        </w:tc>
        <w:tc>
          <w:tcPr>
            <w:tcW w:w="1901" w:type="dxa"/>
            <w:noWrap w:val="0"/>
            <w:vAlign w:val="center"/>
          </w:tcPr>
          <w:p w14:paraId="43F05B86">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最高限价（万元）</w:t>
            </w:r>
          </w:p>
        </w:tc>
      </w:tr>
      <w:tr w14:paraId="5170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3526A274">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2343" w:type="dxa"/>
            <w:noWrap w:val="0"/>
            <w:vAlign w:val="center"/>
          </w:tcPr>
          <w:p w14:paraId="01B2B347">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政务云服务一包</w:t>
            </w:r>
          </w:p>
        </w:tc>
        <w:tc>
          <w:tcPr>
            <w:tcW w:w="1702" w:type="dxa"/>
            <w:noWrap w:val="0"/>
            <w:vAlign w:val="center"/>
          </w:tcPr>
          <w:p w14:paraId="25133025">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1045" w:type="dxa"/>
            <w:noWrap w:val="0"/>
            <w:vAlign w:val="center"/>
          </w:tcPr>
          <w:p w14:paraId="17045318">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项</w:t>
            </w:r>
          </w:p>
        </w:tc>
        <w:tc>
          <w:tcPr>
            <w:tcW w:w="1901" w:type="dxa"/>
            <w:noWrap w:val="0"/>
            <w:vAlign w:val="center"/>
          </w:tcPr>
          <w:p w14:paraId="1FFA69DA">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Times New Roman"/>
                <w:bCs/>
                <w:kern w:val="2"/>
                <w:sz w:val="24"/>
                <w:szCs w:val="21"/>
                <w:highlight w:val="none"/>
                <w:lang w:val="en-US" w:eastAsia="zh-CN" w:bidi="ar-SA"/>
              </w:rPr>
              <w:t>256.554609</w:t>
            </w:r>
          </w:p>
        </w:tc>
      </w:tr>
    </w:tbl>
    <w:p w14:paraId="4254F4BE">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项目背景</w:t>
      </w:r>
    </w:p>
    <w:p w14:paraId="29A82CC9">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bCs/>
          <w:sz w:val="24"/>
          <w:highlight w:val="none"/>
        </w:rPr>
        <w:t>为贯彻落实北京市经济和信息化局关于印发《北京市市级政务云管理办法的通知》（京经信委函（2019）150号）文件的要求，</w:t>
      </w:r>
      <w:r>
        <w:rPr>
          <w:rFonts w:hint="eastAsia" w:ascii="宋体" w:hAnsi="宋体" w:eastAsia="宋体" w:cs="宋体"/>
          <w:kern w:val="0"/>
          <w:sz w:val="24"/>
          <w:highlight w:val="none"/>
        </w:rPr>
        <w:t>我局北京市公共法律服务网络平台、社区矫正综合管理平台、法律援助信息管理系统、北京市行政复议与应诉工作平台、人民调解和基层司法管理系统、律师管理系统、司法鉴定管理系统、北京市人民监督员选任管理系统、北京市国家统一法律职业资格考试管理平台、北京市司法局行政审批系统、全国安置帮教工作信息管理系统、政务综合管理平台已迁入市级政务云，系统运行稳定。</w:t>
      </w:r>
    </w:p>
    <w:p w14:paraId="08B5641C">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技术参数要求</w:t>
      </w:r>
    </w:p>
    <w:p w14:paraId="2E3519FA">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政务云基础服务</w:t>
      </w:r>
    </w:p>
    <w:tbl>
      <w:tblPr>
        <w:tblStyle w:val="5"/>
        <w:tblW w:w="0" w:type="auto"/>
        <w:tblInd w:w="0" w:type="dxa"/>
        <w:tblLayout w:type="fixed"/>
        <w:tblCellMar>
          <w:top w:w="0" w:type="dxa"/>
          <w:left w:w="108" w:type="dxa"/>
          <w:bottom w:w="0" w:type="dxa"/>
          <w:right w:w="108" w:type="dxa"/>
        </w:tblCellMar>
      </w:tblPr>
      <w:tblGrid>
        <w:gridCol w:w="807"/>
        <w:gridCol w:w="1512"/>
        <w:gridCol w:w="2489"/>
        <w:gridCol w:w="784"/>
        <w:gridCol w:w="841"/>
        <w:gridCol w:w="1146"/>
        <w:gridCol w:w="939"/>
      </w:tblGrid>
      <w:tr w14:paraId="74113875">
        <w:tblPrEx>
          <w:tblCellMar>
            <w:top w:w="0" w:type="dxa"/>
            <w:left w:w="108" w:type="dxa"/>
            <w:bottom w:w="0" w:type="dxa"/>
            <w:right w:w="108" w:type="dxa"/>
          </w:tblCellMar>
        </w:tblPrEx>
        <w:trPr>
          <w:trHeight w:val="630"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14:paraId="46F1E33A">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服务类别</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5720436">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服务子类</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34F146D9">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服务项</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479710B">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计价单位</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6811FE20">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报价单位</w:t>
            </w: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04A28B81">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数量 </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62C2E3D">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期限（月） </w:t>
            </w:r>
          </w:p>
        </w:tc>
      </w:tr>
      <w:tr w14:paraId="7440E9C0">
        <w:tblPrEx>
          <w:tblCellMar>
            <w:top w:w="0" w:type="dxa"/>
            <w:left w:w="108" w:type="dxa"/>
            <w:bottom w:w="0" w:type="dxa"/>
            <w:right w:w="108" w:type="dxa"/>
          </w:tblCellMar>
        </w:tblPrEx>
        <w:trPr>
          <w:trHeight w:val="270" w:hRule="atLeast"/>
        </w:trPr>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F6968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计算服务</w:t>
            </w:r>
          </w:p>
        </w:tc>
        <w:tc>
          <w:tcPr>
            <w:tcW w:w="1512" w:type="dxa"/>
            <w:vMerge w:val="restart"/>
            <w:tcBorders>
              <w:top w:val="single" w:color="000000" w:sz="4" w:space="0"/>
              <w:left w:val="single" w:color="000000" w:sz="4" w:space="0"/>
              <w:bottom w:val="single" w:color="000000" w:sz="4" w:space="0"/>
              <w:right w:val="single" w:color="000000" w:sz="4" w:space="0"/>
            </w:tcBorders>
            <w:noWrap w:val="0"/>
            <w:vAlign w:val="center"/>
          </w:tcPr>
          <w:p w14:paraId="1C3845E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平台云主机服务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3CD96B4F">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vCPU（主频不低于2.4GHz）</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B639E36">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CPU</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5234FE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70DBFB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655</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3DF7A1E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6E3A2027">
        <w:tblPrEx>
          <w:tblCellMar>
            <w:top w:w="0" w:type="dxa"/>
            <w:left w:w="108" w:type="dxa"/>
            <w:bottom w:w="0" w:type="dxa"/>
            <w:right w:w="108" w:type="dxa"/>
          </w:tblCellMar>
        </w:tblPrEx>
        <w:trPr>
          <w:trHeight w:val="27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83F2E">
            <w:pPr>
              <w:widowControl/>
              <w:spacing w:line="360" w:lineRule="auto"/>
              <w:jc w:val="center"/>
              <w:rPr>
                <w:rFonts w:hint="eastAsia" w:ascii="宋体" w:hAnsi="宋体" w:eastAsia="宋体" w:cs="宋体"/>
                <w:color w:val="000000"/>
                <w:sz w:val="24"/>
                <w:highlight w:val="none"/>
              </w:rPr>
            </w:pPr>
          </w:p>
        </w:tc>
        <w:tc>
          <w:tcPr>
            <w:tcW w:w="15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4DFA5">
            <w:pPr>
              <w:widowControl/>
              <w:spacing w:line="360" w:lineRule="auto"/>
              <w:jc w:val="center"/>
              <w:rPr>
                <w:rFonts w:hint="eastAsia" w:ascii="宋体" w:hAnsi="宋体" w:eastAsia="宋体" w:cs="宋体"/>
                <w:color w:val="000000"/>
                <w:sz w:val="24"/>
                <w:highlight w:val="none"/>
              </w:rPr>
            </w:pP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59406AAC">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内存</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EB87D5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019076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6714310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2014</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29846F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784F19C2">
        <w:tblPrEx>
          <w:tblCellMar>
            <w:top w:w="0" w:type="dxa"/>
            <w:left w:w="108" w:type="dxa"/>
            <w:bottom w:w="0" w:type="dxa"/>
            <w:right w:w="108" w:type="dxa"/>
          </w:tblCellMar>
        </w:tblPrEx>
        <w:trPr>
          <w:trHeight w:val="765"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FF583">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211EB3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物理服务器租用服务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1D3D5E59">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 xml:space="preserve"> 物理服务器配置1:2 路12 核（主频≥2.0Ghz），64G内存，2块600G SAS 硬盘,2 个HBA 卡，2 个万兆端口）</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BF2AA56">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台</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C15826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216DC2D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2</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3996B3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3E75C82B">
        <w:tblPrEx>
          <w:tblCellMar>
            <w:top w:w="0" w:type="dxa"/>
            <w:left w:w="108" w:type="dxa"/>
            <w:bottom w:w="0" w:type="dxa"/>
            <w:right w:w="108" w:type="dxa"/>
          </w:tblCellMar>
        </w:tblPrEx>
        <w:trPr>
          <w:trHeight w:val="270" w:hRule="atLeast"/>
        </w:trPr>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8B57A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存储服务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EDEEDF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普通性能存储</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1DB39009">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普通存储 （单盘技术指标: 单盘IOPS1000-3000 ）</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5B12092C">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35B38F3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10EFFB2C">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104545</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435D5DD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0F2F2E8C">
        <w:tblPrEx>
          <w:tblCellMar>
            <w:top w:w="0" w:type="dxa"/>
            <w:left w:w="108" w:type="dxa"/>
            <w:bottom w:w="0" w:type="dxa"/>
            <w:right w:w="108" w:type="dxa"/>
          </w:tblCellMar>
        </w:tblPrEx>
        <w:trPr>
          <w:trHeight w:val="27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41332C">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ED23B7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高性能存储</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6DAEFC8D">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高性能存储（单盘技术指标：单盘IOPS3000-20000 ）</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10905D4D">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01C6A19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A26350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111545</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42FE0FB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58EC83EF">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0CFFD">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D51F56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静态存储</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219FC2EF">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大容量、高可靠的数据存储服务，具备PB级线性扩展能力，提供静态数据存储</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5F51D9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TB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09DC676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2C57606C">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9</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333206E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1367F0AF">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CD172">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7F3FBF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本地备份服务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031ECD64">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通过备份策略实现文件、操作系统、数据库的本地备份（不包含备份存储空间费用）</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95CB09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3B6182E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7BA15FF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111431.86</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5060B5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2B28A7F5">
        <w:tblPrEx>
          <w:tblCellMar>
            <w:top w:w="0" w:type="dxa"/>
            <w:left w:w="108" w:type="dxa"/>
            <w:bottom w:w="0" w:type="dxa"/>
            <w:right w:w="108" w:type="dxa"/>
          </w:tblCellMar>
        </w:tblPrEx>
        <w:trPr>
          <w:trHeight w:val="270" w:hRule="atLeast"/>
        </w:trPr>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179973D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网络服务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C42A252">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互联网链路服务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757B67F3">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互联网链路带宽</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3BD7A5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Mb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1A3052C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0320CE3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270</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1FEB2A4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18B6C655">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0F0F5">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DF4795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互联网IP地址租用服务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0D864508">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互联网IP地址租用服务并提供备案服务</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8ED2CD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IP</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2CA14F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1F0CBD9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13</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EE24F1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185BD4DF">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E9159">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1776D67">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主机负载均衡服务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0F6C90E6">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主机负载均衡服务</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8D041E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IP（内网）</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D31B70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nil"/>
              <w:right w:val="single" w:color="000000" w:sz="4" w:space="0"/>
            </w:tcBorders>
            <w:noWrap w:val="0"/>
            <w:vAlign w:val="center"/>
          </w:tcPr>
          <w:p w14:paraId="4C43BCCD">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7</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529904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52C8A6D3">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21919">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0445BBC">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远程接入服务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0CF05851">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每个账号结合身份验通过VPN远程接入堡垒机进行维护（免费提供1个账号）</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04F6138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1账号</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4AA64F1D">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171D51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30</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363069B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3C0F511C">
        <w:tblPrEx>
          <w:tblCellMar>
            <w:top w:w="0" w:type="dxa"/>
            <w:left w:w="108" w:type="dxa"/>
            <w:bottom w:w="0" w:type="dxa"/>
            <w:right w:w="108" w:type="dxa"/>
          </w:tblCellMar>
        </w:tblPrEx>
        <w:trPr>
          <w:trHeight w:val="765"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2C13B">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60158F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WAF防护</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5993887B">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在网站前端架设WAF防护服务保证用户网站对已知安全隐患进行防护实时升级漏洞补丁，配置防护策略可起到前端防护作用</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4F86A4D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 IP（互联网）</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5C89548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3929CD3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289945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bl>
    <w:p w14:paraId="314C6FEB">
      <w:pPr>
        <w:widowControl w:val="0"/>
        <w:tabs>
          <w:tab w:val="left" w:pos="1050"/>
          <w:tab w:val="right" w:leader="dot" w:pos="8937"/>
        </w:tabs>
        <w:spacing w:line="360" w:lineRule="auto"/>
        <w:jc w:val="both"/>
        <w:rPr>
          <w:rFonts w:hint="eastAsia" w:ascii="宋体" w:hAnsi="宋体" w:eastAsia="宋体" w:cs="宋体"/>
          <w:b/>
          <w:kern w:val="2"/>
          <w:sz w:val="24"/>
          <w:szCs w:val="24"/>
          <w:highlight w:val="none"/>
          <w:lang w:val="en-US" w:eastAsia="zh-CN" w:bidi="ar-SA"/>
        </w:rPr>
      </w:pPr>
    </w:p>
    <w:p w14:paraId="2F6A1176">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政务云扩展服务</w:t>
      </w:r>
    </w:p>
    <w:tbl>
      <w:tblPr>
        <w:tblStyle w:val="5"/>
        <w:tblW w:w="0" w:type="auto"/>
        <w:tblInd w:w="0" w:type="dxa"/>
        <w:tblLayout w:type="fixed"/>
        <w:tblCellMar>
          <w:top w:w="0" w:type="dxa"/>
          <w:left w:w="108" w:type="dxa"/>
          <w:bottom w:w="0" w:type="dxa"/>
          <w:right w:w="108" w:type="dxa"/>
        </w:tblCellMar>
      </w:tblPr>
      <w:tblGrid>
        <w:gridCol w:w="1231"/>
        <w:gridCol w:w="1223"/>
        <w:gridCol w:w="2814"/>
        <w:gridCol w:w="864"/>
        <w:gridCol w:w="725"/>
        <w:gridCol w:w="720"/>
        <w:gridCol w:w="940"/>
      </w:tblGrid>
      <w:tr w14:paraId="4F304B77">
        <w:tblPrEx>
          <w:tblCellMar>
            <w:top w:w="0" w:type="dxa"/>
            <w:left w:w="108" w:type="dxa"/>
            <w:bottom w:w="0" w:type="dxa"/>
            <w:right w:w="108" w:type="dxa"/>
          </w:tblCellMar>
        </w:tblPrEx>
        <w:trPr>
          <w:trHeight w:val="315" w:hRule="atLeast"/>
        </w:trPr>
        <w:tc>
          <w:tcPr>
            <w:tcW w:w="1231" w:type="dxa"/>
            <w:tcBorders>
              <w:top w:val="single" w:color="000000" w:sz="4" w:space="0"/>
              <w:left w:val="single" w:color="000000" w:sz="4" w:space="0"/>
              <w:bottom w:val="single" w:color="000000" w:sz="4" w:space="0"/>
              <w:right w:val="single" w:color="000000" w:sz="4" w:space="0"/>
            </w:tcBorders>
            <w:noWrap w:val="0"/>
            <w:vAlign w:val="center"/>
          </w:tcPr>
          <w:p w14:paraId="0FF3CE9E">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服务类别</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5DF305A7">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服务子类</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4BBC77BC">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服务项</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798FA98">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计价单位</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964D7B2">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报价单位</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39637049">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数量 </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31534D71">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期限（月） </w:t>
            </w:r>
          </w:p>
        </w:tc>
      </w:tr>
      <w:tr w14:paraId="7DFD7AD9">
        <w:tblPrEx>
          <w:tblCellMar>
            <w:top w:w="0" w:type="dxa"/>
            <w:left w:w="108" w:type="dxa"/>
            <w:bottom w:w="0" w:type="dxa"/>
            <w:right w:w="108" w:type="dxa"/>
          </w:tblCellMar>
        </w:tblPrEx>
        <w:trPr>
          <w:trHeight w:val="270" w:hRule="atLeast"/>
        </w:trPr>
        <w:tc>
          <w:tcPr>
            <w:tcW w:w="1231" w:type="dxa"/>
            <w:vMerge w:val="restart"/>
            <w:tcBorders>
              <w:top w:val="single" w:color="000000" w:sz="4" w:space="0"/>
              <w:left w:val="single" w:color="000000" w:sz="4" w:space="0"/>
              <w:bottom w:val="single" w:color="000000" w:sz="4" w:space="0"/>
              <w:right w:val="single" w:color="000000" w:sz="4" w:space="0"/>
            </w:tcBorders>
            <w:noWrap w:val="0"/>
            <w:vAlign w:val="center"/>
          </w:tcPr>
          <w:p w14:paraId="5EB4B76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基础软件支撑服务</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345DD87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商用操作系统套餐</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0515477B">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Windows Server套餐：Windows Server租用、安装及维护</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C6E1F32">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1个云主机</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A1C329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2A0999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31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2D00A80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7AC3C5B9">
        <w:tblPrEx>
          <w:tblCellMar>
            <w:top w:w="0" w:type="dxa"/>
            <w:left w:w="108" w:type="dxa"/>
            <w:bottom w:w="0" w:type="dxa"/>
            <w:right w:w="108" w:type="dxa"/>
          </w:tblCellMar>
        </w:tblPrEx>
        <w:trPr>
          <w:trHeight w:val="270" w:hRule="atLeast"/>
        </w:trPr>
        <w:tc>
          <w:tcPr>
            <w:tcW w:w="12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B6A6D">
            <w:pPr>
              <w:widowControl/>
              <w:spacing w:line="360" w:lineRule="auto"/>
              <w:jc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3735D8B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商用操作系统套餐</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3ACFE73E">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国产Linux套餐：国产Linux操作系统服务租用安装及维护</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CD48DC3">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1个云主机</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0AA9F43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A81AE2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16</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BA059D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67915F48">
        <w:tblPrEx>
          <w:tblCellMar>
            <w:top w:w="0" w:type="dxa"/>
            <w:left w:w="108" w:type="dxa"/>
            <w:bottom w:w="0" w:type="dxa"/>
            <w:right w:w="108" w:type="dxa"/>
          </w:tblCellMar>
        </w:tblPrEx>
        <w:trPr>
          <w:trHeight w:val="510" w:hRule="atLeast"/>
        </w:trPr>
        <w:tc>
          <w:tcPr>
            <w:tcW w:w="1231" w:type="dxa"/>
            <w:vMerge w:val="restart"/>
            <w:tcBorders>
              <w:top w:val="single" w:color="000000" w:sz="4" w:space="0"/>
              <w:left w:val="single" w:color="000000" w:sz="4" w:space="0"/>
              <w:right w:val="single" w:color="000000" w:sz="4" w:space="0"/>
            </w:tcBorders>
            <w:noWrap w:val="0"/>
            <w:vAlign w:val="center"/>
          </w:tcPr>
          <w:p w14:paraId="67F72760">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安全服务</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3EAE80E7">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主机杀毒服务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54FEA221">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对云主机进行定期的病毒查杀杀毒软件集中控制，对网络性能无影响</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6FC937">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1台</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FF4035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1866D5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113</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5DD23E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4FD3156F">
        <w:tblPrEx>
          <w:tblCellMar>
            <w:top w:w="0" w:type="dxa"/>
            <w:left w:w="108" w:type="dxa"/>
            <w:bottom w:w="0" w:type="dxa"/>
            <w:right w:w="108" w:type="dxa"/>
          </w:tblCellMar>
        </w:tblPrEx>
        <w:trPr>
          <w:trHeight w:val="510" w:hRule="atLeast"/>
        </w:trPr>
        <w:tc>
          <w:tcPr>
            <w:tcW w:w="1231" w:type="dxa"/>
            <w:vMerge w:val="continue"/>
            <w:tcBorders>
              <w:left w:val="single" w:color="000000" w:sz="4" w:space="0"/>
              <w:right w:val="single" w:color="000000" w:sz="4" w:space="0"/>
            </w:tcBorders>
            <w:noWrap w:val="0"/>
            <w:vAlign w:val="center"/>
          </w:tcPr>
          <w:p w14:paraId="2A7342E8">
            <w:pPr>
              <w:widowControl/>
              <w:spacing w:line="360" w:lineRule="auto"/>
              <w:jc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4998764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网页防篡改服务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4E9061F8">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提供网页防篡改服务通过防篡改软件对用户页面进行实时防护减少用户页面被恶意篡改的可能性</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F0D365F">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1监控点</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6F0BA30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元/年</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54CFC02">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782C5DD2">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w:t>
            </w:r>
          </w:p>
        </w:tc>
      </w:tr>
      <w:tr w14:paraId="6481DACD">
        <w:tblPrEx>
          <w:tblCellMar>
            <w:top w:w="0" w:type="dxa"/>
            <w:left w:w="108" w:type="dxa"/>
            <w:bottom w:w="0" w:type="dxa"/>
            <w:right w:w="108" w:type="dxa"/>
          </w:tblCellMar>
        </w:tblPrEx>
        <w:trPr>
          <w:trHeight w:val="510" w:hRule="atLeast"/>
        </w:trPr>
        <w:tc>
          <w:tcPr>
            <w:tcW w:w="1231" w:type="dxa"/>
            <w:vMerge w:val="continue"/>
            <w:tcBorders>
              <w:left w:val="single" w:color="000000" w:sz="4" w:space="0"/>
              <w:right w:val="single" w:color="000000" w:sz="4" w:space="0"/>
            </w:tcBorders>
            <w:noWrap w:val="0"/>
            <w:vAlign w:val="center"/>
          </w:tcPr>
          <w:p w14:paraId="77D5358D">
            <w:pPr>
              <w:widowControl/>
              <w:spacing w:line="360" w:lineRule="auto"/>
              <w:jc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463FA81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云端抗DDOS服务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056BB67C">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云端抗DDOS服务</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541833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元/流量清洗能力10G/月</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232095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8CFBB2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0.22</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35E8A8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647C3F4B">
        <w:tblPrEx>
          <w:tblCellMar>
            <w:top w:w="0" w:type="dxa"/>
            <w:left w:w="108" w:type="dxa"/>
            <w:bottom w:w="0" w:type="dxa"/>
            <w:right w:w="108" w:type="dxa"/>
          </w:tblCellMar>
        </w:tblPrEx>
        <w:trPr>
          <w:trHeight w:val="510" w:hRule="atLeast"/>
        </w:trPr>
        <w:tc>
          <w:tcPr>
            <w:tcW w:w="1231" w:type="dxa"/>
            <w:vMerge w:val="continue"/>
            <w:tcBorders>
              <w:left w:val="single" w:color="000000" w:sz="4" w:space="0"/>
              <w:right w:val="single" w:color="000000" w:sz="4" w:space="0"/>
            </w:tcBorders>
            <w:noWrap w:val="0"/>
            <w:vAlign w:val="center"/>
          </w:tcPr>
          <w:p w14:paraId="453E1082">
            <w:pPr>
              <w:widowControl/>
              <w:spacing w:line="360" w:lineRule="auto"/>
              <w:jc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1A3E144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云端APT防护服务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65B19743">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对未知攻击威胁进行检测和防护，发现隐蔽威胁、木马后门等异常威胁。</w:t>
            </w:r>
          </w:p>
        </w:tc>
        <w:tc>
          <w:tcPr>
            <w:tcW w:w="864" w:type="dxa"/>
            <w:tcBorders>
              <w:top w:val="single" w:color="000000" w:sz="4" w:space="0"/>
              <w:left w:val="single" w:color="000000" w:sz="4" w:space="0"/>
              <w:bottom w:val="single" w:color="000000" w:sz="4" w:space="0"/>
              <w:right w:val="single" w:color="000000" w:sz="4" w:space="0"/>
            </w:tcBorders>
            <w:noWrap/>
            <w:vAlign w:val="center"/>
          </w:tcPr>
          <w:p w14:paraId="6F08EE97">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元/套/月</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06E5804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63F6A4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0.01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B9C65E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25701957">
        <w:tblPrEx>
          <w:tblCellMar>
            <w:top w:w="0" w:type="dxa"/>
            <w:left w:w="108" w:type="dxa"/>
            <w:bottom w:w="0" w:type="dxa"/>
            <w:right w:w="108" w:type="dxa"/>
          </w:tblCellMar>
        </w:tblPrEx>
        <w:trPr>
          <w:trHeight w:val="270" w:hRule="atLeast"/>
        </w:trPr>
        <w:tc>
          <w:tcPr>
            <w:tcW w:w="1231" w:type="dxa"/>
            <w:vMerge w:val="continue"/>
            <w:tcBorders>
              <w:left w:val="single" w:color="000000" w:sz="4" w:space="0"/>
              <w:right w:val="single" w:color="000000" w:sz="4" w:space="0"/>
            </w:tcBorders>
            <w:noWrap w:val="0"/>
            <w:vAlign w:val="center"/>
          </w:tcPr>
          <w:p w14:paraId="1E792FCA">
            <w:pPr>
              <w:widowControl/>
              <w:spacing w:line="360" w:lineRule="auto"/>
              <w:jc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0192E12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主机防护</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189D71C4">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主机防护：提供符合等保三级要求的主机权限管理及安全防护。</w:t>
            </w:r>
          </w:p>
        </w:tc>
        <w:tc>
          <w:tcPr>
            <w:tcW w:w="864" w:type="dxa"/>
            <w:tcBorders>
              <w:top w:val="single" w:color="000000" w:sz="4" w:space="0"/>
              <w:left w:val="single" w:color="000000" w:sz="4" w:space="0"/>
              <w:bottom w:val="single" w:color="000000" w:sz="4" w:space="0"/>
              <w:right w:val="single" w:color="000000" w:sz="4" w:space="0"/>
            </w:tcBorders>
            <w:noWrap/>
            <w:vAlign w:val="center"/>
          </w:tcPr>
          <w:p w14:paraId="54B4543D">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元/台/月</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73B2EFB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911D27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13</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9A4E1C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110C9802">
        <w:tblPrEx>
          <w:tblCellMar>
            <w:top w:w="0" w:type="dxa"/>
            <w:left w:w="108" w:type="dxa"/>
            <w:bottom w:w="0" w:type="dxa"/>
            <w:right w:w="108" w:type="dxa"/>
          </w:tblCellMar>
        </w:tblPrEx>
        <w:trPr>
          <w:trHeight w:val="510" w:hRule="atLeast"/>
        </w:trPr>
        <w:tc>
          <w:tcPr>
            <w:tcW w:w="1231" w:type="dxa"/>
            <w:vMerge w:val="continue"/>
            <w:tcBorders>
              <w:left w:val="single" w:color="000000" w:sz="4" w:space="0"/>
              <w:bottom w:val="single" w:color="000000" w:sz="4" w:space="0"/>
              <w:right w:val="single" w:color="000000" w:sz="4" w:space="0"/>
            </w:tcBorders>
            <w:noWrap w:val="0"/>
            <w:vAlign w:val="center"/>
          </w:tcPr>
          <w:p w14:paraId="238D7DC6">
            <w:pPr>
              <w:widowControl/>
              <w:spacing w:line="360" w:lineRule="auto"/>
              <w:jc w:val="center"/>
              <w:textAlignment w:val="center"/>
              <w:rPr>
                <w:rFonts w:hint="eastAsia" w:ascii="宋体" w:hAnsi="宋体" w:eastAsia="宋体" w:cs="宋体"/>
                <w:color w:val="000000"/>
                <w:sz w:val="24"/>
                <w:highlight w:val="none"/>
              </w:rPr>
            </w:pP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63A6D22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数据库审计服务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1116CD51">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支持Oracle、SQL-Server、DB2、MySQL等数据库审计。（1套为1个数据库实例）。</w:t>
            </w:r>
          </w:p>
        </w:tc>
        <w:tc>
          <w:tcPr>
            <w:tcW w:w="864" w:type="dxa"/>
            <w:tcBorders>
              <w:top w:val="single" w:color="000000" w:sz="4" w:space="0"/>
              <w:left w:val="single" w:color="000000" w:sz="4" w:space="0"/>
              <w:bottom w:val="single" w:color="000000" w:sz="4" w:space="0"/>
              <w:right w:val="single" w:color="000000" w:sz="4" w:space="0"/>
            </w:tcBorders>
            <w:noWrap/>
            <w:vAlign w:val="center"/>
          </w:tcPr>
          <w:p w14:paraId="03A31D7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套</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0814A58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元/套</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2C81406">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35</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3CB6460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12</w:t>
            </w:r>
          </w:p>
        </w:tc>
      </w:tr>
      <w:tr w14:paraId="15D52FE8">
        <w:tblPrEx>
          <w:tblCellMar>
            <w:top w:w="0" w:type="dxa"/>
            <w:left w:w="108" w:type="dxa"/>
            <w:bottom w:w="0" w:type="dxa"/>
            <w:right w:w="108" w:type="dxa"/>
          </w:tblCellMar>
        </w:tblPrEx>
        <w:trPr>
          <w:trHeight w:val="270" w:hRule="atLeast"/>
        </w:trPr>
        <w:tc>
          <w:tcPr>
            <w:tcW w:w="1231" w:type="dxa"/>
            <w:tcBorders>
              <w:top w:val="single" w:color="000000" w:sz="4" w:space="0"/>
              <w:left w:val="single" w:color="000000" w:sz="4" w:space="0"/>
              <w:bottom w:val="single" w:color="000000" w:sz="4" w:space="0"/>
              <w:right w:val="single" w:color="000000" w:sz="4" w:space="0"/>
            </w:tcBorders>
            <w:noWrap w:val="0"/>
            <w:vAlign w:val="center"/>
          </w:tcPr>
          <w:p w14:paraId="1C7A2B4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其他服务</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4FCF074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短信服务</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4A502B99">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提供短信服务</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FE2678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1条</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0B70CEB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元/次</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053AABE">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140000</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AB0C53A">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w:t>
            </w:r>
          </w:p>
        </w:tc>
      </w:tr>
    </w:tbl>
    <w:p w14:paraId="4A375D62">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采购目标</w:t>
      </w:r>
    </w:p>
    <w:p w14:paraId="061E46FA">
      <w:pPr>
        <w:spacing w:after="120" w:line="360" w:lineRule="auto"/>
        <w:ind w:firstLine="480" w:firstLineChars="200"/>
        <w:rPr>
          <w:rFonts w:hint="eastAsia" w:ascii="宋体" w:hAnsi="宋体" w:eastAsia="宋体" w:cs="宋体"/>
          <w:kern w:val="0"/>
          <w:sz w:val="24"/>
          <w:highlight w:val="none"/>
        </w:rPr>
      </w:pPr>
      <w:r>
        <w:rPr>
          <w:rFonts w:hint="eastAsia" w:ascii="宋体" w:hAnsi="宋体" w:eastAsia="宋体" w:cs="宋体"/>
          <w:bCs/>
          <w:sz w:val="24"/>
          <w:highlight w:val="none"/>
        </w:rPr>
        <w:t>本项目的总体目标是通过租用政务云平台</w:t>
      </w:r>
      <w:r>
        <w:rPr>
          <w:rFonts w:hint="eastAsia" w:ascii="宋体" w:hAnsi="宋体" w:eastAsia="宋体" w:cs="宋体"/>
          <w:kern w:val="0"/>
          <w:sz w:val="24"/>
          <w:highlight w:val="none"/>
        </w:rPr>
        <w:t>计算服务、存储服务、网络服务、基础软件支撑服务、安全服务等。提供全年7×24小时运维保障，做好重大活动和节假日应急值守保障服务，确保各信息系统在政务云环境中安全稳定运行。</w:t>
      </w:r>
    </w:p>
    <w:p w14:paraId="31DD8860">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bookmarkStart w:id="0" w:name="_Toc24198"/>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服务内容与服务标准</w:t>
      </w:r>
      <w:bookmarkEnd w:id="0"/>
    </w:p>
    <w:p w14:paraId="3C173362">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计算服务</w:t>
      </w:r>
    </w:p>
    <w:p w14:paraId="7F6961A8">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1978E0DC">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云主机服务，包括：云主机服务和物理服务器租用服务，按需求对CPU及内存进行动态调整，实现合理的计算资源配置。在提供政务云主机的服务过程中做好与采购人和对应项目应用开发厂商的协调沟通工作。</w:t>
      </w:r>
    </w:p>
    <w:p w14:paraId="5EE58BBA">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4A8E8DD1">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云主机应实现物理机的全部功能，如具有CPU、存储、内存、网卡等资源，可以指定单独的IP地址等；</w:t>
      </w:r>
    </w:p>
    <w:p w14:paraId="580400B7">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支持存储裸设备映射（RDM），可以将存储设备上的LUN直接映射给虚拟机使用，并且支持SCSI指令使用透传模式或者非透传模式；</w:t>
      </w:r>
    </w:p>
    <w:p w14:paraId="2C65469C">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应满足云主机之间、CPU之间隔离保护要求；</w:t>
      </w:r>
    </w:p>
    <w:p w14:paraId="7043AE3F">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支持资源的动态调整，根据业务的负载情况实现业务系统虚拟机的动态扩展和回收；</w:t>
      </w:r>
    </w:p>
    <w:p w14:paraId="205A4BB0">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支持在线进行虚拟化软件版本升级，不同版本之间可以相互兼容；</w:t>
      </w:r>
    </w:p>
    <w:p w14:paraId="0EC069BE">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支持异构虚拟化能力，如KVM等多种虚拟化技术；</w:t>
      </w:r>
    </w:p>
    <w:p w14:paraId="7CEB0977">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云主机出现故障时，支持自动重启或者迁移，保障业务连续性；</w:t>
      </w:r>
    </w:p>
    <w:p w14:paraId="52E9DEA3">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支持虚拟机热迁移，可在不同代CPU资源池中进行虚拟机热迁移；</w:t>
      </w:r>
    </w:p>
    <w:p w14:paraId="68A5EE68">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云计算资源性能要求包括但不限于如下：</w:t>
      </w:r>
    </w:p>
    <w:p w14:paraId="7EEBB907">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（1）物理服务器CPU主频应不低于2.40GHz；</w:t>
      </w:r>
    </w:p>
    <w:p w14:paraId="6D82FB56">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（2）主机内存硬件配置不低于DDR4-2400MHz；</w:t>
      </w:r>
    </w:p>
    <w:p w14:paraId="7B19FB8B">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（3）可用性不低于99.99%。</w:t>
      </w:r>
    </w:p>
    <w:p w14:paraId="688E6DEE">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存储服务</w:t>
      </w:r>
    </w:p>
    <w:p w14:paraId="68C52537">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237CA20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存储服务，包括：普通性能存储、高性能存储、静态存储和本地备份服务，实现合理的存储资源配置。在提供政务云存储的服务过程中需做好采购人和对应项目应用开发厂商的协调沟通工作。</w:t>
      </w:r>
    </w:p>
    <w:p w14:paraId="74B7C898">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0914BBE0">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支持结构化数据、半结构化数据和非结构化数据等多种数据类型存储；</w:t>
      </w:r>
    </w:p>
    <w:p w14:paraId="4AD1FC9A">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支持块存储、对象存储、文件存储等多种存储方法，满足数据备份、视频存储等不同应用场景使用要求；</w:t>
      </w:r>
    </w:p>
    <w:p w14:paraId="11EC4FAB">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支持存储资源扩展能力，例如：PB级扩展；</w:t>
      </w:r>
    </w:p>
    <w:p w14:paraId="7F322A71">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支持磁盘容错技术，如磁盘故障后节点的自动平衡和重构、硬盘故障 检测和处理、集群节点出现单盘故障时不影响业务运行等；</w:t>
      </w:r>
    </w:p>
    <w:p w14:paraId="6144CB42">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存储资源性能要求包括但不限于如下：</w:t>
      </w:r>
    </w:p>
    <w:p w14:paraId="4725C164">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(1)吞吐量：</w:t>
      </w:r>
      <w:bookmarkStart w:id="1" w:name="OLE_LINK2"/>
      <w:r>
        <w:rPr>
          <w:rFonts w:hint="eastAsia" w:ascii="宋体" w:hAnsi="宋体" w:eastAsia="宋体" w:cs="宋体"/>
          <w:sz w:val="24"/>
          <w:highlight w:val="none"/>
        </w:rPr>
        <w:t>高性能存储系统的读写带宽应不低于1000MB/s</w:t>
      </w:r>
      <w:bookmarkEnd w:id="1"/>
      <w:r>
        <w:rPr>
          <w:rFonts w:hint="eastAsia" w:ascii="宋体" w:hAnsi="宋体" w:eastAsia="宋体" w:cs="宋体"/>
          <w:sz w:val="24"/>
          <w:highlight w:val="none"/>
        </w:rPr>
        <w:t>,IOPS不低于20000;普通性能存储系统的读写带宽应不低于200MB/s，IOPS不低于1000。</w:t>
      </w:r>
    </w:p>
    <w:p w14:paraId="34395E2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(2)支持高可靠性，可靠性不低于99.9999%%。</w:t>
      </w:r>
    </w:p>
    <w:p w14:paraId="7D6663A5">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备份服务</w:t>
      </w:r>
    </w:p>
    <w:p w14:paraId="2951460C">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45F031C6">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投标人需具有本地和同城异地数据级备份能力，并配合采购人完成数据级容灾演练及恢复等工作。</w:t>
      </w:r>
    </w:p>
    <w:p w14:paraId="2C1FB076">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323E785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各个应用系统对资源的备份需求通过备份策略实现对用户数据（文件、操作系统、数据库）的本地备份（不包含备份存储空间费用），默认提供非结构化数据保护与文件备份保护。备份应满足如下要求:</w:t>
      </w:r>
    </w:p>
    <w:p w14:paraId="161B6751">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备份介质本身具备高可用性和冗余性。</w:t>
      </w:r>
    </w:p>
    <w:p w14:paraId="723E450E">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备份方式包括完整备份、差异备份和增量备份。</w:t>
      </w:r>
    </w:p>
    <w:p w14:paraId="74A5F2D3">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支持Windows系列操作系统、Linux主流系统操作系统、主流数据库软件、主流中间件软件、结构化数据以及非结构化数据等备份对象。</w:t>
      </w:r>
    </w:p>
    <w:p w14:paraId="34209E48">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投标人应提供对备份过程状态、备份结果提供运维监控保障服务，确保备份任务执行成功以及备份的数据完整性。</w:t>
      </w:r>
    </w:p>
    <w:p w14:paraId="400FD25A">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网络服务</w:t>
      </w:r>
    </w:p>
    <w:p w14:paraId="4C75F1DE">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466788EE">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互联网链路服务</w:t>
      </w:r>
    </w:p>
    <w:p w14:paraId="6154662C">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提供互联网链路带宽服务、互联网IP地址租用服务，并提供相应的网络域名备案服务，配合应用开发厂商提供网络策略配置服务。</w:t>
      </w:r>
    </w:p>
    <w:p w14:paraId="13CFE525">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主机负载均衡服务</w:t>
      </w:r>
    </w:p>
    <w:p w14:paraId="50DF11A7">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提供主机负载均衡服务，通过云管理平台实现针每租户按需自动分配负载均衡服务的能力。</w:t>
      </w:r>
    </w:p>
    <w:p w14:paraId="38912FEC">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远程接入服务</w:t>
      </w:r>
    </w:p>
    <w:p w14:paraId="53168B59">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提供远程接入服务，每个账号结合身份验证接入堡垒机维护应用系统。</w:t>
      </w:r>
    </w:p>
    <w:p w14:paraId="44295278">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WAF防护服务</w:t>
      </w:r>
    </w:p>
    <w:p w14:paraId="115C3D34">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提供WAF防护服务，在政务云流量入口架设WAF（Web Application Firewall，网站应用级入侵防御系统）防护服务，保证用户网站对已知安全隐患进行防御。</w:t>
      </w:r>
    </w:p>
    <w:p w14:paraId="038BD89B">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0F92D327">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云内骨干线路带宽不低于10Gb/s；</w:t>
      </w:r>
    </w:p>
    <w:p w14:paraId="53BCA196">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服务器业务带宽不低于1Gb/s；</w:t>
      </w:r>
    </w:p>
    <w:p w14:paraId="5F5C1817">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平均可用性不低于99.9%。</w:t>
      </w:r>
    </w:p>
    <w:p w14:paraId="4D18207D">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基础软件支撑服务</w:t>
      </w:r>
    </w:p>
    <w:p w14:paraId="2F5CA9B4">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773C1328">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提供商用操作系统套餐等软件服务。</w:t>
      </w:r>
    </w:p>
    <w:p w14:paraId="44ED71FF">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2CD75EFD">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商用操作系统套餐</w:t>
      </w:r>
    </w:p>
    <w:p w14:paraId="4D7E09FA">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提供商用操作系统的租用、安装、调优、排错、技术支持服务。</w:t>
      </w:r>
    </w:p>
    <w:p w14:paraId="57E49474">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安全服务</w:t>
      </w:r>
    </w:p>
    <w:p w14:paraId="28E00089">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0A8A6A9F">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安全是政务云的红线，应按照网络安全等级保护等要求建设安全技术防护体系和安全管理体系，建立应急处置体系，强化各领域平台安全管控，本项目安全服务主要内容包含：</w:t>
      </w:r>
    </w:p>
    <w:p w14:paraId="1C984EEA">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主机杀毒服务</w:t>
      </w:r>
    </w:p>
    <w:p w14:paraId="4B21D159">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提供主机杀毒服务，对云主机进行定期的病毒查杀，杀毒软件集中控制，对网络性能无影响。</w:t>
      </w:r>
    </w:p>
    <w:p w14:paraId="51E37D80">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kern w:val="0"/>
          <w:sz w:val="24"/>
          <w:highlight w:val="none"/>
        </w:rPr>
        <w:t xml:space="preserve"> 网页防篡改服务</w:t>
      </w:r>
    </w:p>
    <w:p w14:paraId="11A7EAF1">
      <w:pPr>
        <w:spacing w:line="360" w:lineRule="auto"/>
        <w:rPr>
          <w:rFonts w:hint="eastAsia" w:ascii="宋体" w:hAnsi="宋体" w:eastAsia="宋体" w:cs="宋体"/>
          <w:sz w:val="24"/>
          <w:highlight w:val="none"/>
        </w:rPr>
      </w:pPr>
      <w:r>
        <w:rPr>
          <w:rFonts w:hint="eastAsia" w:ascii="宋体" w:hAnsi="宋体" w:eastAsia="宋体" w:cs="宋体"/>
          <w:kern w:val="0"/>
          <w:sz w:val="24"/>
          <w:highlight w:val="none"/>
        </w:rPr>
        <w:t>提供网页防篡改服务，通过防篡改软件对用户页面进行实时防护减少用户页面被恶意篡改的可能性。</w:t>
      </w:r>
    </w:p>
    <w:p w14:paraId="2298A485">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云端抗DDOS服务</w:t>
      </w:r>
    </w:p>
    <w:p w14:paraId="5237A50A">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提供云端抗DDOS服务，为云内应用系统抵御大流量分布式拒绝服务攻击，避免业务遭受拒绝服务攻击。</w:t>
      </w:r>
    </w:p>
    <w:p w14:paraId="13F2490C">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云端APT防护服务</w:t>
      </w:r>
    </w:p>
    <w:p w14:paraId="3106E3B0">
      <w:pPr>
        <w:spacing w:line="360" w:lineRule="auto"/>
        <w:ind w:firstLine="480" w:firstLineChars="200"/>
        <w:rPr>
          <w:rFonts w:hint="eastAsia" w:ascii="宋体" w:hAnsi="宋体" w:eastAsia="宋体" w:cs="宋体"/>
          <w:sz w:val="24"/>
          <w:highlight w:val="none"/>
        </w:rPr>
      </w:pPr>
      <w:r>
        <w:rPr>
          <w:rFonts w:hint="eastAsia" w:ascii="宋体" w:hAnsi="宋体" w:eastAsia="宋体" w:cs="宋体"/>
          <w:kern w:val="0"/>
          <w:sz w:val="24"/>
          <w:highlight w:val="none"/>
        </w:rPr>
        <w:t>按照采购人的具体需求，</w:t>
      </w:r>
      <w:r>
        <w:rPr>
          <w:rFonts w:hint="eastAsia" w:ascii="宋体" w:hAnsi="宋体" w:eastAsia="宋体" w:cs="宋体"/>
          <w:sz w:val="24"/>
          <w:highlight w:val="none"/>
        </w:rPr>
        <w:t>提供云端APT防护服务，对未知攻击威胁进行检测和防护，发现隐蔽威胁、木马后门等异常威胁。</w:t>
      </w:r>
    </w:p>
    <w:p w14:paraId="7FF38D29">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主机防护</w:t>
      </w:r>
    </w:p>
    <w:p w14:paraId="566F4A94">
      <w:pPr>
        <w:adjustRightInd w:val="0"/>
        <w:snapToGrid w:val="0"/>
        <w:spacing w:line="360" w:lineRule="auto"/>
        <w:ind w:left="14"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按照采购人的具体需求，提供符合等保三级要求的主机权限管理及安全防护。</w:t>
      </w:r>
    </w:p>
    <w:p w14:paraId="37286DB9">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数据库审计服务</w:t>
      </w:r>
    </w:p>
    <w:p w14:paraId="3DBD3861">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按照采购人的具体需求，提供数据库审计服务，支持Oracle、SQL-Server、DB2、MySQL等数据库审计。</w:t>
      </w:r>
    </w:p>
    <w:p w14:paraId="5F6982E6">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5DB1974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投云平台具备完备的安全防护体系和安全防护设备，具有成熟的安全运维方案，应保证各业务应用系统的支撑环境，包括但不限于服务器、网络、存储以及相关物理环境，应能满足不低于网络安全等级保护（GB/T22239-2019）第三级要求，并积极配合采购人根据各业务系统具体等保需求，开展相应等保评估、检查、整改等工作。</w:t>
      </w:r>
    </w:p>
    <w:p w14:paraId="096CB8B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投标人需利用监控系统或人工对机房环境、硬件设备及应用系统的运行情况进行7*24小时的不间断巡检监控，及时发现安全隐患，通知相关人员及时处理，并形成监控报告。</w:t>
      </w:r>
    </w:p>
    <w:p w14:paraId="565189C5">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承担云平台数据防篡改、防丢失的安全责任。业务数据未经采购人同意，不得离开云机房。投标人未经允许不得对云平台上的任何数据进行非法截取、加工、分析处理或提供给第三方机构。投标人在未经过用户邮件、书面材料确认前提下，不能查看、修改、拷贝用户业务系统文件和数据；各业务系统、数据归属于采购人，投标人无权支配。</w:t>
      </w:r>
    </w:p>
    <w:p w14:paraId="77E227AC">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投标人需保证安全技术服务能力不低于所承载的信息系统的最高级别，并通过GB/T22239相应等级的测评；通过商用密码应用安全性评估，商用密码应用安全性评估参考GB/T39786-2021中相应等级规定。</w:t>
      </w:r>
    </w:p>
    <w:p w14:paraId="76DA1296">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短信服务</w:t>
      </w:r>
    </w:p>
    <w:p w14:paraId="715602A5">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18E29FB5">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为本项目提供短信服务。</w:t>
      </w:r>
    </w:p>
    <w:p w14:paraId="66DDD562">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38E6EA2A">
      <w:pPr>
        <w:keepNext/>
        <w:keepLines/>
        <w:numPr>
          <w:ilvl w:val="3"/>
          <w:numId w:val="1"/>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短信服务</w:t>
      </w:r>
    </w:p>
    <w:p w14:paraId="64FB4966">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按照采购人的具体需求，为云上系统提供短信服务。</w:t>
      </w:r>
    </w:p>
    <w:p w14:paraId="2DCA5AC2">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运维服务</w:t>
      </w:r>
    </w:p>
    <w:p w14:paraId="1D4C85BE">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47438B92">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负责机房环境资源、云平台硬件资产、虚拟化资产的管理工作；</w:t>
      </w:r>
    </w:p>
    <w:p w14:paraId="773949C1">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信息系统入云、上线、变更、退出等各阶段的备案与信息变更等工作；</w:t>
      </w:r>
    </w:p>
    <w:p w14:paraId="0B75CBAF">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执行云平台变更申请、审批流程；</w:t>
      </w:r>
    </w:p>
    <w:p w14:paraId="5734B384">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云平台网络资源管理，针对内部地址使用情况、云平台专线接入情况、政务外网资源使用情况等做好统计工作；</w:t>
      </w:r>
    </w:p>
    <w:p w14:paraId="172CAB78">
      <w:pPr>
        <w:keepNext/>
        <w:keepLines/>
        <w:numPr>
          <w:ilvl w:val="3"/>
          <w:numId w:val="1"/>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服务期内，投标人须配备运维团队，提供可靠的售后服务保障。投标人针对采购人要求的云平台运维服务相关内容，需指定专业技术能力较强的工程师，根据采购人要求配合开展相关维护服务。</w:t>
      </w:r>
    </w:p>
    <w:p w14:paraId="52C6862B">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045A35A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依据《北京市市级政务云管理办法》，投标人应当提供高效的系统维护服务，有效防范系统风险，系统对应负责人7*24 小时电话畅通，能够在系统发 生除宕机外的其他故障问题时，能够协调人力资源在1小时内到达政务云机房现场提供服务。系统发生宕机问题时，投标人应在30分钟内响应，能够协调人力资源在1小时内到达运维现场定位、排除故障，在1个小时之内使系统恢复正常，故障处理完毕后提供相关系统宕机报告。</w:t>
      </w:r>
    </w:p>
    <w:p w14:paraId="23E3A14C">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为保障业务高峰期内系统平稳运行，缓解系统高峰期内因业务发生量增大而带来系统压力风险，要求投标人根据业务周期性特点，加大运维保障力度，保证在业务高峰期内系统平稳运行。</w:t>
      </w:r>
    </w:p>
    <w:p w14:paraId="4C2AA955">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重点保障时期重要信息系统云主机资源调整时间不超过1小时，针对重点保障时期的重要信息系统重要云主机，投标人应按采购人要求进行实时监控，超过预警阈值时主动上调云资源，并第一时间通知采购人进行相应操作，确保系统平稳运行。</w:t>
      </w:r>
    </w:p>
    <w:p w14:paraId="3B7D4F95">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按照国家、北京市相关规定和信息安全技术标准及规范要求,落实安全保障措施,通过信息安全测评机构的测评和政务云安全审查。</w:t>
      </w:r>
    </w:p>
    <w:p w14:paraId="30BD0E90">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除不可抗力或计划内维护作业造成的政务云服务中断外,政务云实行24小时不间断运行。</w:t>
      </w:r>
    </w:p>
    <w:p w14:paraId="1857093B">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迁移服务</w:t>
      </w:r>
    </w:p>
    <w:p w14:paraId="4032E7B8">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6C49615A">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投标人需提供整体的业务上云迁移服务，应支持云主机迁移、物理主机迁移、单机数据库迁移、高可用数据库迁移等迁移场景。负责需求调研、架构规划设计、应用迁移部署等工作。</w:t>
      </w:r>
    </w:p>
    <w:p w14:paraId="3E5E8C31">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2ACD5F5C">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本项目涉及的业务系统为采购人在用的生产系统，目前在北京市政务云上平稳运行，因此业务连续性是首要的保障需求。迁移服务具体要求如下：</w:t>
      </w:r>
    </w:p>
    <w:p w14:paraId="067F96F0">
      <w:pPr>
        <w:snapToGrid w:val="0"/>
        <w:spacing w:line="360" w:lineRule="auto"/>
        <w:ind w:firstLine="420"/>
        <w:rPr>
          <w:rFonts w:hint="eastAsia" w:ascii="宋体" w:hAnsi="宋体" w:eastAsia="宋体" w:cs="宋体"/>
          <w:sz w:val="24"/>
          <w:highlight w:val="none"/>
        </w:rPr>
      </w:pPr>
      <w:r>
        <w:rPr>
          <w:rFonts w:hint="eastAsia" w:ascii="宋体" w:hAnsi="宋体" w:eastAsia="宋体" w:cs="宋体"/>
          <w:sz w:val="24"/>
          <w:highlight w:val="none"/>
        </w:rPr>
        <w:t>投标人需编制业务连续性服务方案。</w:t>
      </w:r>
    </w:p>
    <w:p w14:paraId="6770A87B">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14:paraId="04BC3E45">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为保障业务系统的连续性，投标人应承诺自中标之日起，积极与原服务商对接，在5个工作日内，完成系统迁移平滑过渡，且因此产生的各项费用（包括但不限于测试阶段的云资源费用，系统开发商对业务系统的部署、调试费用等），应包含在投标人的报价中，提供“承诺函”并加盖投标人公章。</w:t>
      </w:r>
    </w:p>
    <w:p w14:paraId="7AA9D1A1">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培训服务</w:t>
      </w:r>
    </w:p>
    <w:p w14:paraId="4FCF7B51">
      <w:pPr>
        <w:widowControl w:val="0"/>
        <w:snapToGrid w:val="0"/>
        <w:spacing w:before="0" w:beforeAutospacing="0" w:after="0" w:afterAutospacing="0" w:line="360" w:lineRule="auto"/>
        <w:ind w:firstLine="480"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投标人提供云服务操作手册，并按需为采购人提供必要的使用培训，至少提供以下内容：</w:t>
      </w:r>
    </w:p>
    <w:p w14:paraId="116D3992">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面向项目管理人员、系统管理人员的培训，确保此类人员能清晰地了解云平台的设计理念和设计方法，掌握云平台的整体结构，以及各类云资源的申请、审核、开通、回收等管理流程。</w:t>
      </w:r>
    </w:p>
    <w:p w14:paraId="3EFC8D8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面向系统维护人员的培训，确保此类人员能理解和掌握云平台的相关技术知识，能够熟练地维护云平台，快速定位和解决系统出现的问题，保证云平台服务期间正常运转，并持续提高运维服务质量。</w:t>
      </w:r>
    </w:p>
    <w:p w14:paraId="70CAEC89">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本单位人员的安全培训教育，确保工作人员符合岗位要求。</w:t>
      </w:r>
    </w:p>
    <w:p w14:paraId="75802D24">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云平台维护人员的定期业务培训和保密培训，重保前的业务培训和应急保障培训等。</w:t>
      </w:r>
    </w:p>
    <w:p w14:paraId="17F1C76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面向管理单位的培训，确保此类人员充分了解云平台的技术架构、服务水平等。</w:t>
      </w:r>
    </w:p>
    <w:p w14:paraId="30A7F870">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运维团队要求</w:t>
      </w:r>
    </w:p>
    <w:p w14:paraId="798E2C7C">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服务期内，投标人须设有7×24小时电话响应服务、具备运维团队，提供售后服务保障。团队成员应明确职责，架构清晰，岗位设置合理，且具备与本项目相关的项目经验。</w:t>
      </w:r>
    </w:p>
    <w:p w14:paraId="44AC0ED6">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投标人须提供项目经理1人、技术负责人1人以及相应实施人员，项目团队人员8人（含项目经理和技术负责人）及以上。为本项目提供服务。要求如下：</w:t>
      </w:r>
    </w:p>
    <w:p w14:paraId="0019E292">
      <w:pPr>
        <w:widowControl w:val="0"/>
        <w:autoSpaceDE w:val="0"/>
        <w:autoSpaceDN w:val="0"/>
        <w:adjustRightInd w:val="0"/>
        <w:snapToGrid w:val="0"/>
        <w:spacing w:line="360" w:lineRule="auto"/>
        <w:ind w:firstLine="3132" w:firstLineChars="1300"/>
        <w:jc w:val="left"/>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服务团队人员要求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14"/>
        <w:gridCol w:w="1352"/>
        <w:gridCol w:w="1962"/>
        <w:gridCol w:w="3532"/>
      </w:tblGrid>
      <w:tr w14:paraId="012C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9" w:type="dxa"/>
            <w:noWrap w:val="0"/>
            <w:vAlign w:val="center"/>
          </w:tcPr>
          <w:p w14:paraId="0DDCF4F4">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岗位</w:t>
            </w:r>
          </w:p>
        </w:tc>
        <w:tc>
          <w:tcPr>
            <w:tcW w:w="714" w:type="dxa"/>
            <w:noWrap w:val="0"/>
            <w:vAlign w:val="center"/>
          </w:tcPr>
          <w:p w14:paraId="41FE355B">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数量</w:t>
            </w:r>
          </w:p>
        </w:tc>
        <w:tc>
          <w:tcPr>
            <w:tcW w:w="1352" w:type="dxa"/>
            <w:noWrap w:val="0"/>
            <w:vAlign w:val="center"/>
          </w:tcPr>
          <w:p w14:paraId="7567BE84">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学历</w:t>
            </w:r>
          </w:p>
        </w:tc>
        <w:tc>
          <w:tcPr>
            <w:tcW w:w="1962" w:type="dxa"/>
            <w:noWrap w:val="0"/>
            <w:vAlign w:val="center"/>
          </w:tcPr>
          <w:p w14:paraId="2C4632C3">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工作经验</w:t>
            </w:r>
          </w:p>
        </w:tc>
        <w:tc>
          <w:tcPr>
            <w:tcW w:w="3532" w:type="dxa"/>
            <w:noWrap w:val="0"/>
            <w:vAlign w:val="center"/>
          </w:tcPr>
          <w:p w14:paraId="079F8A2E">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sz w:val="24"/>
                <w:highlight w:val="none"/>
              </w:rPr>
              <w:t>岗位须具备的上岗资格证等要求</w:t>
            </w:r>
          </w:p>
        </w:tc>
      </w:tr>
      <w:tr w14:paraId="49FD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959" w:type="dxa"/>
            <w:noWrap w:val="0"/>
            <w:vAlign w:val="center"/>
          </w:tcPr>
          <w:p w14:paraId="66578770">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项目</w:t>
            </w:r>
          </w:p>
          <w:p w14:paraId="4A37FD0A">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经理</w:t>
            </w:r>
          </w:p>
        </w:tc>
        <w:tc>
          <w:tcPr>
            <w:tcW w:w="714" w:type="dxa"/>
            <w:noWrap w:val="0"/>
            <w:vAlign w:val="center"/>
          </w:tcPr>
          <w:p w14:paraId="392B87EC">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1</w:t>
            </w:r>
          </w:p>
        </w:tc>
        <w:tc>
          <w:tcPr>
            <w:tcW w:w="1352" w:type="dxa"/>
            <w:noWrap w:val="0"/>
            <w:vAlign w:val="center"/>
          </w:tcPr>
          <w:p w14:paraId="026ABE11">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5DBC663C">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有10年及以上类似工作经验</w:t>
            </w:r>
          </w:p>
        </w:tc>
        <w:tc>
          <w:tcPr>
            <w:tcW w:w="3532" w:type="dxa"/>
            <w:noWrap w:val="0"/>
            <w:vAlign w:val="center"/>
          </w:tcPr>
          <w:p w14:paraId="4C679178">
            <w:pPr>
              <w:spacing w:line="360" w:lineRule="auto"/>
              <w:rPr>
                <w:rFonts w:hint="eastAsia" w:ascii="宋体" w:hAnsi="宋体" w:eastAsia="宋体" w:cs="宋体"/>
                <w:sz w:val="24"/>
                <w:highlight w:val="none"/>
                <w:lang w:bidi="ar"/>
              </w:rPr>
            </w:pPr>
            <w:r>
              <w:rPr>
                <w:rFonts w:hint="eastAsia" w:ascii="宋体" w:hAnsi="宋体" w:eastAsia="宋体" w:cs="宋体"/>
                <w:sz w:val="24"/>
                <w:highlight w:val="none"/>
                <w:lang w:bidi="ar"/>
              </w:rPr>
              <w:t>信息系统项目管理师</w:t>
            </w:r>
            <w:r>
              <w:rPr>
                <w:rFonts w:hint="eastAsia" w:ascii="宋体" w:hAnsi="宋体" w:eastAsia="宋体" w:cs="宋体"/>
                <w:bCs/>
                <w:sz w:val="24"/>
                <w:highlight w:val="none"/>
              </w:rPr>
              <w:t>（高级）</w:t>
            </w:r>
          </w:p>
        </w:tc>
      </w:tr>
      <w:tr w14:paraId="61D0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4F316423">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技术负责人</w:t>
            </w:r>
          </w:p>
        </w:tc>
        <w:tc>
          <w:tcPr>
            <w:tcW w:w="714" w:type="dxa"/>
            <w:noWrap w:val="0"/>
            <w:vAlign w:val="center"/>
          </w:tcPr>
          <w:p w14:paraId="370BA2CE">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1</w:t>
            </w:r>
          </w:p>
        </w:tc>
        <w:tc>
          <w:tcPr>
            <w:tcW w:w="1352" w:type="dxa"/>
            <w:noWrap w:val="0"/>
            <w:vAlign w:val="center"/>
          </w:tcPr>
          <w:p w14:paraId="27747A14">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46EEE13E">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有5年及以上类似工作经验</w:t>
            </w:r>
          </w:p>
        </w:tc>
        <w:tc>
          <w:tcPr>
            <w:tcW w:w="3532" w:type="dxa"/>
            <w:noWrap w:val="0"/>
            <w:vAlign w:val="center"/>
          </w:tcPr>
          <w:p w14:paraId="36570EF3">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注册信息安全工程师（CISE）</w:t>
            </w:r>
          </w:p>
        </w:tc>
      </w:tr>
      <w:tr w14:paraId="5C95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1747AAE1">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项目</w:t>
            </w:r>
          </w:p>
          <w:p w14:paraId="6DF155CA">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人员</w:t>
            </w:r>
          </w:p>
        </w:tc>
        <w:tc>
          <w:tcPr>
            <w:tcW w:w="714" w:type="dxa"/>
            <w:noWrap w:val="0"/>
            <w:vAlign w:val="center"/>
          </w:tcPr>
          <w:p w14:paraId="6DFDB68C">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6</w:t>
            </w:r>
          </w:p>
        </w:tc>
        <w:tc>
          <w:tcPr>
            <w:tcW w:w="1352" w:type="dxa"/>
            <w:noWrap w:val="0"/>
            <w:vAlign w:val="center"/>
          </w:tcPr>
          <w:p w14:paraId="61A4ED72">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4510B82D">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有5年及以上类似工作经验</w:t>
            </w:r>
          </w:p>
        </w:tc>
        <w:tc>
          <w:tcPr>
            <w:tcW w:w="3532" w:type="dxa"/>
            <w:noWrap w:val="0"/>
            <w:vAlign w:val="center"/>
          </w:tcPr>
          <w:p w14:paraId="1C8113E5">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信息系统项目管理师（高级）</w:t>
            </w:r>
          </w:p>
          <w:p w14:paraId="1F48CA83">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系统分析师证书</w:t>
            </w:r>
          </w:p>
          <w:p w14:paraId="3246BC0E">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系统架构设计师证书</w:t>
            </w:r>
          </w:p>
        </w:tc>
      </w:tr>
    </w:tbl>
    <w:p w14:paraId="49F0788F">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商务要求</w:t>
      </w:r>
    </w:p>
    <w:p w14:paraId="4523A4EA">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服务地点</w:t>
      </w:r>
    </w:p>
    <w:p w14:paraId="30A2B86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北京市政务云机房。</w:t>
      </w:r>
    </w:p>
    <w:p w14:paraId="128EE416">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服务期限</w:t>
      </w:r>
    </w:p>
    <w:p w14:paraId="1538B6A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自合同签订之日起12个月。</w:t>
      </w:r>
    </w:p>
    <w:p w14:paraId="4E7AEE63">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支付方式及条件</w:t>
      </w:r>
    </w:p>
    <w:p w14:paraId="08EAFCE3">
      <w:pPr>
        <w:adjustRightInd w:val="0"/>
        <w:snapToGrid w:val="0"/>
        <w:spacing w:line="360" w:lineRule="auto"/>
        <w:ind w:firstLine="480"/>
        <w:textAlignment w:val="baseline"/>
        <w:rPr>
          <w:rFonts w:hint="eastAsia" w:ascii="宋体" w:hAnsi="宋体" w:eastAsia="宋体" w:cs="宋体"/>
          <w:highlight w:val="none"/>
        </w:rPr>
      </w:pPr>
      <w:r>
        <w:rPr>
          <w:rFonts w:hint="eastAsia" w:ascii="宋体" w:hAnsi="宋体" w:eastAsia="宋体" w:cs="宋体"/>
          <w:kern w:val="0"/>
          <w:sz w:val="24"/>
          <w:highlight w:val="none"/>
        </w:rPr>
        <w:t>本项目服务期为12个月，每月服务费单价为合同总价款除以服务月数。2026年度累计支付10个月的服务费，具体支付方式为：本合同生效后7个工作日内，采购人支付中标人首笔10个服务月数的合同价款。项目执行期满，经采购人验收合格且中标人不存在违约情形的，采购人支付中标人剩余2个服务月数的合同价款。</w:t>
      </w:r>
    </w:p>
    <w:p w14:paraId="1B273474">
      <w:pPr>
        <w:keepNext/>
        <w:keepLines/>
        <w:numPr>
          <w:ilvl w:val="1"/>
          <w:numId w:val="1"/>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验收服务标准</w:t>
      </w:r>
    </w:p>
    <w:p w14:paraId="07879489">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服务绩效指标</w:t>
      </w:r>
    </w:p>
    <w:p w14:paraId="275E5CEA">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（1）云服务全年整体可用性≥99.9%；</w:t>
      </w:r>
    </w:p>
    <w:p w14:paraId="2E9CCCB7">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（2）故障响应率100%；</w:t>
      </w:r>
    </w:p>
    <w:p w14:paraId="0D5E7BB6">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（3）应急响应时间≤5分钟（重大事件1分钟内响应）。</w:t>
      </w:r>
    </w:p>
    <w:p w14:paraId="1C9B63F9">
      <w:pPr>
        <w:keepNext/>
        <w:keepLines/>
        <w:numPr>
          <w:ilvl w:val="2"/>
          <w:numId w:val="1"/>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项目验收要求</w:t>
      </w:r>
    </w:p>
    <w:p w14:paraId="2B02E630">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投标人所提供的北京市市级政务云基础资源服务应遵循客观、科学、合理的原则，符合《北京市市级政务云管理办法》的相关标准及要求。</w:t>
      </w:r>
    </w:p>
    <w:p w14:paraId="63CACF6A">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投标人所提供资源应满足采购文件规定的要求。保证合同期内系统安全稳定运行，不因硬件故障导致服务中断4小时及以上。</w:t>
      </w:r>
    </w:p>
    <w:p w14:paraId="512DBFD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投标人应于合同履约期满【10】日内向采购人提出终验申请，采购人应于收到投标人验收申请后7个工作日内对投标人服务进行终验。采购人在具备验收条件后7个工作日内未验收也未提出异议的视为完成验收。</w:t>
      </w:r>
    </w:p>
    <w:p w14:paraId="13D46A21">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投标人应在验收前向采购人提供详细验收申请、验收计划、验收方案、总结报告等材料，应当接受采购人或采购人聘请的专家对其工作成果进行的质量评审。</w:t>
      </w:r>
    </w:p>
    <w:p w14:paraId="50F07546">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保密要求</w:t>
      </w:r>
    </w:p>
    <w:p w14:paraId="783C6758">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露给第三方。</w:t>
      </w:r>
    </w:p>
    <w:p w14:paraId="772E31F1">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14:paraId="1CEF268E">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投标人保证将保密信息的披露范围严格控制在直接从事该项目工作且因工作需要有必要知悉保密信息的工作人员范围内，对投标人非从事该项目的人员一律严格保密。</w:t>
      </w:r>
    </w:p>
    <w:p w14:paraId="61F83B79">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14:paraId="66C6F0A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任何时间内，一经采购人提出要求，投标人应按照采购人指示在收到采购人书面通知后5日内将含有保密信息的所有文件或其他资料归还采购人，且不得擅自复制留存。</w:t>
      </w:r>
    </w:p>
    <w:p w14:paraId="5E966A6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非经采购人特别授权，采购人向投标人提供的任何保密信息并不包括授予投标人该保密信息包含的任何专利权、商标权、著作权、商业秘密或其他类型的知识产权。</w:t>
      </w:r>
    </w:p>
    <w:p w14:paraId="54970A58">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投标人承担上述保密义务的期限为合同有效期间及合同终止后2年，承担上述保密义务的责任主体为投标人（含投标人服务人员）。</w:t>
      </w:r>
    </w:p>
    <w:p w14:paraId="773F03AE">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14:paraId="6C1CDD9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投标人应当对获悉的政务数据、个人信息等予以保密，不得用于其他用途，不得泄露、出售或者非法向他人提供。</w:t>
      </w:r>
    </w:p>
    <w:p w14:paraId="621F3154">
      <w:pPr>
        <w:keepNext/>
        <w:keepLines/>
        <w:numPr>
          <w:ilvl w:val="0"/>
          <w:numId w:val="1"/>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政策性采购需求</w:t>
      </w:r>
    </w:p>
    <w:p w14:paraId="40BF9447">
      <w:pPr>
        <w:adjustRightInd w:val="0"/>
        <w:snapToGrid w:val="0"/>
        <w:spacing w:after="120"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388862C4">
      <w:pPr>
        <w:rPr>
          <w:rFonts w:ascii="Times New Roman" w:hAnsi="Times New Roman" w:eastAsia="宋体" w:cs="Times New Roman"/>
          <w:highlight w:val="none"/>
        </w:rPr>
      </w:pPr>
    </w:p>
    <w:p w14:paraId="141F7B60">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br w:type="page"/>
      </w:r>
    </w:p>
    <w:p w14:paraId="77C26D16">
      <w:pPr>
        <w:widowControl w:val="0"/>
        <w:tabs>
          <w:tab w:val="left" w:pos="1050"/>
          <w:tab w:val="right" w:leader="dot" w:pos="8937"/>
        </w:tabs>
        <w:spacing w:line="360" w:lineRule="auto"/>
        <w:jc w:val="both"/>
        <w:rPr>
          <w:rFonts w:hint="eastAsia" w:ascii="宋体" w:hAnsi="宋体" w:eastAsia="宋体" w:cs="宋体"/>
          <w:b/>
          <w:kern w:val="2"/>
          <w:sz w:val="24"/>
          <w:szCs w:val="24"/>
          <w:highlight w:val="none"/>
          <w:lang w:val="en-US" w:eastAsia="zh-CN" w:bidi="ar-SA"/>
        </w:rPr>
      </w:pPr>
    </w:p>
    <w:p w14:paraId="6B3AF4A9">
      <w:pPr>
        <w:spacing w:line="360" w:lineRule="auto"/>
        <w:jc w:val="center"/>
        <w:outlineLvl w:val="0"/>
        <w:rPr>
          <w:rFonts w:hint="eastAsia" w:ascii="宋体" w:hAnsi="宋体" w:eastAsia="宋体" w:cs="宋体"/>
          <w:b/>
          <w:bCs w:val="0"/>
          <w:sz w:val="28"/>
          <w:szCs w:val="28"/>
          <w:highlight w:val="none"/>
        </w:rPr>
      </w:pPr>
      <w:r>
        <w:rPr>
          <w:rFonts w:hint="eastAsia" w:ascii="宋体" w:hAnsi="宋体" w:eastAsia="宋体" w:cs="宋体"/>
          <w:b/>
          <w:bCs w:val="0"/>
          <w:sz w:val="28"/>
          <w:szCs w:val="28"/>
          <w:highlight w:val="none"/>
        </w:rPr>
        <w:t>北京市司法局2026年政务云租赁服务项目（第</w:t>
      </w:r>
      <w:r>
        <w:rPr>
          <w:rFonts w:hint="eastAsia" w:ascii="宋体" w:hAnsi="宋体" w:eastAsia="宋体" w:cs="宋体"/>
          <w:b/>
          <w:bCs w:val="0"/>
          <w:sz w:val="28"/>
          <w:szCs w:val="28"/>
          <w:highlight w:val="none"/>
          <w:lang w:val="en-US" w:eastAsia="zh-CN"/>
        </w:rPr>
        <w:t>二</w:t>
      </w:r>
      <w:r>
        <w:rPr>
          <w:rFonts w:hint="eastAsia" w:ascii="宋体" w:hAnsi="宋体" w:eastAsia="宋体" w:cs="宋体"/>
          <w:b/>
          <w:bCs w:val="0"/>
          <w:sz w:val="28"/>
          <w:szCs w:val="28"/>
          <w:highlight w:val="none"/>
        </w:rPr>
        <w:t>包）</w:t>
      </w:r>
    </w:p>
    <w:p w14:paraId="25276A6B">
      <w:pPr>
        <w:rPr>
          <w:rFonts w:ascii="Times New Roman" w:hAnsi="Times New Roman" w:eastAsia="宋体" w:cs="Times New Roman"/>
          <w:highlight w:val="none"/>
        </w:rPr>
      </w:pPr>
    </w:p>
    <w:p w14:paraId="190B7581">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lang w:val="en-US" w:eastAsia="zh-CN"/>
        </w:rPr>
      </w:pPr>
      <w:r>
        <w:rPr>
          <w:rFonts w:hint="eastAsia" w:ascii="宋体" w:hAnsi="宋体" w:eastAsia="宋体" w:cs="宋体"/>
          <w:b/>
          <w:kern w:val="44"/>
          <w:sz w:val="24"/>
          <w:highlight w:val="none"/>
          <w:lang w:val="en-US" w:eastAsia="zh-CN"/>
        </w:rPr>
        <w:t>、采购标的</w:t>
      </w:r>
    </w:p>
    <w:p w14:paraId="2B66C0AD">
      <w:pPr>
        <w:spacing w:line="360" w:lineRule="auto"/>
        <w:contextualSpacing/>
        <w:rPr>
          <w:rFonts w:hint="eastAsia" w:ascii="宋体" w:hAnsi="宋体" w:eastAsia="宋体" w:cs="宋体"/>
          <w:bCs/>
          <w:sz w:val="24"/>
          <w:highlight w:val="none"/>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43"/>
        <w:gridCol w:w="1702"/>
        <w:gridCol w:w="1045"/>
        <w:gridCol w:w="1901"/>
      </w:tblGrid>
      <w:tr w14:paraId="33D5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4A26B241">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序号</w:t>
            </w:r>
          </w:p>
        </w:tc>
        <w:tc>
          <w:tcPr>
            <w:tcW w:w="2343" w:type="dxa"/>
            <w:noWrap w:val="0"/>
            <w:vAlign w:val="center"/>
          </w:tcPr>
          <w:p w14:paraId="59A15217">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货物或服务名称</w:t>
            </w:r>
          </w:p>
        </w:tc>
        <w:tc>
          <w:tcPr>
            <w:tcW w:w="1702" w:type="dxa"/>
            <w:noWrap w:val="0"/>
            <w:vAlign w:val="center"/>
          </w:tcPr>
          <w:p w14:paraId="323F2ADE">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数量</w:t>
            </w:r>
          </w:p>
        </w:tc>
        <w:tc>
          <w:tcPr>
            <w:tcW w:w="1045" w:type="dxa"/>
            <w:noWrap w:val="0"/>
            <w:vAlign w:val="center"/>
          </w:tcPr>
          <w:p w14:paraId="23E5336A">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单位</w:t>
            </w:r>
          </w:p>
        </w:tc>
        <w:tc>
          <w:tcPr>
            <w:tcW w:w="1901" w:type="dxa"/>
            <w:noWrap w:val="0"/>
            <w:vAlign w:val="center"/>
          </w:tcPr>
          <w:p w14:paraId="30C3A6A4">
            <w:pPr>
              <w:widowControl w:val="0"/>
              <w:tabs>
                <w:tab w:val="left" w:pos="0"/>
              </w:tabs>
              <w:jc w:val="cente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最高限价（万元）</w:t>
            </w:r>
          </w:p>
        </w:tc>
      </w:tr>
      <w:tr w14:paraId="1FBF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21E5E261">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2343" w:type="dxa"/>
            <w:noWrap w:val="0"/>
            <w:vAlign w:val="center"/>
          </w:tcPr>
          <w:p w14:paraId="4814475C">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政务云服务二包</w:t>
            </w:r>
          </w:p>
        </w:tc>
        <w:tc>
          <w:tcPr>
            <w:tcW w:w="1702" w:type="dxa"/>
            <w:noWrap w:val="0"/>
            <w:vAlign w:val="center"/>
          </w:tcPr>
          <w:p w14:paraId="6299CEDC">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1045" w:type="dxa"/>
            <w:noWrap w:val="0"/>
            <w:vAlign w:val="center"/>
          </w:tcPr>
          <w:p w14:paraId="358F6064">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项</w:t>
            </w:r>
          </w:p>
        </w:tc>
        <w:tc>
          <w:tcPr>
            <w:tcW w:w="1901" w:type="dxa"/>
            <w:noWrap w:val="0"/>
            <w:vAlign w:val="center"/>
          </w:tcPr>
          <w:p w14:paraId="057D6361">
            <w:pPr>
              <w:spacing w:line="360" w:lineRule="auto"/>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13.437888</w:t>
            </w:r>
          </w:p>
        </w:tc>
      </w:tr>
    </w:tbl>
    <w:p w14:paraId="71D7FFBC">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lang w:val="en-US" w:eastAsia="zh-CN"/>
        </w:rPr>
      </w:pPr>
      <w:r>
        <w:rPr>
          <w:rFonts w:hint="eastAsia" w:ascii="宋体" w:hAnsi="宋体" w:eastAsia="宋体" w:cs="宋体"/>
          <w:b/>
          <w:kern w:val="44"/>
          <w:sz w:val="24"/>
          <w:highlight w:val="none"/>
          <w:lang w:val="en-US" w:eastAsia="zh-CN"/>
        </w:rPr>
        <w:t>、项目背景</w:t>
      </w:r>
    </w:p>
    <w:p w14:paraId="47AEEE1B">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北京市司法局拟租赁北京市级政务云服务，为新政府会计制度下内控管理信息系统、队伍管理</w:t>
      </w:r>
      <w:r>
        <w:rPr>
          <w:rFonts w:hint="eastAsia" w:ascii="宋体" w:hAnsi="宋体" w:eastAsia="宋体" w:cs="宋体"/>
          <w:kern w:val="0"/>
          <w:sz w:val="24"/>
          <w:highlight w:val="none"/>
          <w:lang w:val="en-US" w:eastAsia="zh-CN"/>
        </w:rPr>
        <w:t>系统</w:t>
      </w:r>
      <w:r>
        <w:rPr>
          <w:rFonts w:hint="eastAsia" w:ascii="宋体" w:hAnsi="宋体" w:eastAsia="宋体" w:cs="宋体"/>
          <w:kern w:val="0"/>
          <w:sz w:val="24"/>
          <w:highlight w:val="none"/>
        </w:rPr>
        <w:t>、人民陪审员</w:t>
      </w:r>
      <w:r>
        <w:rPr>
          <w:rFonts w:hint="eastAsia" w:ascii="宋体" w:hAnsi="宋体" w:eastAsia="宋体" w:cs="宋体"/>
          <w:kern w:val="0"/>
          <w:sz w:val="24"/>
          <w:highlight w:val="none"/>
          <w:lang w:val="en-US" w:eastAsia="zh-CN"/>
        </w:rPr>
        <w:t>选</w:t>
      </w:r>
      <w:r>
        <w:rPr>
          <w:rFonts w:hint="eastAsia" w:ascii="宋体" w:hAnsi="宋体" w:eastAsia="宋体" w:cs="宋体"/>
          <w:kern w:val="0"/>
          <w:sz w:val="24"/>
          <w:highlight w:val="none"/>
        </w:rPr>
        <w:t>任系统、</w:t>
      </w:r>
      <w:r>
        <w:rPr>
          <w:rFonts w:hint="eastAsia" w:ascii="宋体" w:hAnsi="宋体" w:eastAsia="宋体" w:cs="宋体"/>
          <w:kern w:val="0"/>
          <w:sz w:val="24"/>
          <w:highlight w:val="none"/>
          <w:lang w:val="en-US" w:eastAsia="zh-CN"/>
        </w:rPr>
        <w:t>政务综合管理平台（</w:t>
      </w:r>
      <w:r>
        <w:rPr>
          <w:rFonts w:hint="eastAsia" w:ascii="宋体" w:hAnsi="宋体" w:eastAsia="宋体" w:cs="宋体"/>
          <w:kern w:val="0"/>
          <w:sz w:val="24"/>
          <w:highlight w:val="none"/>
        </w:rPr>
        <w:t>信访管理系统</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，服务项包含计算服务（云主机服务）、存储服务（高性能存储）、网络服务（远程接入服务、VPN服务）。</w:t>
      </w:r>
    </w:p>
    <w:p w14:paraId="493481E9">
      <w:pPr>
        <w:rPr>
          <w:rFonts w:hint="eastAsia" w:ascii="宋体" w:hAnsi="宋体" w:eastAsia="宋体" w:cs="宋体"/>
          <w:highlight w:val="none"/>
        </w:rPr>
      </w:pPr>
    </w:p>
    <w:p w14:paraId="797C6D3A">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技术参数要求</w:t>
      </w:r>
    </w:p>
    <w:p w14:paraId="64BF33AB">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政务云基础服务</w:t>
      </w:r>
    </w:p>
    <w:tbl>
      <w:tblPr>
        <w:tblStyle w:val="5"/>
        <w:tblW w:w="0" w:type="auto"/>
        <w:tblInd w:w="0" w:type="dxa"/>
        <w:tblLayout w:type="fixed"/>
        <w:tblCellMar>
          <w:top w:w="0" w:type="dxa"/>
          <w:left w:w="108" w:type="dxa"/>
          <w:bottom w:w="0" w:type="dxa"/>
          <w:right w:w="108" w:type="dxa"/>
        </w:tblCellMar>
      </w:tblPr>
      <w:tblGrid>
        <w:gridCol w:w="807"/>
        <w:gridCol w:w="1512"/>
        <w:gridCol w:w="2489"/>
        <w:gridCol w:w="784"/>
        <w:gridCol w:w="841"/>
        <w:gridCol w:w="1146"/>
        <w:gridCol w:w="939"/>
      </w:tblGrid>
      <w:tr w14:paraId="5533A891">
        <w:tblPrEx>
          <w:tblCellMar>
            <w:top w:w="0" w:type="dxa"/>
            <w:left w:w="108" w:type="dxa"/>
            <w:bottom w:w="0" w:type="dxa"/>
            <w:right w:w="108" w:type="dxa"/>
          </w:tblCellMar>
        </w:tblPrEx>
        <w:trPr>
          <w:trHeight w:val="630"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14:paraId="0259580F">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服务类别</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5BA13E4">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服务子类</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2A0CA58B">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服务项</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C42E98E">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计价单位</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38EC368">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报价单位</w:t>
            </w: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512E09B5">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数量 </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0FDD5743">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期限（月） </w:t>
            </w:r>
          </w:p>
        </w:tc>
      </w:tr>
      <w:tr w14:paraId="7DA28827">
        <w:tblPrEx>
          <w:tblCellMar>
            <w:top w:w="0" w:type="dxa"/>
            <w:left w:w="108" w:type="dxa"/>
            <w:bottom w:w="0" w:type="dxa"/>
            <w:right w:w="108" w:type="dxa"/>
          </w:tblCellMar>
        </w:tblPrEx>
        <w:trPr>
          <w:trHeight w:val="270" w:hRule="atLeast"/>
        </w:trPr>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64FCDAFC">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计算服务</w:t>
            </w:r>
          </w:p>
        </w:tc>
        <w:tc>
          <w:tcPr>
            <w:tcW w:w="1512" w:type="dxa"/>
            <w:vMerge w:val="restart"/>
            <w:tcBorders>
              <w:top w:val="single" w:color="000000" w:sz="4" w:space="0"/>
              <w:left w:val="single" w:color="000000" w:sz="4" w:space="0"/>
              <w:bottom w:val="single" w:color="000000" w:sz="4" w:space="0"/>
              <w:right w:val="single" w:color="000000" w:sz="4" w:space="0"/>
            </w:tcBorders>
            <w:noWrap w:val="0"/>
            <w:vAlign w:val="center"/>
          </w:tcPr>
          <w:p w14:paraId="54C5C6C4">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平台云主机服务</w:t>
            </w: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59AF320B">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vCPU（主频不低于2.4GHz）</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0C1C43D6">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 CPU</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2FC23381">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3DC7ABE0">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60</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970B0B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12</w:t>
            </w:r>
          </w:p>
        </w:tc>
      </w:tr>
      <w:tr w14:paraId="05446D01">
        <w:tblPrEx>
          <w:tblCellMar>
            <w:top w:w="0" w:type="dxa"/>
            <w:left w:w="108" w:type="dxa"/>
            <w:bottom w:w="0" w:type="dxa"/>
            <w:right w:w="108" w:type="dxa"/>
          </w:tblCellMar>
        </w:tblPrEx>
        <w:trPr>
          <w:trHeight w:val="27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9F316">
            <w:pPr>
              <w:widowControl/>
              <w:spacing w:line="360" w:lineRule="auto"/>
              <w:jc w:val="center"/>
              <w:rPr>
                <w:rFonts w:hint="eastAsia" w:ascii="宋体" w:hAnsi="宋体" w:eastAsia="宋体" w:cs="宋体"/>
                <w:color w:val="000000"/>
                <w:sz w:val="24"/>
                <w:highlight w:val="none"/>
              </w:rPr>
            </w:pPr>
          </w:p>
        </w:tc>
        <w:tc>
          <w:tcPr>
            <w:tcW w:w="15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FA946">
            <w:pPr>
              <w:widowControl/>
              <w:spacing w:line="360" w:lineRule="auto"/>
              <w:jc w:val="center"/>
              <w:rPr>
                <w:rFonts w:hint="eastAsia" w:ascii="宋体" w:hAnsi="宋体" w:eastAsia="宋体" w:cs="宋体"/>
                <w:color w:val="000000"/>
                <w:sz w:val="24"/>
                <w:highlight w:val="none"/>
              </w:rPr>
            </w:pPr>
          </w:p>
        </w:tc>
        <w:tc>
          <w:tcPr>
            <w:tcW w:w="2489" w:type="dxa"/>
            <w:tcBorders>
              <w:top w:val="single" w:color="000000" w:sz="4" w:space="0"/>
              <w:left w:val="single" w:color="000000" w:sz="4" w:space="0"/>
              <w:bottom w:val="single" w:color="000000" w:sz="4" w:space="0"/>
              <w:right w:val="single" w:color="000000" w:sz="4" w:space="0"/>
            </w:tcBorders>
            <w:noWrap w:val="0"/>
            <w:vAlign w:val="center"/>
          </w:tcPr>
          <w:p w14:paraId="14A3A63E">
            <w:pPr>
              <w:widowControl/>
              <w:spacing w:line="360" w:lineRule="auto"/>
              <w:jc w:val="left"/>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内存</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0A8BE709">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 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58E75797">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D83531C">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173</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9247570">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12</w:t>
            </w:r>
          </w:p>
        </w:tc>
      </w:tr>
      <w:tr w14:paraId="3A5323E9">
        <w:tblPrEx>
          <w:tblCellMar>
            <w:top w:w="0" w:type="dxa"/>
            <w:left w:w="108" w:type="dxa"/>
            <w:bottom w:w="0" w:type="dxa"/>
            <w:right w:w="108" w:type="dxa"/>
          </w:tblCellMar>
        </w:tblPrEx>
        <w:trPr>
          <w:trHeight w:val="270"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14:paraId="62CF707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存储服务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4341C40">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高性能存储</w:t>
            </w:r>
          </w:p>
        </w:tc>
        <w:tc>
          <w:tcPr>
            <w:tcW w:w="2489" w:type="dxa"/>
            <w:tcBorders>
              <w:top w:val="single" w:color="000000" w:sz="4" w:space="0"/>
              <w:left w:val="single" w:color="000000" w:sz="4" w:space="0"/>
              <w:bottom w:val="single" w:color="000000" w:sz="4" w:space="0"/>
              <w:right w:val="single" w:color="000000" w:sz="4" w:space="0"/>
            </w:tcBorders>
            <w:noWrap w:val="0"/>
            <w:vAlign w:val="top"/>
          </w:tcPr>
          <w:p w14:paraId="2DA0D96C">
            <w:pPr>
              <w:widowControl/>
              <w:spacing w:line="360" w:lineRule="auto"/>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高性能存储</w:t>
            </w:r>
          </w:p>
          <w:p w14:paraId="1A841CA3">
            <w:pPr>
              <w:widowControl/>
              <w:spacing w:line="360" w:lineRule="auto"/>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 xml:space="preserve">（单盘技术指标：单盘IOPS </w:t>
            </w:r>
            <w:r>
              <w:rPr>
                <w:rFonts w:hint="eastAsia" w:ascii="宋体" w:hAnsi="宋体" w:eastAsia="宋体" w:cs="宋体"/>
                <w:color w:val="000000"/>
                <w:kern w:val="0"/>
                <w:sz w:val="24"/>
                <w:highlight w:val="none"/>
                <w:lang w:val="en-US" w:eastAsia="zh-CN" w:bidi="ar"/>
              </w:rPr>
              <w:t>3</w:t>
            </w:r>
            <w:r>
              <w:rPr>
                <w:rFonts w:hint="eastAsia" w:ascii="宋体" w:hAnsi="宋体" w:eastAsia="宋体" w:cs="宋体"/>
                <w:color w:val="000000"/>
                <w:kern w:val="0"/>
                <w:sz w:val="24"/>
                <w:highlight w:val="none"/>
                <w:lang w:bidi="ar"/>
              </w:rPr>
              <w:t>000-2</w:t>
            </w:r>
            <w:r>
              <w:rPr>
                <w:rFonts w:hint="eastAsia" w:ascii="宋体" w:hAnsi="宋体" w:eastAsia="宋体" w:cs="宋体"/>
                <w:color w:val="000000"/>
                <w:kern w:val="0"/>
                <w:sz w:val="24"/>
                <w:highlight w:val="none"/>
                <w:lang w:val="en-US" w:eastAsia="zh-CN" w:bidi="ar"/>
              </w:rPr>
              <w:t>0</w:t>
            </w:r>
            <w:r>
              <w:rPr>
                <w:rFonts w:hint="eastAsia" w:ascii="宋体" w:hAnsi="宋体" w:eastAsia="宋体" w:cs="宋体"/>
                <w:color w:val="000000"/>
                <w:kern w:val="0"/>
                <w:sz w:val="24"/>
                <w:highlight w:val="none"/>
                <w:lang w:bidi="ar"/>
              </w:rPr>
              <w:t>000）</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B7DBE90">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 GB</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67BA467">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079E83ED">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9424</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AA5AD8A">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12</w:t>
            </w:r>
          </w:p>
        </w:tc>
      </w:tr>
      <w:tr w14:paraId="7F294D80">
        <w:tblPrEx>
          <w:tblCellMar>
            <w:top w:w="0" w:type="dxa"/>
            <w:left w:w="108" w:type="dxa"/>
            <w:bottom w:w="0" w:type="dxa"/>
            <w:right w:w="108" w:type="dxa"/>
          </w:tblCellMar>
        </w:tblPrEx>
        <w:trPr>
          <w:trHeight w:val="270" w:hRule="atLeast"/>
        </w:trPr>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05A416DD">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网络服务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0D87288">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远程接入服务</w:t>
            </w:r>
          </w:p>
        </w:tc>
        <w:tc>
          <w:tcPr>
            <w:tcW w:w="2489" w:type="dxa"/>
            <w:tcBorders>
              <w:top w:val="single" w:color="000000" w:sz="4" w:space="0"/>
              <w:left w:val="single" w:color="000000" w:sz="4" w:space="0"/>
              <w:bottom w:val="single" w:color="000000" w:sz="4" w:space="0"/>
              <w:right w:val="single" w:color="000000" w:sz="4" w:space="0"/>
            </w:tcBorders>
            <w:noWrap w:val="0"/>
            <w:vAlign w:val="top"/>
          </w:tcPr>
          <w:p w14:paraId="092A89FD">
            <w:pPr>
              <w:widowControl/>
              <w:spacing w:line="360" w:lineRule="auto"/>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每个账号结合身份验通过VPN远程接入堡垒机进行维护（提供1个账号）</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30829D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1账号</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7F66FF9B">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1A9FB72F">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FBE9867">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12</w:t>
            </w:r>
          </w:p>
        </w:tc>
      </w:tr>
      <w:tr w14:paraId="59D03522">
        <w:tblPrEx>
          <w:tblCellMar>
            <w:top w:w="0" w:type="dxa"/>
            <w:left w:w="108" w:type="dxa"/>
            <w:bottom w:w="0" w:type="dxa"/>
            <w:right w:w="108" w:type="dxa"/>
          </w:tblCellMar>
        </w:tblPrEx>
        <w:trPr>
          <w:trHeight w:val="510" w:hRule="atLeast"/>
        </w:trPr>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B327C3">
            <w:pPr>
              <w:widowControl/>
              <w:spacing w:line="360" w:lineRule="auto"/>
              <w:jc w:val="center"/>
              <w:rPr>
                <w:rFonts w:hint="eastAsia" w:ascii="宋体" w:hAnsi="宋体" w:eastAsia="宋体" w:cs="宋体"/>
                <w:color w:val="000000"/>
                <w:sz w:val="24"/>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AA62223">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VPN服务</w:t>
            </w:r>
          </w:p>
        </w:tc>
        <w:tc>
          <w:tcPr>
            <w:tcW w:w="2489" w:type="dxa"/>
            <w:tcBorders>
              <w:top w:val="single" w:color="000000" w:sz="4" w:space="0"/>
              <w:left w:val="single" w:color="000000" w:sz="4" w:space="0"/>
              <w:bottom w:val="single" w:color="000000" w:sz="4" w:space="0"/>
              <w:right w:val="single" w:color="000000" w:sz="4" w:space="0"/>
            </w:tcBorders>
            <w:noWrap w:val="0"/>
            <w:vAlign w:val="top"/>
          </w:tcPr>
          <w:p w14:paraId="3F5DAD37">
            <w:pPr>
              <w:widowControl/>
              <w:spacing w:line="360" w:lineRule="auto"/>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SSL VPN接入，用户通过SSL VPN访问业务系统。</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07AB3B93">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1套</w:t>
            </w:r>
          </w:p>
        </w:tc>
        <w:tc>
          <w:tcPr>
            <w:tcW w:w="841" w:type="dxa"/>
            <w:tcBorders>
              <w:top w:val="single" w:color="000000" w:sz="4" w:space="0"/>
              <w:left w:val="single" w:color="000000" w:sz="4" w:space="0"/>
              <w:bottom w:val="single" w:color="000000" w:sz="4" w:space="0"/>
              <w:right w:val="single" w:color="000000" w:sz="4" w:space="0"/>
            </w:tcBorders>
            <w:noWrap w:val="0"/>
            <w:vAlign w:val="center"/>
          </w:tcPr>
          <w:p w14:paraId="1994E752">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元/月</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6DD4A715">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1769FA6F">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12</w:t>
            </w:r>
          </w:p>
        </w:tc>
      </w:tr>
    </w:tbl>
    <w:p w14:paraId="6231B8B9">
      <w:pPr>
        <w:widowControl w:val="0"/>
        <w:tabs>
          <w:tab w:val="left" w:pos="1050"/>
          <w:tab w:val="right" w:leader="dot" w:pos="8937"/>
        </w:tabs>
        <w:spacing w:line="360" w:lineRule="auto"/>
        <w:jc w:val="both"/>
        <w:rPr>
          <w:rFonts w:hint="eastAsia" w:ascii="宋体" w:hAnsi="宋体" w:eastAsia="宋体" w:cs="宋体"/>
          <w:b/>
          <w:kern w:val="2"/>
          <w:sz w:val="24"/>
          <w:szCs w:val="24"/>
          <w:highlight w:val="none"/>
          <w:lang w:val="en-US" w:eastAsia="zh-CN" w:bidi="ar-SA"/>
        </w:rPr>
      </w:pPr>
    </w:p>
    <w:p w14:paraId="1D585520">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采购目标</w:t>
      </w:r>
    </w:p>
    <w:p w14:paraId="53D11EC2">
      <w:pPr>
        <w:spacing w:after="120" w:line="360" w:lineRule="auto"/>
        <w:ind w:firstLine="480" w:firstLineChars="200"/>
        <w:rPr>
          <w:rFonts w:hint="eastAsia" w:ascii="宋体" w:hAnsi="宋体" w:eastAsia="宋体" w:cs="宋体"/>
          <w:kern w:val="0"/>
          <w:sz w:val="24"/>
          <w:highlight w:val="none"/>
        </w:rPr>
      </w:pPr>
      <w:r>
        <w:rPr>
          <w:rFonts w:hint="eastAsia" w:ascii="宋体" w:hAnsi="宋体" w:eastAsia="宋体" w:cs="宋体"/>
          <w:bCs/>
          <w:sz w:val="24"/>
          <w:highlight w:val="none"/>
        </w:rPr>
        <w:t>本项目的总体目标是通过租用政务云平台</w:t>
      </w:r>
      <w:r>
        <w:rPr>
          <w:rFonts w:hint="eastAsia" w:ascii="宋体" w:hAnsi="宋体" w:eastAsia="宋体" w:cs="宋体"/>
          <w:kern w:val="0"/>
          <w:sz w:val="24"/>
          <w:highlight w:val="none"/>
        </w:rPr>
        <w:t>计算服务、存储服务、网络服务等。提供全年7×24小时运维保障，做好重大活动和节假日应急值守保障服务，确保各信息系统在政务云环境中安全稳定运行。</w:t>
      </w:r>
    </w:p>
    <w:p w14:paraId="5957C831">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服务内容与服务标准</w:t>
      </w:r>
    </w:p>
    <w:p w14:paraId="2109D7E5">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计算服务</w:t>
      </w:r>
    </w:p>
    <w:p w14:paraId="499C192B">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5D3A677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云主机服务，包括：云主机服务，按需求对CPU及内存进行动态调整，实现合理的计算资源配置。在提供政务云主机的服务过程中做好与采购人和对应项目应用开发厂商的协调沟通工作。</w:t>
      </w:r>
    </w:p>
    <w:p w14:paraId="0376750F">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41545FFF">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云主机应实现物理机的全部功能，如具有CPU、存储、内存、网卡等资源，可以指定单独的IP地址等；</w:t>
      </w:r>
    </w:p>
    <w:p w14:paraId="3836EE9E">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支持存储裸设备映射（RDM），可以将存储设备上的LUN直接映射给虚拟机使用，并且支持SCSI指令使用透传模式或者非透传模式；</w:t>
      </w:r>
    </w:p>
    <w:p w14:paraId="099BCC80">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应满足云主机之间、CPU之间隔离保护要求；</w:t>
      </w:r>
    </w:p>
    <w:p w14:paraId="576343D1">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支持资源的动态调整，根据业务的负载情况实现业务系统虚拟机的动态扩展和回收；</w:t>
      </w:r>
    </w:p>
    <w:p w14:paraId="783AC33D">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支持在线进行虚拟化软件版本升级，不同版本之间可以相互兼容；</w:t>
      </w:r>
    </w:p>
    <w:p w14:paraId="0C290CB9">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支持异构虚拟化能力，如KVM等多种虚拟化技术；</w:t>
      </w:r>
    </w:p>
    <w:p w14:paraId="6440F110">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云主机出现故障时，支持自动重启或者迁移，保障业务连续性；</w:t>
      </w:r>
    </w:p>
    <w:p w14:paraId="09814B55">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支持虚拟机热迁移，可在不同代CPU资源池中进行虚拟机热迁移；</w:t>
      </w:r>
    </w:p>
    <w:p w14:paraId="3A5F2422">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云计算资源性能要求包括但不限于如下：</w:t>
      </w:r>
    </w:p>
    <w:p w14:paraId="03964786">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（1）物理服务器CPU主频应不低于2.40GHz；</w:t>
      </w:r>
    </w:p>
    <w:p w14:paraId="7AD8E1AC">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（2）主机内存硬件配置不低于DDR4-2400MHz；</w:t>
      </w:r>
    </w:p>
    <w:p w14:paraId="0231B1D9">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（3）可用性不低于99.99%。</w:t>
      </w:r>
    </w:p>
    <w:p w14:paraId="514F575D">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存储服务</w:t>
      </w:r>
    </w:p>
    <w:p w14:paraId="0C81E217">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2F60F23C">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按照采购人的具体需求，提供存储服务，包括：普通性能存储、高性能存储服务，实现合理的存储资源配置。在提供政务云存储的服务过程中需做好采购人和对应项目应用开发厂商的协调沟通工作。</w:t>
      </w:r>
    </w:p>
    <w:p w14:paraId="6C14C146">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45E0B3C7">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支持结构化数据、半结构化数据和非结构化数据等多种数据类型存储；</w:t>
      </w:r>
    </w:p>
    <w:p w14:paraId="7A90086D">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支持块存储、对象存储、文件存储等多种存储方法，满足数据备份、视频存储等不同应用场景使用要求；</w:t>
      </w:r>
    </w:p>
    <w:p w14:paraId="14C5C9B9">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支持存储资源扩展能力，例如：PB级扩展；</w:t>
      </w:r>
    </w:p>
    <w:p w14:paraId="7DE46435">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支持磁盘容错技术，如磁盘故障后节点的自动平衡和重构、硬盘故障 检测和处理、集群节点出现单盘故障时不影响业务运行等；</w:t>
      </w:r>
    </w:p>
    <w:p w14:paraId="19E02B92">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存储资源性能要求包括但不限于如下：</w:t>
      </w:r>
    </w:p>
    <w:p w14:paraId="2B70561F">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(1)吞吐量：高性能存储系统的读写带宽应不低于1000MB/s,IOPS不低于20000。</w:t>
      </w:r>
    </w:p>
    <w:p w14:paraId="39FA993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(2)支持高可靠性，可靠性不低于99.9999%%。</w:t>
      </w:r>
    </w:p>
    <w:p w14:paraId="183E62A4">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网络服务</w:t>
      </w:r>
    </w:p>
    <w:p w14:paraId="40B2A8F8">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706CED95">
      <w:pPr>
        <w:keepNext/>
        <w:keepLines/>
        <w:numPr>
          <w:ilvl w:val="3"/>
          <w:numId w:val="2"/>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远程接入服务</w:t>
      </w:r>
    </w:p>
    <w:p w14:paraId="7ADE97B1">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提供远程接入服务，每个账号结合身份验证接入堡垒机维护应用系统。</w:t>
      </w:r>
    </w:p>
    <w:p w14:paraId="51BF96A8">
      <w:pPr>
        <w:keepNext/>
        <w:keepLines/>
        <w:numPr>
          <w:ilvl w:val="3"/>
          <w:numId w:val="2"/>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VPN服务</w:t>
      </w:r>
    </w:p>
    <w:p w14:paraId="6D12B218">
      <w:pPr>
        <w:adjustRightInd w:val="0"/>
        <w:snapToGrid w:val="0"/>
        <w:spacing w:line="360" w:lineRule="auto"/>
        <w:ind w:firstLine="480"/>
        <w:textAlignment w:val="baseline"/>
        <w:rPr>
          <w:rFonts w:hint="eastAsia" w:ascii="宋体" w:hAnsi="宋体" w:eastAsia="宋体" w:cs="宋体"/>
          <w:kern w:val="0"/>
          <w:sz w:val="24"/>
          <w:highlight w:val="none"/>
          <w:lang w:eastAsia="zh-CN"/>
        </w:rPr>
      </w:pPr>
      <w:r>
        <w:rPr>
          <w:rFonts w:hint="eastAsia" w:ascii="宋体" w:hAnsi="宋体" w:eastAsia="宋体" w:cs="宋体"/>
          <w:kern w:val="0"/>
          <w:sz w:val="24"/>
          <w:highlight w:val="none"/>
        </w:rPr>
        <w:t>提供VPN服务，</w:t>
      </w:r>
      <w:r>
        <w:rPr>
          <w:rFonts w:hint="eastAsia" w:ascii="宋体" w:hAnsi="宋体" w:eastAsia="宋体" w:cs="Times New Roman"/>
          <w:color w:val="000000"/>
          <w:sz w:val="24"/>
          <w:highlight w:val="none"/>
        </w:rPr>
        <w:t>SSL VPN接入，用户通过SSL VPN访问业务系统</w:t>
      </w:r>
      <w:r>
        <w:rPr>
          <w:rFonts w:hint="eastAsia" w:ascii="宋体" w:hAnsi="宋体" w:eastAsia="宋体" w:cs="Times New Roman"/>
          <w:color w:val="000000"/>
          <w:sz w:val="24"/>
          <w:highlight w:val="none"/>
          <w:lang w:eastAsia="zh-CN"/>
        </w:rPr>
        <w:t>。</w:t>
      </w:r>
    </w:p>
    <w:p w14:paraId="1CFEE9C0">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19015A5B">
      <w:pPr>
        <w:keepNext/>
        <w:keepLines/>
        <w:numPr>
          <w:ilvl w:val="3"/>
          <w:numId w:val="2"/>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云内骨干线路带宽不低于10Gb/s；</w:t>
      </w:r>
    </w:p>
    <w:p w14:paraId="62DA9415">
      <w:pPr>
        <w:keepNext/>
        <w:keepLines/>
        <w:numPr>
          <w:ilvl w:val="3"/>
          <w:numId w:val="2"/>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服务器业务带宽不低于1Gb/s；</w:t>
      </w:r>
    </w:p>
    <w:p w14:paraId="1DF59979">
      <w:pPr>
        <w:keepNext/>
        <w:keepLines/>
        <w:numPr>
          <w:ilvl w:val="3"/>
          <w:numId w:val="2"/>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平均可用性不低于99.9%。</w:t>
      </w:r>
    </w:p>
    <w:p w14:paraId="6E398F1B">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运维服务</w:t>
      </w:r>
    </w:p>
    <w:p w14:paraId="108AAE68">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2E856FD2">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负责机房环境资源、云平台硬件资产、虚拟化资产的管理工作；</w:t>
      </w:r>
    </w:p>
    <w:p w14:paraId="719CB4E3">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信息系统入云、上线、变更、退出等各阶段的备案与信息变更等工作；</w:t>
      </w:r>
    </w:p>
    <w:p w14:paraId="620CB860">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执行云平台变更申请、审批流程；</w:t>
      </w:r>
    </w:p>
    <w:p w14:paraId="5A7EA538">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云平台网络资源管理，针对内部地址使用情况、云平台专线接入情况、政务外网资源使用情况等做好统计工作；</w:t>
      </w:r>
    </w:p>
    <w:p w14:paraId="33D2E3E9">
      <w:pPr>
        <w:keepNext/>
        <w:keepLines/>
        <w:numPr>
          <w:ilvl w:val="3"/>
          <w:numId w:val="2"/>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服务期内，投标人须配备运维团队，提供可靠的售后服务保障。投标人针对采购人要求的云平台运维服务相关内容，需指定专业技术能力较强的工程师，根据采购人要求配合开展相关维护服务。</w:t>
      </w:r>
    </w:p>
    <w:p w14:paraId="2B1B69C3">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2932CEF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依据《北京市市级政务云管理办法》，投标人应当提供高效的系统维护服务，有效防范系统风险，系统对应负责人7*24 小时电话畅通，能够在系统发 生除宕机外的其他故障问题时，能够协调人力资源在1小时内到达政务云机房现场提供服务。系统发生宕机问题时，投标人应在30分钟内响应，能够协调人力资源在1小时内到达运维现场定位、排除故障，在1个小时之内使系统恢复正常，故障处理完毕后提供相关系统宕机报告。</w:t>
      </w:r>
    </w:p>
    <w:p w14:paraId="6CB5EF9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为保障业务高峰期内系统平稳运行，缓解系统高峰期内因业务发生量增大而带来系统压力风险，要求投标人根据业务周期性特点，加大运维保障力度，保证在业务高峰期内系统平稳运行。</w:t>
      </w:r>
    </w:p>
    <w:p w14:paraId="6716130B">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重点保障时期重要信息系统云主机资源调整时间不超过1小时，针对重点保障时期的重要信息系统重要云主机，投标人应按采购人要求进行实时监控，超过预警阈值时主动上调云资源，并第一时间通知采购人进行相应操作，确保系统平稳运行。</w:t>
      </w:r>
    </w:p>
    <w:p w14:paraId="6F00E766">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按照国家、北京市相关规定和信息安全技术标准及规范要求,落实安全保障措施,通过信息安全测评机构的测评和政务云安全审查。</w:t>
      </w:r>
    </w:p>
    <w:p w14:paraId="45FB44D0">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除不可抗力或计划内维护作业造成的政务云服务中断外,政务云实行24小时不间断运行。</w:t>
      </w:r>
    </w:p>
    <w:p w14:paraId="2DB476D1">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迁移服务</w:t>
      </w:r>
    </w:p>
    <w:p w14:paraId="7E4AE1BD">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3F608E8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投标人需提供整体的业务上云迁移服务，应支持云主机迁移、单机数据库迁移、高可用数据库迁移等迁移场景。负责需求调研、架构规划设计、应用迁移部署等工作。</w:t>
      </w:r>
    </w:p>
    <w:p w14:paraId="171E31DC">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2D815D9B">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本项目涉及的业务系统为采购人在用的生产系统，目前在北京市政务云上平稳运行，因此业务连续性是首要的保障需求。迁移服务具体要求如下：</w:t>
      </w:r>
    </w:p>
    <w:p w14:paraId="6423A5FE">
      <w:pPr>
        <w:snapToGrid w:val="0"/>
        <w:spacing w:line="360" w:lineRule="auto"/>
        <w:ind w:firstLine="420"/>
        <w:rPr>
          <w:rFonts w:hint="eastAsia" w:ascii="宋体" w:hAnsi="宋体" w:eastAsia="宋体" w:cs="宋体"/>
          <w:sz w:val="24"/>
          <w:highlight w:val="none"/>
        </w:rPr>
      </w:pPr>
      <w:r>
        <w:rPr>
          <w:rFonts w:hint="eastAsia" w:ascii="宋体" w:hAnsi="宋体" w:eastAsia="宋体" w:cs="宋体"/>
          <w:sz w:val="24"/>
          <w:highlight w:val="none"/>
        </w:rPr>
        <w:t>投标人需编制业务连续性服务方案。</w:t>
      </w:r>
    </w:p>
    <w:p w14:paraId="20AA7170">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14:paraId="2A18D226">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为保障业务系统的连续性，投标人应承诺自中标之日起，积极与原服务商对接，在5个工作日内，完成系统迁移平滑过渡，且因此产生的各项费用（包括但不限于测试阶段的云资源费用，系统开发商对业务系统的部署、调试费用等），应包含在投标人的报价中，提供“承诺函”并加盖投标人公章。</w:t>
      </w:r>
    </w:p>
    <w:p w14:paraId="13B021FE">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培训服务</w:t>
      </w:r>
    </w:p>
    <w:p w14:paraId="3BE33382">
      <w:pPr>
        <w:widowControl w:val="0"/>
        <w:snapToGrid w:val="0"/>
        <w:spacing w:before="0" w:beforeAutospacing="0" w:after="0" w:afterAutospacing="0" w:line="360" w:lineRule="auto"/>
        <w:ind w:firstLine="480"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投标人提供云服务操作手册，并按需为采购人提供必要的使用培训，至少提供以下内容：</w:t>
      </w:r>
    </w:p>
    <w:p w14:paraId="5B21CE18">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面向项目管理人员、系统管理人员的培训，确保此类人员能清晰地了解云平台的设计理念和设计方法，掌握云平台的整体结构，以及各类云资源的申请、审核、开通、回收等管理流程。</w:t>
      </w:r>
    </w:p>
    <w:p w14:paraId="1037D499">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面向系统维护人员的培训，确保此类人员能理解和掌握云平台的相关技术知识，能够熟练地维护云平台，快速定位和解决系统出现的问题，保证云平台服务期间正常运转，并持续提高运维服务质量。</w:t>
      </w:r>
    </w:p>
    <w:p w14:paraId="08243816">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本单位人员的安全培训教育，确保工作人员符合岗位要求。</w:t>
      </w:r>
    </w:p>
    <w:p w14:paraId="722DB8B1">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云平台维护人员的定期业务培训和保密培训，重保前的业务培训和应急保障培训等。</w:t>
      </w:r>
    </w:p>
    <w:p w14:paraId="735E8C1A">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面向管理单位的培训，确保此类人员充分了解云平台的技术架构、服务水平等。</w:t>
      </w:r>
    </w:p>
    <w:p w14:paraId="574E72E3">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运维团队要求</w:t>
      </w:r>
    </w:p>
    <w:p w14:paraId="17273208">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服务期内，投标人须设有7×24小时电话响应服务、具备运维团队，提供售后服务保障。团队成员应明确职责，架构清晰，岗位设置合理，且具备与本项目相关的项目经验。</w:t>
      </w:r>
    </w:p>
    <w:p w14:paraId="5A9CB702">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投标人须提供项目经理1人、技术负责人1人以及相应实施人员，项目团队人员8人（含项目经理和技术负责人）及以上。为本项目提供服务。要求如下：</w:t>
      </w:r>
    </w:p>
    <w:p w14:paraId="709513DF">
      <w:pPr>
        <w:widowControl w:val="0"/>
        <w:autoSpaceDE w:val="0"/>
        <w:autoSpaceDN w:val="0"/>
        <w:adjustRightInd w:val="0"/>
        <w:snapToGrid w:val="0"/>
        <w:spacing w:line="360" w:lineRule="auto"/>
        <w:ind w:firstLine="3132" w:firstLineChars="1300"/>
        <w:jc w:val="left"/>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服务团队人员要求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14"/>
        <w:gridCol w:w="1352"/>
        <w:gridCol w:w="1962"/>
        <w:gridCol w:w="3532"/>
      </w:tblGrid>
      <w:tr w14:paraId="1C2D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9" w:type="dxa"/>
            <w:noWrap w:val="0"/>
            <w:vAlign w:val="center"/>
          </w:tcPr>
          <w:p w14:paraId="3097E662">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岗位</w:t>
            </w:r>
          </w:p>
        </w:tc>
        <w:tc>
          <w:tcPr>
            <w:tcW w:w="714" w:type="dxa"/>
            <w:noWrap w:val="0"/>
            <w:vAlign w:val="center"/>
          </w:tcPr>
          <w:p w14:paraId="2F925909">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数量</w:t>
            </w:r>
          </w:p>
        </w:tc>
        <w:tc>
          <w:tcPr>
            <w:tcW w:w="1352" w:type="dxa"/>
            <w:noWrap w:val="0"/>
            <w:vAlign w:val="center"/>
          </w:tcPr>
          <w:p w14:paraId="751FA361">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学历</w:t>
            </w:r>
          </w:p>
        </w:tc>
        <w:tc>
          <w:tcPr>
            <w:tcW w:w="1962" w:type="dxa"/>
            <w:noWrap w:val="0"/>
            <w:vAlign w:val="center"/>
          </w:tcPr>
          <w:p w14:paraId="015FDFE1">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工作经验</w:t>
            </w:r>
          </w:p>
        </w:tc>
        <w:tc>
          <w:tcPr>
            <w:tcW w:w="3532" w:type="dxa"/>
            <w:noWrap w:val="0"/>
            <w:vAlign w:val="center"/>
          </w:tcPr>
          <w:p w14:paraId="31003E1A">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sz w:val="24"/>
                <w:highlight w:val="none"/>
              </w:rPr>
              <w:t>岗位须具备的上岗资格证等要求</w:t>
            </w:r>
          </w:p>
        </w:tc>
      </w:tr>
      <w:tr w14:paraId="73D2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959" w:type="dxa"/>
            <w:noWrap w:val="0"/>
            <w:vAlign w:val="center"/>
          </w:tcPr>
          <w:p w14:paraId="71D39C1D">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项目</w:t>
            </w:r>
          </w:p>
          <w:p w14:paraId="771C5CB3">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经理</w:t>
            </w:r>
          </w:p>
        </w:tc>
        <w:tc>
          <w:tcPr>
            <w:tcW w:w="714" w:type="dxa"/>
            <w:noWrap w:val="0"/>
            <w:vAlign w:val="center"/>
          </w:tcPr>
          <w:p w14:paraId="0211F892">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1</w:t>
            </w:r>
          </w:p>
        </w:tc>
        <w:tc>
          <w:tcPr>
            <w:tcW w:w="1352" w:type="dxa"/>
            <w:noWrap w:val="0"/>
            <w:vAlign w:val="center"/>
          </w:tcPr>
          <w:p w14:paraId="2FEA9A20">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171274BB">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有10年及以上类似工作经验</w:t>
            </w:r>
          </w:p>
        </w:tc>
        <w:tc>
          <w:tcPr>
            <w:tcW w:w="3532" w:type="dxa"/>
            <w:noWrap w:val="0"/>
            <w:vAlign w:val="center"/>
          </w:tcPr>
          <w:p w14:paraId="1F2B3A6E">
            <w:pPr>
              <w:spacing w:line="360" w:lineRule="auto"/>
              <w:rPr>
                <w:rFonts w:hint="eastAsia" w:ascii="宋体" w:hAnsi="宋体" w:eastAsia="宋体" w:cs="宋体"/>
                <w:sz w:val="24"/>
                <w:highlight w:val="none"/>
                <w:lang w:bidi="ar"/>
              </w:rPr>
            </w:pPr>
            <w:r>
              <w:rPr>
                <w:rFonts w:hint="eastAsia" w:ascii="宋体" w:hAnsi="宋体" w:eastAsia="宋体" w:cs="宋体"/>
                <w:sz w:val="24"/>
                <w:highlight w:val="none"/>
                <w:lang w:bidi="ar"/>
              </w:rPr>
              <w:t>信息系统项目管理师</w:t>
            </w:r>
            <w:r>
              <w:rPr>
                <w:rFonts w:hint="eastAsia" w:ascii="宋体" w:hAnsi="宋体" w:eastAsia="宋体" w:cs="宋体"/>
                <w:bCs/>
                <w:sz w:val="24"/>
                <w:highlight w:val="none"/>
              </w:rPr>
              <w:t>（高级）</w:t>
            </w:r>
          </w:p>
        </w:tc>
      </w:tr>
      <w:tr w14:paraId="7B66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5C49175D">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技术负责人</w:t>
            </w:r>
          </w:p>
        </w:tc>
        <w:tc>
          <w:tcPr>
            <w:tcW w:w="714" w:type="dxa"/>
            <w:noWrap w:val="0"/>
            <w:vAlign w:val="center"/>
          </w:tcPr>
          <w:p w14:paraId="187C1D2E">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1</w:t>
            </w:r>
          </w:p>
        </w:tc>
        <w:tc>
          <w:tcPr>
            <w:tcW w:w="1352" w:type="dxa"/>
            <w:noWrap w:val="0"/>
            <w:vAlign w:val="center"/>
          </w:tcPr>
          <w:p w14:paraId="1D241EF9">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53984FB8">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有5年及以上类似工作经验</w:t>
            </w:r>
          </w:p>
        </w:tc>
        <w:tc>
          <w:tcPr>
            <w:tcW w:w="3532" w:type="dxa"/>
            <w:noWrap w:val="0"/>
            <w:vAlign w:val="center"/>
          </w:tcPr>
          <w:p w14:paraId="1EB4BFAD">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注册信息安全工程师（CISE）</w:t>
            </w:r>
          </w:p>
        </w:tc>
      </w:tr>
      <w:tr w14:paraId="7AD8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4E4E47E3">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项目</w:t>
            </w:r>
          </w:p>
          <w:p w14:paraId="7391A985">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人员</w:t>
            </w:r>
          </w:p>
        </w:tc>
        <w:tc>
          <w:tcPr>
            <w:tcW w:w="714" w:type="dxa"/>
            <w:noWrap w:val="0"/>
            <w:vAlign w:val="center"/>
          </w:tcPr>
          <w:p w14:paraId="62B55BC6">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6</w:t>
            </w:r>
          </w:p>
        </w:tc>
        <w:tc>
          <w:tcPr>
            <w:tcW w:w="1352" w:type="dxa"/>
            <w:noWrap w:val="0"/>
            <w:vAlign w:val="center"/>
          </w:tcPr>
          <w:p w14:paraId="3900EA01">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本科及以上</w:t>
            </w:r>
          </w:p>
        </w:tc>
        <w:tc>
          <w:tcPr>
            <w:tcW w:w="1962" w:type="dxa"/>
            <w:noWrap w:val="0"/>
            <w:vAlign w:val="center"/>
          </w:tcPr>
          <w:p w14:paraId="15B9955C">
            <w:pPr>
              <w:adjustRightInd w:val="0"/>
              <w:spacing w:line="360" w:lineRule="auto"/>
              <w:jc w:val="center"/>
              <w:textAlignment w:val="baseline"/>
              <w:rPr>
                <w:rFonts w:hint="eastAsia" w:ascii="宋体" w:hAnsi="宋体" w:eastAsia="宋体" w:cs="宋体"/>
                <w:bCs/>
                <w:sz w:val="24"/>
                <w:highlight w:val="none"/>
              </w:rPr>
            </w:pPr>
            <w:r>
              <w:rPr>
                <w:rFonts w:hint="eastAsia" w:ascii="宋体" w:hAnsi="宋体" w:eastAsia="宋体" w:cs="宋体"/>
                <w:bCs/>
                <w:sz w:val="24"/>
                <w:highlight w:val="none"/>
              </w:rPr>
              <w:t>有5年及以上类似工作经验</w:t>
            </w:r>
          </w:p>
        </w:tc>
        <w:tc>
          <w:tcPr>
            <w:tcW w:w="3532" w:type="dxa"/>
            <w:noWrap w:val="0"/>
            <w:vAlign w:val="center"/>
          </w:tcPr>
          <w:p w14:paraId="60BA1969">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信息系统项目管理师（高级）</w:t>
            </w:r>
          </w:p>
          <w:p w14:paraId="2072E2ED">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系统分析师证书</w:t>
            </w:r>
          </w:p>
          <w:p w14:paraId="65A71D2B">
            <w:pPr>
              <w:adjustRightInd w:val="0"/>
              <w:spacing w:line="360" w:lineRule="auto"/>
              <w:jc w:val="left"/>
              <w:textAlignment w:val="baseline"/>
              <w:rPr>
                <w:rFonts w:hint="eastAsia" w:ascii="宋体" w:hAnsi="宋体" w:eastAsia="宋体" w:cs="宋体"/>
                <w:bCs/>
                <w:sz w:val="24"/>
                <w:highlight w:val="none"/>
              </w:rPr>
            </w:pPr>
            <w:r>
              <w:rPr>
                <w:rFonts w:hint="eastAsia" w:ascii="宋体" w:hAnsi="宋体" w:eastAsia="宋体" w:cs="宋体"/>
                <w:bCs/>
                <w:sz w:val="24"/>
                <w:highlight w:val="none"/>
              </w:rPr>
              <w:t>系统架构设计师证书</w:t>
            </w:r>
          </w:p>
        </w:tc>
      </w:tr>
    </w:tbl>
    <w:p w14:paraId="68304915">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商务要求</w:t>
      </w:r>
    </w:p>
    <w:p w14:paraId="79F0BF8C">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服务地点</w:t>
      </w:r>
    </w:p>
    <w:p w14:paraId="02318D8A">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北京市政务云机房。</w:t>
      </w:r>
    </w:p>
    <w:p w14:paraId="5DC93C53">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服务期限</w:t>
      </w:r>
    </w:p>
    <w:p w14:paraId="66CA79D1">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自合同签订之日起12个月。</w:t>
      </w:r>
    </w:p>
    <w:p w14:paraId="36D56764">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支付方式及条件</w:t>
      </w:r>
    </w:p>
    <w:p w14:paraId="05DBFD89">
      <w:pPr>
        <w:adjustRightInd w:val="0"/>
        <w:snapToGrid w:val="0"/>
        <w:spacing w:line="360" w:lineRule="auto"/>
        <w:ind w:firstLine="480"/>
        <w:textAlignment w:val="baseline"/>
        <w:rPr>
          <w:rFonts w:hint="eastAsia" w:ascii="宋体" w:hAnsi="宋体" w:eastAsia="宋体" w:cs="宋体"/>
          <w:highlight w:val="none"/>
        </w:rPr>
      </w:pPr>
      <w:r>
        <w:rPr>
          <w:rFonts w:hint="eastAsia" w:ascii="宋体" w:hAnsi="宋体" w:eastAsia="宋体" w:cs="宋体"/>
          <w:kern w:val="0"/>
          <w:sz w:val="24"/>
          <w:highlight w:val="none"/>
        </w:rPr>
        <w:t>本项目服务期为12个月，每月服务费单价为合同总价款除以服务月数。2026年度累计支付10个月的服务费，具体支付方式为：本合同生效后7个工作日内，采购人支付中标人首笔10个服务月数的合同价款。项目执行期满，经采购人验收合格且中标人不存在违约情形的，采购人支付中标人剩余2个服务月数的合同价款。</w:t>
      </w:r>
    </w:p>
    <w:p w14:paraId="3C0F37CB">
      <w:pPr>
        <w:keepNext/>
        <w:keepLines/>
        <w:numPr>
          <w:ilvl w:val="1"/>
          <w:numId w:val="2"/>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验收服务标准</w:t>
      </w:r>
    </w:p>
    <w:p w14:paraId="38D602CF">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服务绩效指标</w:t>
      </w:r>
    </w:p>
    <w:p w14:paraId="6C141C8A">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（1）云服务全年整体可用性≥99.9%；</w:t>
      </w:r>
    </w:p>
    <w:p w14:paraId="429A8DF4">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（2）故障响应率100%；</w:t>
      </w:r>
    </w:p>
    <w:p w14:paraId="07090B80">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（3）应急响应时间≤5分钟（重大事件1分钟内响应）。</w:t>
      </w:r>
    </w:p>
    <w:p w14:paraId="5047E3E3">
      <w:pPr>
        <w:keepNext/>
        <w:keepLines/>
        <w:numPr>
          <w:ilvl w:val="2"/>
          <w:numId w:val="2"/>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项目验收要求</w:t>
      </w:r>
    </w:p>
    <w:p w14:paraId="19755C4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投标人所提供的北京市市级政务云基础资源服务应遵循客观、科学、合理的原则，符合《北京市市级政务云管理办法》的相关标准及要求。</w:t>
      </w:r>
    </w:p>
    <w:p w14:paraId="411B6FA4">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投标人所提供资源应满足采购文件规定的要求。保证合同期内系统安全稳定运行，不因硬件故障导致服务中断4小时及以上。</w:t>
      </w:r>
    </w:p>
    <w:p w14:paraId="375AB709">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投标人应于合同履约期满【10】日内向采购人提出终验申请，采购人应于收到投标人验收申请后7个工作日内对投标人服务进行终验。采购人在具备验收条件后7个工作日内未验收也未提出异议的视为完成验收。</w:t>
      </w:r>
    </w:p>
    <w:p w14:paraId="031C1842">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投标人应在验收前向采购人提供详细验收申请、验收计划、验收方案、总结报告等材料，应当接受采购人或采购人聘请的专家对其工作成果进行的质量评审。</w:t>
      </w:r>
    </w:p>
    <w:p w14:paraId="1386DEC6">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保密要求</w:t>
      </w:r>
    </w:p>
    <w:p w14:paraId="12F5CB34">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露给第三方。</w:t>
      </w:r>
    </w:p>
    <w:p w14:paraId="0C89F205">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14:paraId="67F1CBE8">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投标人保证将保密信息的披露范围严格控制在直接从事该项目工作且因工作需要有必要知悉保密信息的工作人员范围内，对投标人非从事该项目的人员一律严格保密。</w:t>
      </w:r>
    </w:p>
    <w:p w14:paraId="574215BF">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14:paraId="3DBFD23A">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任何时间内，一经采购人提出要求，投标人应按照采购人指示在收到采购人书面通知后5日内将含有保密信息的所有文件或其他资料归还采购人，且不得擅自复制留存。</w:t>
      </w:r>
    </w:p>
    <w:p w14:paraId="60FE64F3">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非经采购人特别授权，采购人向投标人提供的任何保密信息并不包括授予投标人该保密信息包含的任何专利权、商标权、著作权、商业秘密或其他类型的知识产权。</w:t>
      </w:r>
    </w:p>
    <w:p w14:paraId="424270E8">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投标人承担上述保密义务的期限为合同有效期间及合同终止后2年，承担上述保密义务的责任主体为投标人（含投标人服务人员）。</w:t>
      </w:r>
    </w:p>
    <w:p w14:paraId="6E40FA19">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14:paraId="4D242726">
      <w:pPr>
        <w:widowControl w:val="0"/>
        <w:autoSpaceDE/>
        <w:autoSpaceDN/>
        <w:adjustRightInd w:val="0"/>
        <w:snapToGrid w:val="0"/>
        <w:spacing w:line="360" w:lineRule="auto"/>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投标人应当对获悉的政务数据、个人信息等予以保密，不得用于其他用途，不得泄露、出售或者非法向他人提供。</w:t>
      </w:r>
    </w:p>
    <w:p w14:paraId="4F5441E6">
      <w:pPr>
        <w:keepNext/>
        <w:keepLines/>
        <w:numPr>
          <w:ilvl w:val="0"/>
          <w:numId w:val="2"/>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政策性采购需求</w:t>
      </w:r>
    </w:p>
    <w:p w14:paraId="2E85EADA">
      <w:pPr>
        <w:adjustRightInd w:val="0"/>
        <w:snapToGrid w:val="0"/>
        <w:spacing w:after="120"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sz w:val="24"/>
          <w:highlight w:val="none"/>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223B04C6">
      <w:pPr>
        <w:rPr>
          <w:rFonts w:ascii="Times New Roman" w:hAnsi="Times New Roman" w:eastAsia="宋体" w:cs="Times New Roman"/>
          <w:highlight w:val="none"/>
        </w:rPr>
      </w:pPr>
    </w:p>
    <w:p w14:paraId="76ABECD6">
      <w:pPr>
        <w:spacing w:line="360" w:lineRule="auto"/>
        <w:jc w:val="both"/>
        <w:outlineLvl w:val="0"/>
        <w:rPr>
          <w:rFonts w:hint="eastAsia" w:ascii="宋体" w:hAnsi="宋体" w:eastAsia="宋体" w:cs="宋体"/>
          <w:b/>
          <w:bCs w:val="0"/>
          <w:sz w:val="32"/>
          <w:szCs w:val="32"/>
          <w:highlight w:val="none"/>
        </w:rPr>
      </w:pPr>
    </w:p>
    <w:p w14:paraId="47067547">
      <w:pPr>
        <w:widowControl w:val="0"/>
        <w:tabs>
          <w:tab w:val="left" w:pos="1050"/>
          <w:tab w:val="right" w:leader="dot" w:pos="8937"/>
        </w:tabs>
        <w:spacing w:line="360" w:lineRule="auto"/>
        <w:jc w:val="both"/>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br w:type="page"/>
      </w:r>
    </w:p>
    <w:p w14:paraId="14E2327F">
      <w:pPr>
        <w:spacing w:line="360" w:lineRule="auto"/>
        <w:jc w:val="center"/>
        <w:outlineLvl w:val="0"/>
        <w:rPr>
          <w:rFonts w:hint="eastAsia" w:ascii="Times New Roman" w:hAnsi="Times New Roman" w:eastAsia="宋体" w:cs="Times New Roman"/>
          <w:b/>
          <w:bCs w:val="0"/>
          <w:highlight w:val="none"/>
          <w:lang w:eastAsia="zh-CN"/>
        </w:rPr>
      </w:pPr>
      <w:r>
        <w:rPr>
          <w:rFonts w:hint="eastAsia" w:ascii="宋体" w:hAnsi="宋体" w:eastAsia="宋体" w:cs="宋体"/>
          <w:b/>
          <w:bCs w:val="0"/>
          <w:sz w:val="28"/>
          <w:szCs w:val="28"/>
          <w:highlight w:val="none"/>
        </w:rPr>
        <w:t>北京市司法局202</w:t>
      </w:r>
      <w:r>
        <w:rPr>
          <w:rFonts w:hint="eastAsia" w:ascii="宋体" w:hAnsi="宋体" w:eastAsia="宋体" w:cs="宋体"/>
          <w:b/>
          <w:bCs w:val="0"/>
          <w:sz w:val="28"/>
          <w:szCs w:val="28"/>
          <w:highlight w:val="none"/>
          <w:lang w:val="en-US" w:eastAsia="zh-CN"/>
        </w:rPr>
        <w:t>6</w:t>
      </w:r>
      <w:r>
        <w:rPr>
          <w:rFonts w:hint="eastAsia" w:ascii="宋体" w:hAnsi="宋体" w:eastAsia="宋体" w:cs="宋体"/>
          <w:b/>
          <w:bCs w:val="0"/>
          <w:sz w:val="28"/>
          <w:szCs w:val="28"/>
          <w:highlight w:val="none"/>
        </w:rPr>
        <w:t>年政务云租赁服务项目</w:t>
      </w:r>
      <w:r>
        <w:rPr>
          <w:rFonts w:hint="eastAsia" w:ascii="宋体" w:hAnsi="宋体" w:eastAsia="宋体" w:cs="宋体"/>
          <w:b/>
          <w:bCs w:val="0"/>
          <w:sz w:val="28"/>
          <w:szCs w:val="28"/>
          <w:highlight w:val="none"/>
          <w:lang w:eastAsia="zh-CN"/>
        </w:rPr>
        <w:t>（</w:t>
      </w:r>
      <w:r>
        <w:rPr>
          <w:rFonts w:hint="eastAsia" w:ascii="宋体" w:hAnsi="宋体" w:eastAsia="宋体" w:cs="宋体"/>
          <w:b/>
          <w:bCs w:val="0"/>
          <w:sz w:val="28"/>
          <w:szCs w:val="28"/>
          <w:highlight w:val="none"/>
          <w:lang w:val="en-US" w:eastAsia="zh-CN"/>
        </w:rPr>
        <w:t>第三包</w:t>
      </w:r>
      <w:r>
        <w:rPr>
          <w:rFonts w:hint="eastAsia" w:ascii="宋体" w:hAnsi="宋体" w:eastAsia="宋体" w:cs="宋体"/>
          <w:b/>
          <w:bCs w:val="0"/>
          <w:sz w:val="28"/>
          <w:szCs w:val="28"/>
          <w:highlight w:val="none"/>
          <w:lang w:eastAsia="zh-CN"/>
        </w:rPr>
        <w:t>）</w:t>
      </w:r>
    </w:p>
    <w:p w14:paraId="48E71B15">
      <w:pPr>
        <w:bidi w:val="0"/>
        <w:rPr>
          <w:rFonts w:hint="eastAsia" w:ascii="Times New Roman" w:hAnsi="Times New Roman" w:eastAsia="宋体" w:cs="Times New Roman"/>
          <w:highlight w:val="none"/>
          <w:lang w:eastAsia="zh-CN"/>
        </w:rPr>
      </w:pPr>
    </w:p>
    <w:p w14:paraId="7CF9F1D1">
      <w:pPr>
        <w:keepNext/>
        <w:keepLines/>
        <w:numPr>
          <w:ilvl w:val="0"/>
          <w:numId w:val="3"/>
        </w:numPr>
        <w:spacing w:before="340" w:after="330" w:line="360" w:lineRule="auto"/>
        <w:ind w:firstLine="562"/>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采购标的</w:t>
      </w:r>
    </w:p>
    <w:p w14:paraId="1890B0DC">
      <w:pPr>
        <w:numPr>
          <w:ilvl w:val="0"/>
          <w:numId w:val="0"/>
        </w:numPr>
        <w:spacing w:line="360" w:lineRule="auto"/>
        <w:contextualSpacing/>
        <w:rPr>
          <w:rFonts w:hint="eastAsia" w:ascii="宋体" w:hAnsi="宋体" w:eastAsia="宋体" w:cs="宋体"/>
          <w:bCs/>
          <w:color w:val="auto"/>
          <w:sz w:val="24"/>
          <w:highlight w:val="none"/>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43"/>
        <w:gridCol w:w="1702"/>
        <w:gridCol w:w="1045"/>
        <w:gridCol w:w="1901"/>
      </w:tblGrid>
      <w:tr w14:paraId="1C60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250F22F4">
            <w:pPr>
              <w:widowControl w:val="0"/>
              <w:tabs>
                <w:tab w:val="left" w:pos="0"/>
              </w:tabs>
              <w:jc w:val="center"/>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序号</w:t>
            </w:r>
          </w:p>
        </w:tc>
        <w:tc>
          <w:tcPr>
            <w:tcW w:w="2343" w:type="dxa"/>
            <w:noWrap w:val="0"/>
            <w:vAlign w:val="center"/>
          </w:tcPr>
          <w:p w14:paraId="75596F81">
            <w:pPr>
              <w:widowControl w:val="0"/>
              <w:tabs>
                <w:tab w:val="left" w:pos="0"/>
              </w:tabs>
              <w:jc w:val="center"/>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货物或服务名称</w:t>
            </w:r>
          </w:p>
        </w:tc>
        <w:tc>
          <w:tcPr>
            <w:tcW w:w="1702" w:type="dxa"/>
            <w:noWrap w:val="0"/>
            <w:vAlign w:val="center"/>
          </w:tcPr>
          <w:p w14:paraId="5296A439">
            <w:pPr>
              <w:widowControl w:val="0"/>
              <w:tabs>
                <w:tab w:val="left" w:pos="0"/>
              </w:tabs>
              <w:jc w:val="center"/>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数量</w:t>
            </w:r>
          </w:p>
        </w:tc>
        <w:tc>
          <w:tcPr>
            <w:tcW w:w="1045" w:type="dxa"/>
            <w:noWrap w:val="0"/>
            <w:vAlign w:val="center"/>
          </w:tcPr>
          <w:p w14:paraId="43BD1731">
            <w:pPr>
              <w:widowControl w:val="0"/>
              <w:tabs>
                <w:tab w:val="left" w:pos="0"/>
              </w:tabs>
              <w:jc w:val="center"/>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单位</w:t>
            </w:r>
          </w:p>
        </w:tc>
        <w:tc>
          <w:tcPr>
            <w:tcW w:w="1901" w:type="dxa"/>
            <w:noWrap w:val="0"/>
            <w:vAlign w:val="center"/>
          </w:tcPr>
          <w:p w14:paraId="3764D168">
            <w:pPr>
              <w:widowControl w:val="0"/>
              <w:tabs>
                <w:tab w:val="left" w:pos="0"/>
              </w:tabs>
              <w:jc w:val="center"/>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最高限价（万元）</w:t>
            </w:r>
          </w:p>
        </w:tc>
      </w:tr>
      <w:tr w14:paraId="2CE2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7" w:type="dxa"/>
            <w:noWrap w:val="0"/>
            <w:vAlign w:val="center"/>
          </w:tcPr>
          <w:p w14:paraId="013C264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2343" w:type="dxa"/>
            <w:noWrap w:val="0"/>
            <w:vAlign w:val="center"/>
          </w:tcPr>
          <w:p w14:paraId="6861875D">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政务云服务三包</w:t>
            </w:r>
          </w:p>
        </w:tc>
        <w:tc>
          <w:tcPr>
            <w:tcW w:w="1702" w:type="dxa"/>
            <w:noWrap w:val="0"/>
            <w:vAlign w:val="center"/>
          </w:tcPr>
          <w:p w14:paraId="7711E175">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045" w:type="dxa"/>
            <w:noWrap w:val="0"/>
            <w:vAlign w:val="center"/>
          </w:tcPr>
          <w:p w14:paraId="6728F074">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w:t>
            </w:r>
          </w:p>
        </w:tc>
        <w:tc>
          <w:tcPr>
            <w:tcW w:w="1901" w:type="dxa"/>
            <w:noWrap w:val="0"/>
            <w:vAlign w:val="center"/>
          </w:tcPr>
          <w:p w14:paraId="5C176EB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Times New Roman"/>
                <w:bCs/>
                <w:kern w:val="2"/>
                <w:sz w:val="24"/>
                <w:szCs w:val="21"/>
                <w:highlight w:val="none"/>
                <w:lang w:val="en-US" w:eastAsia="zh-CN" w:bidi="ar-SA"/>
              </w:rPr>
              <w:t>207.303839</w:t>
            </w:r>
          </w:p>
        </w:tc>
      </w:tr>
    </w:tbl>
    <w:p w14:paraId="7428DE67">
      <w:pPr>
        <w:keepNext/>
        <w:keepLines/>
        <w:numPr>
          <w:ilvl w:val="0"/>
          <w:numId w:val="3"/>
        </w:numPr>
        <w:spacing w:before="340" w:after="330" w:line="360" w:lineRule="auto"/>
        <w:ind w:firstLine="562"/>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项目背景</w:t>
      </w:r>
    </w:p>
    <w:p w14:paraId="3E879C2B">
      <w:pPr>
        <w:widowControl w:val="0"/>
        <w:spacing w:after="120" w:line="360" w:lineRule="auto"/>
        <w:ind w:left="0" w:leftChars="0"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北京市司法局拟持续租赁北京市级政务云服务，为政务综合管理平台、北京市规范性文件审查工作信息平台、北京市行政执法信息服务平台租赁政务云基础和扩展服务，服务项包含计算服务（X86平台云主机服务、X86物理服务器租赁服务）、存储服务（普通性能存储、高性能存储、静态存储、本地备份服务）、网络服务（互联网链路服务、远程接入服务）、特定云主机深度监控及运维保障服务（7×24小时值守）、负载均衡服务、安全服务（云端抗DDOS、主机杀毒服务）、其他服务（商用操作系统套餐、商用数据库套餐、集中式存储租用）。</w:t>
      </w:r>
    </w:p>
    <w:p w14:paraId="6FF9D459">
      <w:pPr>
        <w:bidi w:val="0"/>
        <w:rPr>
          <w:rFonts w:hint="eastAsia" w:ascii="宋体" w:hAnsi="宋体" w:eastAsia="宋体" w:cs="宋体"/>
          <w:highlight w:val="none"/>
        </w:rPr>
      </w:pPr>
    </w:p>
    <w:p w14:paraId="15C01CD0">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技术参数要求</w:t>
      </w:r>
    </w:p>
    <w:p w14:paraId="7550791A">
      <w:pPr>
        <w:keepNext/>
        <w:keepLines/>
        <w:pageBreakBefore w:val="0"/>
        <w:widowControl w:val="0"/>
        <w:numPr>
          <w:ilvl w:val="1"/>
          <w:numId w:val="3"/>
        </w:numPr>
        <w:kinsoku/>
        <w:wordWrap/>
        <w:overflowPunct/>
        <w:topLinePunct w:val="0"/>
        <w:autoSpaceDE/>
        <w:autoSpaceDN/>
        <w:bidi w:val="0"/>
        <w:adjustRightInd/>
        <w:snapToGrid/>
        <w:spacing w:before="260" w:line="360" w:lineRule="auto"/>
        <w:ind w:left="238" w:firstLine="482"/>
        <w:textAlignment w:val="auto"/>
        <w:outlineLvl w:val="1"/>
        <w:rPr>
          <w:rFonts w:hint="eastAsia" w:ascii="宋体" w:hAnsi="宋体" w:eastAsia="宋体" w:cs="宋体"/>
          <w:b/>
          <w:bCs/>
          <w:sz w:val="24"/>
          <w:highlight w:val="none"/>
        </w:rPr>
      </w:pPr>
      <w:r>
        <w:rPr>
          <w:rFonts w:hint="eastAsia" w:ascii="宋体" w:hAnsi="宋体" w:eastAsia="宋体" w:cs="宋体"/>
          <w:b/>
          <w:bCs/>
          <w:sz w:val="24"/>
          <w:highlight w:val="none"/>
        </w:rPr>
        <w:t>政务云基础服务</w:t>
      </w:r>
    </w:p>
    <w:tbl>
      <w:tblPr>
        <w:tblStyle w:val="5"/>
        <w:tblpPr w:leftFromText="180" w:rightFromText="180" w:vertAnchor="text" w:horzAnchor="page" w:tblpX="1804" w:tblpY="4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480"/>
        <w:gridCol w:w="2504"/>
        <w:gridCol w:w="770"/>
        <w:gridCol w:w="860"/>
        <w:gridCol w:w="1140"/>
        <w:gridCol w:w="963"/>
      </w:tblGrid>
      <w:tr w14:paraId="11CA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16" w:type="dxa"/>
            <w:noWrap w:val="0"/>
            <w:vAlign w:val="center"/>
          </w:tcPr>
          <w:p w14:paraId="556DEF8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服务类别</w:t>
            </w:r>
          </w:p>
        </w:tc>
        <w:tc>
          <w:tcPr>
            <w:tcW w:w="1480" w:type="dxa"/>
            <w:noWrap w:val="0"/>
            <w:vAlign w:val="center"/>
          </w:tcPr>
          <w:p w14:paraId="34D5A31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服务子类</w:t>
            </w:r>
          </w:p>
        </w:tc>
        <w:tc>
          <w:tcPr>
            <w:tcW w:w="2504" w:type="dxa"/>
            <w:noWrap w:val="0"/>
            <w:vAlign w:val="center"/>
          </w:tcPr>
          <w:p w14:paraId="0F1E4EA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服务项</w:t>
            </w:r>
          </w:p>
        </w:tc>
        <w:tc>
          <w:tcPr>
            <w:tcW w:w="770" w:type="dxa"/>
            <w:noWrap w:val="0"/>
            <w:vAlign w:val="center"/>
          </w:tcPr>
          <w:p w14:paraId="2CEE0CD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计价单位</w:t>
            </w:r>
          </w:p>
        </w:tc>
        <w:tc>
          <w:tcPr>
            <w:tcW w:w="860" w:type="dxa"/>
            <w:noWrap w:val="0"/>
            <w:vAlign w:val="center"/>
          </w:tcPr>
          <w:p w14:paraId="0B708F0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报价单位</w:t>
            </w:r>
          </w:p>
        </w:tc>
        <w:tc>
          <w:tcPr>
            <w:tcW w:w="1140" w:type="dxa"/>
            <w:noWrap/>
            <w:vAlign w:val="center"/>
          </w:tcPr>
          <w:p w14:paraId="1C8D0F7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 xml:space="preserve"> 数量 </w:t>
            </w:r>
          </w:p>
        </w:tc>
        <w:tc>
          <w:tcPr>
            <w:tcW w:w="963" w:type="dxa"/>
            <w:noWrap/>
            <w:vAlign w:val="center"/>
          </w:tcPr>
          <w:p w14:paraId="4D40857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000000"/>
                <w:kern w:val="0"/>
                <w:sz w:val="24"/>
                <w:highlight w:val="none"/>
                <w:lang w:val="en-US" w:eastAsia="zh-CN" w:bidi="ar"/>
              </w:rPr>
            </w:pPr>
            <w:r>
              <w:rPr>
                <w:rFonts w:hint="eastAsia" w:ascii="宋体" w:hAnsi="宋体" w:eastAsia="宋体" w:cs="宋体"/>
                <w:b/>
                <w:bCs/>
                <w:color w:val="000000"/>
                <w:kern w:val="0"/>
                <w:sz w:val="24"/>
                <w:highlight w:val="none"/>
                <w:lang w:bidi="ar"/>
              </w:rPr>
              <w:t xml:space="preserve"> 期限（月） </w:t>
            </w:r>
          </w:p>
        </w:tc>
      </w:tr>
      <w:tr w14:paraId="7CE6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6" w:type="dxa"/>
            <w:vMerge w:val="restart"/>
            <w:noWrap w:val="0"/>
            <w:vAlign w:val="center"/>
          </w:tcPr>
          <w:p w14:paraId="2C73C11C">
            <w:pPr>
              <w:keepNext w:val="0"/>
              <w:keepLines w:val="0"/>
              <w:pageBreakBefore w:val="0"/>
              <w:widowControl/>
              <w:tabs>
                <w:tab w:val="left" w:pos="410"/>
              </w:tabs>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计算服务</w:t>
            </w:r>
          </w:p>
        </w:tc>
        <w:tc>
          <w:tcPr>
            <w:tcW w:w="1480" w:type="dxa"/>
            <w:vMerge w:val="restart"/>
            <w:noWrap w:val="0"/>
            <w:vAlign w:val="center"/>
          </w:tcPr>
          <w:p w14:paraId="2305471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X86      云计算服务</w:t>
            </w:r>
          </w:p>
        </w:tc>
        <w:tc>
          <w:tcPr>
            <w:tcW w:w="2504" w:type="dxa"/>
            <w:noWrap w:val="0"/>
            <w:vAlign w:val="center"/>
          </w:tcPr>
          <w:p w14:paraId="3958D22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vCPU（主频不低于2.4GHz）</w:t>
            </w:r>
          </w:p>
        </w:tc>
        <w:tc>
          <w:tcPr>
            <w:tcW w:w="770" w:type="dxa"/>
            <w:noWrap w:val="0"/>
            <w:vAlign w:val="center"/>
          </w:tcPr>
          <w:p w14:paraId="0C3777F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CPU</w:t>
            </w:r>
          </w:p>
        </w:tc>
        <w:tc>
          <w:tcPr>
            <w:tcW w:w="860" w:type="dxa"/>
            <w:noWrap w:val="0"/>
            <w:vAlign w:val="center"/>
          </w:tcPr>
          <w:p w14:paraId="7F3216C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69410FC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496</w:t>
            </w:r>
          </w:p>
        </w:tc>
        <w:tc>
          <w:tcPr>
            <w:tcW w:w="963" w:type="dxa"/>
            <w:noWrap w:val="0"/>
            <w:vAlign w:val="center"/>
          </w:tcPr>
          <w:p w14:paraId="3A8DDDD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33A5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vMerge w:val="continue"/>
            <w:noWrap w:val="0"/>
            <w:vAlign w:val="center"/>
          </w:tcPr>
          <w:p w14:paraId="2C674A7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4"/>
                <w:szCs w:val="24"/>
                <w:highlight w:val="none"/>
              </w:rPr>
            </w:pPr>
          </w:p>
        </w:tc>
        <w:tc>
          <w:tcPr>
            <w:tcW w:w="1480" w:type="dxa"/>
            <w:vMerge w:val="continue"/>
            <w:noWrap w:val="0"/>
            <w:vAlign w:val="center"/>
          </w:tcPr>
          <w:p w14:paraId="3BA7014F">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4"/>
                <w:szCs w:val="24"/>
                <w:highlight w:val="none"/>
              </w:rPr>
            </w:pPr>
          </w:p>
        </w:tc>
        <w:tc>
          <w:tcPr>
            <w:tcW w:w="2504" w:type="dxa"/>
            <w:noWrap w:val="0"/>
            <w:vAlign w:val="center"/>
          </w:tcPr>
          <w:p w14:paraId="7FA785C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内存</w:t>
            </w:r>
          </w:p>
        </w:tc>
        <w:tc>
          <w:tcPr>
            <w:tcW w:w="770" w:type="dxa"/>
            <w:noWrap w:val="0"/>
            <w:vAlign w:val="center"/>
          </w:tcPr>
          <w:p w14:paraId="5044725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GB</w:t>
            </w:r>
          </w:p>
        </w:tc>
        <w:tc>
          <w:tcPr>
            <w:tcW w:w="860" w:type="dxa"/>
            <w:noWrap w:val="0"/>
            <w:vAlign w:val="center"/>
          </w:tcPr>
          <w:p w14:paraId="7F7800A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2F5C828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097</w:t>
            </w:r>
          </w:p>
        </w:tc>
        <w:tc>
          <w:tcPr>
            <w:tcW w:w="963" w:type="dxa"/>
            <w:noWrap w:val="0"/>
            <w:vAlign w:val="center"/>
          </w:tcPr>
          <w:p w14:paraId="40BF609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3643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vMerge w:val="continue"/>
            <w:noWrap w:val="0"/>
            <w:vAlign w:val="center"/>
          </w:tcPr>
          <w:p w14:paraId="591ADFF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vMerge w:val="restart"/>
            <w:noWrap w:val="0"/>
            <w:vAlign w:val="center"/>
          </w:tcPr>
          <w:p w14:paraId="2F5F88E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x86      物理服务器租用服务</w:t>
            </w:r>
          </w:p>
        </w:tc>
        <w:tc>
          <w:tcPr>
            <w:tcW w:w="2504" w:type="dxa"/>
            <w:noWrap w:val="0"/>
            <w:vAlign w:val="center"/>
          </w:tcPr>
          <w:p w14:paraId="7DBD2C4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x86物理服务器配置：2路1</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核2.0Ghz，128G内存，2块600G SAS硬盘,2个HBA卡，2个万兆端口</w:t>
            </w:r>
          </w:p>
        </w:tc>
        <w:tc>
          <w:tcPr>
            <w:tcW w:w="770" w:type="dxa"/>
            <w:noWrap w:val="0"/>
            <w:vAlign w:val="center"/>
          </w:tcPr>
          <w:p w14:paraId="06329E8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台</w:t>
            </w:r>
          </w:p>
        </w:tc>
        <w:tc>
          <w:tcPr>
            <w:tcW w:w="860" w:type="dxa"/>
            <w:noWrap w:val="0"/>
            <w:vAlign w:val="center"/>
          </w:tcPr>
          <w:p w14:paraId="31CD047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632525A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w:t>
            </w:r>
          </w:p>
        </w:tc>
        <w:tc>
          <w:tcPr>
            <w:tcW w:w="963" w:type="dxa"/>
            <w:noWrap w:val="0"/>
            <w:vAlign w:val="center"/>
          </w:tcPr>
          <w:p w14:paraId="308EA58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0834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vMerge w:val="continue"/>
            <w:noWrap w:val="0"/>
            <w:vAlign w:val="center"/>
          </w:tcPr>
          <w:p w14:paraId="0F622F0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vMerge w:val="continue"/>
            <w:noWrap w:val="0"/>
            <w:vAlign w:val="center"/>
          </w:tcPr>
          <w:p w14:paraId="7F4BBC1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2504" w:type="dxa"/>
            <w:noWrap w:val="0"/>
            <w:vAlign w:val="center"/>
          </w:tcPr>
          <w:p w14:paraId="115F082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内存-32GB</w:t>
            </w:r>
          </w:p>
        </w:tc>
        <w:tc>
          <w:tcPr>
            <w:tcW w:w="770" w:type="dxa"/>
            <w:noWrap w:val="0"/>
            <w:vAlign w:val="center"/>
          </w:tcPr>
          <w:p w14:paraId="731523B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1条</w:t>
            </w:r>
          </w:p>
        </w:tc>
        <w:tc>
          <w:tcPr>
            <w:tcW w:w="860" w:type="dxa"/>
            <w:noWrap w:val="0"/>
            <w:vAlign w:val="center"/>
          </w:tcPr>
          <w:p w14:paraId="2418A73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条/月</w:t>
            </w:r>
          </w:p>
        </w:tc>
        <w:tc>
          <w:tcPr>
            <w:tcW w:w="1140" w:type="dxa"/>
            <w:noWrap w:val="0"/>
            <w:vAlign w:val="center"/>
          </w:tcPr>
          <w:p w14:paraId="67C6752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12</w:t>
            </w:r>
          </w:p>
        </w:tc>
        <w:tc>
          <w:tcPr>
            <w:tcW w:w="963" w:type="dxa"/>
            <w:noWrap w:val="0"/>
            <w:vAlign w:val="center"/>
          </w:tcPr>
          <w:p w14:paraId="4E93CD9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12</w:t>
            </w:r>
          </w:p>
        </w:tc>
      </w:tr>
      <w:tr w14:paraId="6F12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vMerge w:val="continue"/>
            <w:noWrap w:val="0"/>
            <w:vAlign w:val="center"/>
          </w:tcPr>
          <w:p w14:paraId="1E12F8D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vMerge w:val="continue"/>
            <w:noWrap w:val="0"/>
            <w:vAlign w:val="center"/>
          </w:tcPr>
          <w:p w14:paraId="3BECF63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2504" w:type="dxa"/>
            <w:noWrap w:val="0"/>
            <w:vAlign w:val="center"/>
          </w:tcPr>
          <w:p w14:paraId="1A8FAFB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硬盘配置3-4TB</w:t>
            </w:r>
          </w:p>
        </w:tc>
        <w:tc>
          <w:tcPr>
            <w:tcW w:w="770" w:type="dxa"/>
            <w:noWrap w:val="0"/>
            <w:vAlign w:val="center"/>
          </w:tcPr>
          <w:p w14:paraId="0A6CDC5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1快</w:t>
            </w:r>
          </w:p>
        </w:tc>
        <w:tc>
          <w:tcPr>
            <w:tcW w:w="860" w:type="dxa"/>
            <w:noWrap w:val="0"/>
            <w:vAlign w:val="center"/>
          </w:tcPr>
          <w:p w14:paraId="1E52B48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块/月</w:t>
            </w:r>
          </w:p>
        </w:tc>
        <w:tc>
          <w:tcPr>
            <w:tcW w:w="1140" w:type="dxa"/>
            <w:noWrap w:val="0"/>
            <w:vAlign w:val="center"/>
          </w:tcPr>
          <w:p w14:paraId="62D3943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15</w:t>
            </w:r>
          </w:p>
        </w:tc>
        <w:tc>
          <w:tcPr>
            <w:tcW w:w="963" w:type="dxa"/>
            <w:noWrap w:val="0"/>
            <w:vAlign w:val="center"/>
          </w:tcPr>
          <w:p w14:paraId="6CF4E5D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12</w:t>
            </w:r>
          </w:p>
        </w:tc>
      </w:tr>
      <w:tr w14:paraId="081D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6" w:type="dxa"/>
            <w:vMerge w:val="restart"/>
            <w:noWrap w:val="0"/>
            <w:vAlign w:val="center"/>
          </w:tcPr>
          <w:p w14:paraId="5139324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存储服务</w:t>
            </w:r>
          </w:p>
        </w:tc>
        <w:tc>
          <w:tcPr>
            <w:tcW w:w="1480" w:type="dxa"/>
            <w:noWrap w:val="0"/>
            <w:vAlign w:val="center"/>
          </w:tcPr>
          <w:p w14:paraId="758FC34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普通存储</w:t>
            </w:r>
          </w:p>
        </w:tc>
        <w:tc>
          <w:tcPr>
            <w:tcW w:w="2504" w:type="dxa"/>
            <w:noWrap w:val="0"/>
            <w:vAlign w:val="center"/>
          </w:tcPr>
          <w:p w14:paraId="5C5CDB9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普通存储（单盘技术指标:单盘IOPS 1000-3000）</w:t>
            </w:r>
          </w:p>
        </w:tc>
        <w:tc>
          <w:tcPr>
            <w:tcW w:w="770" w:type="dxa"/>
            <w:noWrap w:val="0"/>
            <w:vAlign w:val="center"/>
          </w:tcPr>
          <w:p w14:paraId="02741FD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GB</w:t>
            </w:r>
          </w:p>
        </w:tc>
        <w:tc>
          <w:tcPr>
            <w:tcW w:w="860" w:type="dxa"/>
            <w:noWrap w:val="0"/>
            <w:vAlign w:val="center"/>
          </w:tcPr>
          <w:p w14:paraId="4595822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ign w:val="center"/>
          </w:tcPr>
          <w:p w14:paraId="06083B6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53</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rPr>
              <w:t>760</w:t>
            </w:r>
          </w:p>
        </w:tc>
        <w:tc>
          <w:tcPr>
            <w:tcW w:w="963" w:type="dxa"/>
            <w:noWrap w:val="0"/>
            <w:vAlign w:val="center"/>
          </w:tcPr>
          <w:p w14:paraId="7BF985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0811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6" w:type="dxa"/>
            <w:vMerge w:val="continue"/>
            <w:noWrap w:val="0"/>
            <w:vAlign w:val="center"/>
          </w:tcPr>
          <w:p w14:paraId="1600FB5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6531125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高性能存储</w:t>
            </w:r>
          </w:p>
        </w:tc>
        <w:tc>
          <w:tcPr>
            <w:tcW w:w="2504" w:type="dxa"/>
            <w:noWrap w:val="0"/>
            <w:vAlign w:val="center"/>
          </w:tcPr>
          <w:p w14:paraId="0CA8442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高性能存储（单盘技术指标：单盘IOPS 3000-20000）</w:t>
            </w:r>
          </w:p>
        </w:tc>
        <w:tc>
          <w:tcPr>
            <w:tcW w:w="770" w:type="dxa"/>
            <w:noWrap w:val="0"/>
            <w:vAlign w:val="center"/>
          </w:tcPr>
          <w:p w14:paraId="0DD9DE7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GB</w:t>
            </w:r>
          </w:p>
        </w:tc>
        <w:tc>
          <w:tcPr>
            <w:tcW w:w="860" w:type="dxa"/>
            <w:noWrap w:val="0"/>
            <w:vAlign w:val="center"/>
          </w:tcPr>
          <w:p w14:paraId="0C4C1F5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1775528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15</w:t>
            </w:r>
            <w:r>
              <w:rPr>
                <w:rFonts w:hint="eastAsia" w:ascii="宋体" w:hAnsi="宋体" w:eastAsia="宋体" w:cs="宋体"/>
                <w:color w:val="000000"/>
                <w:kern w:val="0"/>
                <w:sz w:val="24"/>
                <w:szCs w:val="24"/>
                <w:highlight w:val="none"/>
                <w:lang w:eastAsia="zh" w:bidi="ar"/>
              </w:rPr>
              <w:t>,</w:t>
            </w:r>
            <w:r>
              <w:rPr>
                <w:rFonts w:hint="eastAsia" w:ascii="宋体" w:hAnsi="宋体" w:eastAsia="宋体" w:cs="宋体"/>
                <w:color w:val="000000"/>
                <w:kern w:val="0"/>
                <w:sz w:val="24"/>
                <w:szCs w:val="24"/>
                <w:highlight w:val="none"/>
                <w:lang w:bidi="ar"/>
              </w:rPr>
              <w:t>878.8</w:t>
            </w:r>
          </w:p>
        </w:tc>
        <w:tc>
          <w:tcPr>
            <w:tcW w:w="963" w:type="dxa"/>
            <w:noWrap w:val="0"/>
            <w:vAlign w:val="center"/>
          </w:tcPr>
          <w:p w14:paraId="6A57724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7B1C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vMerge w:val="continue"/>
            <w:noWrap w:val="0"/>
            <w:vAlign w:val="center"/>
          </w:tcPr>
          <w:p w14:paraId="1B77E44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64B38E8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静态存储</w:t>
            </w:r>
          </w:p>
        </w:tc>
        <w:tc>
          <w:tcPr>
            <w:tcW w:w="2504" w:type="dxa"/>
            <w:noWrap w:val="0"/>
            <w:vAlign w:val="center"/>
          </w:tcPr>
          <w:p w14:paraId="05B57DD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大容量、高可靠的数据存储服务具备PB级线性扩展能力</w:t>
            </w:r>
          </w:p>
          <w:p w14:paraId="1211D7F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提供静态数据存储</w:t>
            </w:r>
          </w:p>
        </w:tc>
        <w:tc>
          <w:tcPr>
            <w:tcW w:w="770" w:type="dxa"/>
            <w:noWrap w:val="0"/>
            <w:vAlign w:val="center"/>
          </w:tcPr>
          <w:p w14:paraId="7FA9A6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1TB</w:t>
            </w:r>
          </w:p>
        </w:tc>
        <w:tc>
          <w:tcPr>
            <w:tcW w:w="860" w:type="dxa"/>
            <w:noWrap w:val="0"/>
            <w:vAlign w:val="center"/>
          </w:tcPr>
          <w:p w14:paraId="330BDD5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5995722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52.53</w:t>
            </w:r>
          </w:p>
        </w:tc>
        <w:tc>
          <w:tcPr>
            <w:tcW w:w="963" w:type="dxa"/>
            <w:noWrap w:val="0"/>
            <w:vAlign w:val="center"/>
          </w:tcPr>
          <w:p w14:paraId="38455D6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67A3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vMerge w:val="continue"/>
            <w:noWrap w:val="0"/>
            <w:vAlign w:val="center"/>
          </w:tcPr>
          <w:p w14:paraId="2E7C183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552719AF">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本地</w:t>
            </w:r>
          </w:p>
          <w:p w14:paraId="6671E956">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备份服务</w:t>
            </w:r>
          </w:p>
        </w:tc>
        <w:tc>
          <w:tcPr>
            <w:tcW w:w="2504" w:type="dxa"/>
            <w:noWrap w:val="0"/>
            <w:vAlign w:val="center"/>
          </w:tcPr>
          <w:p w14:paraId="3C60C9DA">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通过备份策略实现文件、操作系统、数据库的本地备份</w:t>
            </w:r>
          </w:p>
          <w:p w14:paraId="021AB7B6">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（不包含备份存储空间费用）</w:t>
            </w:r>
          </w:p>
        </w:tc>
        <w:tc>
          <w:tcPr>
            <w:tcW w:w="770" w:type="dxa"/>
            <w:noWrap w:val="0"/>
            <w:vAlign w:val="center"/>
          </w:tcPr>
          <w:p w14:paraId="375FC9C9">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1GB</w:t>
            </w:r>
          </w:p>
        </w:tc>
        <w:tc>
          <w:tcPr>
            <w:tcW w:w="860" w:type="dxa"/>
            <w:noWrap w:val="0"/>
            <w:vAlign w:val="center"/>
          </w:tcPr>
          <w:p w14:paraId="28CABBAE">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448F8F5D">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44</w:t>
            </w:r>
            <w:r>
              <w:rPr>
                <w:rFonts w:hint="eastAsia" w:ascii="宋体" w:hAnsi="宋体" w:eastAsia="宋体" w:cs="宋体"/>
                <w:color w:val="000000"/>
                <w:kern w:val="0"/>
                <w:sz w:val="24"/>
                <w:szCs w:val="24"/>
                <w:highlight w:val="none"/>
                <w:lang w:eastAsia="zh" w:bidi="ar"/>
              </w:rPr>
              <w:t>,</w:t>
            </w:r>
            <w:r>
              <w:rPr>
                <w:rFonts w:hint="eastAsia" w:ascii="宋体" w:hAnsi="宋体" w:eastAsia="宋体" w:cs="宋体"/>
                <w:color w:val="000000"/>
                <w:kern w:val="0"/>
                <w:sz w:val="24"/>
                <w:szCs w:val="24"/>
                <w:highlight w:val="none"/>
                <w:lang w:bidi="ar"/>
              </w:rPr>
              <w:t>681.83</w:t>
            </w:r>
          </w:p>
        </w:tc>
        <w:tc>
          <w:tcPr>
            <w:tcW w:w="963" w:type="dxa"/>
            <w:noWrap w:val="0"/>
            <w:vAlign w:val="center"/>
          </w:tcPr>
          <w:p w14:paraId="5BBBC9D8">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12</w:t>
            </w:r>
          </w:p>
        </w:tc>
      </w:tr>
      <w:tr w14:paraId="57B1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6" w:type="dxa"/>
            <w:vMerge w:val="restart"/>
            <w:noWrap w:val="0"/>
            <w:vAlign w:val="center"/>
          </w:tcPr>
          <w:p w14:paraId="392F0F1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网络服务</w:t>
            </w:r>
          </w:p>
          <w:p w14:paraId="4F083A1F">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负载均衡服务</w:t>
            </w:r>
          </w:p>
        </w:tc>
        <w:tc>
          <w:tcPr>
            <w:tcW w:w="1480" w:type="dxa"/>
            <w:noWrap w:val="0"/>
            <w:vAlign w:val="center"/>
          </w:tcPr>
          <w:p w14:paraId="3B83E53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互联网</w:t>
            </w:r>
          </w:p>
        </w:tc>
        <w:tc>
          <w:tcPr>
            <w:tcW w:w="2504" w:type="dxa"/>
            <w:noWrap w:val="0"/>
            <w:vAlign w:val="center"/>
          </w:tcPr>
          <w:p w14:paraId="5288E00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互联网链路带宽</w:t>
            </w:r>
          </w:p>
        </w:tc>
        <w:tc>
          <w:tcPr>
            <w:tcW w:w="770" w:type="dxa"/>
            <w:noWrap w:val="0"/>
            <w:vAlign w:val="center"/>
          </w:tcPr>
          <w:p w14:paraId="2932F66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Mb</w:t>
            </w:r>
          </w:p>
        </w:tc>
        <w:tc>
          <w:tcPr>
            <w:tcW w:w="860" w:type="dxa"/>
            <w:noWrap w:val="0"/>
            <w:vAlign w:val="center"/>
          </w:tcPr>
          <w:p w14:paraId="646919D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44BACCA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50</w:t>
            </w:r>
          </w:p>
        </w:tc>
        <w:tc>
          <w:tcPr>
            <w:tcW w:w="963" w:type="dxa"/>
            <w:noWrap w:val="0"/>
            <w:vAlign w:val="center"/>
          </w:tcPr>
          <w:p w14:paraId="5C334B8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58AE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6" w:type="dxa"/>
            <w:vMerge w:val="continue"/>
            <w:noWrap w:val="0"/>
            <w:vAlign w:val="center"/>
          </w:tcPr>
          <w:p w14:paraId="1BA9490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62AEFA4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链路服务</w:t>
            </w:r>
          </w:p>
        </w:tc>
        <w:tc>
          <w:tcPr>
            <w:tcW w:w="2504" w:type="dxa"/>
            <w:noWrap w:val="0"/>
            <w:vAlign w:val="center"/>
          </w:tcPr>
          <w:p w14:paraId="534C985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互联网IP地址租用服务并提供备案服务</w:t>
            </w:r>
          </w:p>
        </w:tc>
        <w:tc>
          <w:tcPr>
            <w:tcW w:w="770" w:type="dxa"/>
            <w:noWrap w:val="0"/>
            <w:vAlign w:val="center"/>
          </w:tcPr>
          <w:p w14:paraId="6426511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IP</w:t>
            </w:r>
          </w:p>
        </w:tc>
        <w:tc>
          <w:tcPr>
            <w:tcW w:w="860" w:type="dxa"/>
            <w:noWrap w:val="0"/>
            <w:vAlign w:val="center"/>
          </w:tcPr>
          <w:p w14:paraId="156E4D1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3BEDA70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w:t>
            </w:r>
          </w:p>
        </w:tc>
        <w:tc>
          <w:tcPr>
            <w:tcW w:w="963" w:type="dxa"/>
            <w:noWrap w:val="0"/>
            <w:vAlign w:val="center"/>
          </w:tcPr>
          <w:p w14:paraId="35362C0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63B4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6" w:type="dxa"/>
            <w:vMerge w:val="continue"/>
            <w:noWrap w:val="0"/>
            <w:vAlign w:val="center"/>
          </w:tcPr>
          <w:p w14:paraId="294A17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1046D63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远程</w:t>
            </w:r>
          </w:p>
          <w:p w14:paraId="5243491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接入服务</w:t>
            </w:r>
          </w:p>
        </w:tc>
        <w:tc>
          <w:tcPr>
            <w:tcW w:w="2504" w:type="dxa"/>
            <w:noWrap w:val="0"/>
            <w:vAlign w:val="center"/>
          </w:tcPr>
          <w:p w14:paraId="102A246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远程接入运维，每个账号结合身份验证通过VPN远程接入</w:t>
            </w:r>
          </w:p>
          <w:p w14:paraId="126ADED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堡垒机进行维护</w:t>
            </w:r>
          </w:p>
        </w:tc>
        <w:tc>
          <w:tcPr>
            <w:tcW w:w="770" w:type="dxa"/>
            <w:noWrap w:val="0"/>
            <w:vAlign w:val="center"/>
          </w:tcPr>
          <w:p w14:paraId="2651A21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1账号</w:t>
            </w:r>
          </w:p>
        </w:tc>
        <w:tc>
          <w:tcPr>
            <w:tcW w:w="860" w:type="dxa"/>
            <w:noWrap w:val="0"/>
            <w:vAlign w:val="center"/>
          </w:tcPr>
          <w:p w14:paraId="3EC5370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41753B0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6</w:t>
            </w:r>
          </w:p>
        </w:tc>
        <w:tc>
          <w:tcPr>
            <w:tcW w:w="963" w:type="dxa"/>
            <w:noWrap w:val="0"/>
            <w:vAlign w:val="center"/>
          </w:tcPr>
          <w:p w14:paraId="07B57B9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r w14:paraId="3E5D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6" w:type="dxa"/>
            <w:vMerge w:val="continue"/>
            <w:noWrap w:val="0"/>
            <w:vAlign w:val="center"/>
          </w:tcPr>
          <w:p w14:paraId="49F2068A">
            <w:pPr>
              <w:widowControl/>
              <w:spacing w:line="360" w:lineRule="auto"/>
              <w:jc w:val="center"/>
              <w:textAlignment w:val="center"/>
              <w:rPr>
                <w:rFonts w:hint="eastAsia" w:ascii="宋体" w:hAnsi="宋体" w:eastAsia="宋体" w:cs="宋体"/>
                <w:color w:val="000000"/>
                <w:kern w:val="0"/>
                <w:sz w:val="24"/>
                <w:szCs w:val="24"/>
                <w:highlight w:val="none"/>
                <w:lang w:bidi="ar"/>
              </w:rPr>
            </w:pPr>
          </w:p>
        </w:tc>
        <w:tc>
          <w:tcPr>
            <w:tcW w:w="1480" w:type="dxa"/>
            <w:noWrap w:val="0"/>
            <w:vAlign w:val="center"/>
          </w:tcPr>
          <w:p w14:paraId="5D2DF866">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负载</w:t>
            </w:r>
          </w:p>
          <w:p w14:paraId="471914EA">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均衡服务</w:t>
            </w:r>
          </w:p>
        </w:tc>
        <w:tc>
          <w:tcPr>
            <w:tcW w:w="2504" w:type="dxa"/>
            <w:noWrap w:val="0"/>
            <w:vAlign w:val="center"/>
          </w:tcPr>
          <w:p w14:paraId="6F7EEBB9">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提供主机应用集群</w:t>
            </w:r>
          </w:p>
          <w:p w14:paraId="5E2DBD8C">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负载均衡服务</w:t>
            </w:r>
          </w:p>
        </w:tc>
        <w:tc>
          <w:tcPr>
            <w:tcW w:w="770" w:type="dxa"/>
            <w:noWrap w:val="0"/>
            <w:vAlign w:val="center"/>
          </w:tcPr>
          <w:p w14:paraId="55F178CB">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1主机</w:t>
            </w:r>
          </w:p>
        </w:tc>
        <w:tc>
          <w:tcPr>
            <w:tcW w:w="860" w:type="dxa"/>
            <w:noWrap w:val="0"/>
            <w:vAlign w:val="center"/>
          </w:tcPr>
          <w:p w14:paraId="40436152">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IP/元/月</w:t>
            </w:r>
          </w:p>
        </w:tc>
        <w:tc>
          <w:tcPr>
            <w:tcW w:w="1140" w:type="dxa"/>
            <w:noWrap w:val="0"/>
            <w:vAlign w:val="center"/>
          </w:tcPr>
          <w:p w14:paraId="4F33579D">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9</w:t>
            </w:r>
          </w:p>
        </w:tc>
        <w:tc>
          <w:tcPr>
            <w:tcW w:w="963" w:type="dxa"/>
            <w:noWrap w:val="0"/>
            <w:vAlign w:val="center"/>
          </w:tcPr>
          <w:p w14:paraId="0AA82AA5">
            <w:pPr>
              <w:widowControl/>
              <w:spacing w:line="360" w:lineRule="auto"/>
              <w:jc w:val="center"/>
              <w:textAlignment w:val="center"/>
              <w:rPr>
                <w:rFonts w:hint="default" w:ascii="宋体" w:hAnsi="宋体" w:eastAsia="宋体" w:cs="宋体"/>
                <w:color w:val="000000"/>
                <w:kern w:val="0"/>
                <w:sz w:val="24"/>
                <w:szCs w:val="24"/>
                <w:highlight w:val="none"/>
                <w:lang w:val="en-US" w:bidi="ar"/>
              </w:rPr>
            </w:pPr>
            <w:r>
              <w:rPr>
                <w:rFonts w:hint="default" w:ascii="宋体" w:hAnsi="宋体" w:eastAsia="宋体" w:cs="宋体"/>
                <w:color w:val="000000"/>
                <w:kern w:val="0"/>
                <w:sz w:val="24"/>
                <w:szCs w:val="24"/>
                <w:highlight w:val="none"/>
                <w:lang w:val="en-US" w:bidi="ar"/>
              </w:rPr>
              <w:t>12</w:t>
            </w:r>
          </w:p>
        </w:tc>
      </w:tr>
      <w:tr w14:paraId="29C7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16" w:type="dxa"/>
            <w:noWrap w:val="0"/>
            <w:vAlign w:val="center"/>
          </w:tcPr>
          <w:p w14:paraId="458F0B5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特定云主机深度监控及运维保障服务（7×24小时值守）</w:t>
            </w:r>
          </w:p>
        </w:tc>
        <w:tc>
          <w:tcPr>
            <w:tcW w:w="1480" w:type="dxa"/>
            <w:noWrap w:val="0"/>
            <w:vAlign w:val="center"/>
          </w:tcPr>
          <w:p w14:paraId="77C031B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特定云主机深度监控及运维保障服务（7×24小时值守）</w:t>
            </w:r>
          </w:p>
        </w:tc>
        <w:tc>
          <w:tcPr>
            <w:tcW w:w="2504" w:type="dxa"/>
            <w:noWrap w:val="0"/>
            <w:vAlign w:val="center"/>
          </w:tcPr>
          <w:p w14:paraId="6355633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7×24小时深度监测云主机资源、硬件设备监控、云平台层</w:t>
            </w:r>
          </w:p>
          <w:p w14:paraId="58E469A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应急处置等内容</w:t>
            </w:r>
          </w:p>
        </w:tc>
        <w:tc>
          <w:tcPr>
            <w:tcW w:w="770" w:type="dxa"/>
            <w:noWrap w:val="0"/>
            <w:vAlign w:val="center"/>
          </w:tcPr>
          <w:p w14:paraId="4E154F1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1主机</w:t>
            </w:r>
          </w:p>
        </w:tc>
        <w:tc>
          <w:tcPr>
            <w:tcW w:w="860" w:type="dxa"/>
            <w:noWrap w:val="0"/>
            <w:vAlign w:val="center"/>
          </w:tcPr>
          <w:p w14:paraId="6CFA338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元/月</w:t>
            </w:r>
          </w:p>
        </w:tc>
        <w:tc>
          <w:tcPr>
            <w:tcW w:w="1140" w:type="dxa"/>
            <w:noWrap w:val="0"/>
            <w:vAlign w:val="center"/>
          </w:tcPr>
          <w:p w14:paraId="4D3C94B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52</w:t>
            </w:r>
          </w:p>
        </w:tc>
        <w:tc>
          <w:tcPr>
            <w:tcW w:w="963" w:type="dxa"/>
            <w:noWrap w:val="0"/>
            <w:vAlign w:val="center"/>
          </w:tcPr>
          <w:p w14:paraId="3B268BC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12</w:t>
            </w:r>
          </w:p>
        </w:tc>
      </w:tr>
    </w:tbl>
    <w:p w14:paraId="27E424BC">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政务云扩展服务</w:t>
      </w:r>
    </w:p>
    <w:tbl>
      <w:tblPr>
        <w:tblStyle w:val="5"/>
        <w:tblW w:w="0" w:type="auto"/>
        <w:tblInd w:w="0" w:type="dxa"/>
        <w:tblLayout w:type="fixed"/>
        <w:tblCellMar>
          <w:top w:w="0" w:type="dxa"/>
          <w:left w:w="108" w:type="dxa"/>
          <w:bottom w:w="0" w:type="dxa"/>
          <w:right w:w="108" w:type="dxa"/>
        </w:tblCellMar>
      </w:tblPr>
      <w:tblGrid>
        <w:gridCol w:w="1231"/>
        <w:gridCol w:w="1223"/>
        <w:gridCol w:w="2812"/>
        <w:gridCol w:w="863"/>
        <w:gridCol w:w="727"/>
        <w:gridCol w:w="722"/>
        <w:gridCol w:w="939"/>
      </w:tblGrid>
      <w:tr w14:paraId="7E7859C2">
        <w:tblPrEx>
          <w:tblCellMar>
            <w:top w:w="0" w:type="dxa"/>
            <w:left w:w="108" w:type="dxa"/>
            <w:bottom w:w="0" w:type="dxa"/>
            <w:right w:w="108" w:type="dxa"/>
          </w:tblCellMar>
        </w:tblPrEx>
        <w:trPr>
          <w:trHeight w:val="315" w:hRule="atLeast"/>
        </w:trPr>
        <w:tc>
          <w:tcPr>
            <w:tcW w:w="1231" w:type="dxa"/>
            <w:tcBorders>
              <w:top w:val="single" w:color="000000" w:sz="4" w:space="0"/>
              <w:left w:val="single" w:color="000000" w:sz="4" w:space="0"/>
              <w:bottom w:val="single" w:color="000000" w:sz="4" w:space="0"/>
              <w:right w:val="single" w:color="000000" w:sz="4" w:space="0"/>
            </w:tcBorders>
            <w:noWrap w:val="0"/>
            <w:vAlign w:val="center"/>
          </w:tcPr>
          <w:p w14:paraId="5AD04853">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服务类别</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3157D06A">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服务子类</w:t>
            </w:r>
          </w:p>
        </w:tc>
        <w:tc>
          <w:tcPr>
            <w:tcW w:w="2812" w:type="dxa"/>
            <w:tcBorders>
              <w:top w:val="single" w:color="000000" w:sz="4" w:space="0"/>
              <w:left w:val="single" w:color="000000" w:sz="4" w:space="0"/>
              <w:bottom w:val="single" w:color="000000" w:sz="4" w:space="0"/>
              <w:right w:val="single" w:color="000000" w:sz="4" w:space="0"/>
            </w:tcBorders>
            <w:noWrap w:val="0"/>
            <w:vAlign w:val="center"/>
          </w:tcPr>
          <w:p w14:paraId="79E388BB">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服务项</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4EEF9CE">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计价单位</w:t>
            </w:r>
          </w:p>
        </w:tc>
        <w:tc>
          <w:tcPr>
            <w:tcW w:w="727" w:type="dxa"/>
            <w:tcBorders>
              <w:top w:val="single" w:color="000000" w:sz="4" w:space="0"/>
              <w:left w:val="single" w:color="000000" w:sz="4" w:space="0"/>
              <w:bottom w:val="single" w:color="000000" w:sz="4" w:space="0"/>
              <w:right w:val="single" w:color="000000" w:sz="4" w:space="0"/>
            </w:tcBorders>
            <w:noWrap w:val="0"/>
            <w:vAlign w:val="center"/>
          </w:tcPr>
          <w:p w14:paraId="3E9C024A">
            <w:pPr>
              <w:widowControl/>
              <w:spacing w:line="360" w:lineRule="auto"/>
              <w:jc w:val="left"/>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报价单位</w:t>
            </w:r>
          </w:p>
        </w:tc>
        <w:tc>
          <w:tcPr>
            <w:tcW w:w="722" w:type="dxa"/>
            <w:tcBorders>
              <w:top w:val="single" w:color="000000" w:sz="4" w:space="0"/>
              <w:left w:val="single" w:color="000000" w:sz="4" w:space="0"/>
              <w:bottom w:val="single" w:color="000000" w:sz="4" w:space="0"/>
              <w:right w:val="single" w:color="000000" w:sz="4" w:space="0"/>
            </w:tcBorders>
            <w:noWrap/>
            <w:vAlign w:val="center"/>
          </w:tcPr>
          <w:p w14:paraId="732CB26A">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数量 </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6B95FF4">
            <w:pPr>
              <w:widowControl/>
              <w:spacing w:line="360" w:lineRule="auto"/>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kern w:val="0"/>
                <w:sz w:val="24"/>
                <w:highlight w:val="none"/>
                <w:lang w:bidi="ar"/>
              </w:rPr>
              <w:t xml:space="preserve"> 期限（月） </w:t>
            </w:r>
          </w:p>
        </w:tc>
      </w:tr>
      <w:tr w14:paraId="0A9782C4">
        <w:tblPrEx>
          <w:tblCellMar>
            <w:top w:w="0" w:type="dxa"/>
            <w:left w:w="108" w:type="dxa"/>
            <w:bottom w:w="0" w:type="dxa"/>
            <w:right w:w="108" w:type="dxa"/>
          </w:tblCellMar>
        </w:tblPrEx>
        <w:trPr>
          <w:trHeight w:val="270" w:hRule="atLeast"/>
        </w:trPr>
        <w:tc>
          <w:tcPr>
            <w:tcW w:w="1231" w:type="dxa"/>
            <w:tcBorders>
              <w:top w:val="single" w:color="000000" w:sz="4" w:space="0"/>
              <w:left w:val="single" w:color="000000" w:sz="4" w:space="0"/>
              <w:bottom w:val="single" w:color="000000" w:sz="4" w:space="0"/>
              <w:right w:val="single" w:color="000000" w:sz="4" w:space="0"/>
            </w:tcBorders>
            <w:noWrap w:val="0"/>
            <w:vAlign w:val="center"/>
          </w:tcPr>
          <w:p w14:paraId="347DEAA3">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bidi="ar"/>
              </w:rPr>
              <w:t>基础软件支撑服务</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6D6572A5">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商用操作系统套餐</w:t>
            </w:r>
          </w:p>
        </w:tc>
        <w:tc>
          <w:tcPr>
            <w:tcW w:w="2812" w:type="dxa"/>
            <w:tcBorders>
              <w:top w:val="single" w:color="000000" w:sz="4" w:space="0"/>
              <w:left w:val="single" w:color="000000" w:sz="4" w:space="0"/>
              <w:bottom w:val="single" w:color="000000" w:sz="4" w:space="0"/>
              <w:right w:val="single" w:color="000000" w:sz="4" w:space="0"/>
            </w:tcBorders>
            <w:noWrap w:val="0"/>
            <w:vAlign w:val="center"/>
          </w:tcPr>
          <w:p w14:paraId="0A724C9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国产Linux套餐：国产Linux操作系统服务租用、安装及维护</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59825A4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1个云主机</w:t>
            </w:r>
          </w:p>
        </w:tc>
        <w:tc>
          <w:tcPr>
            <w:tcW w:w="727" w:type="dxa"/>
            <w:tcBorders>
              <w:top w:val="single" w:color="000000" w:sz="4" w:space="0"/>
              <w:left w:val="single" w:color="000000" w:sz="4" w:space="0"/>
              <w:bottom w:val="single" w:color="000000" w:sz="4" w:space="0"/>
              <w:right w:val="single" w:color="000000" w:sz="4" w:space="0"/>
            </w:tcBorders>
            <w:noWrap w:val="0"/>
            <w:vAlign w:val="center"/>
          </w:tcPr>
          <w:p w14:paraId="6E4A37F9">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元/月</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14:paraId="5F706808">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25</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03302FBF">
            <w:pPr>
              <w:widowControl/>
              <w:spacing w:line="360" w:lineRule="auto"/>
              <w:jc w:val="center"/>
              <w:textAlignment w:val="center"/>
              <w:rPr>
                <w:rFonts w:hint="eastAsia" w:ascii="宋体" w:hAnsi="宋体" w:eastAsia="宋体" w:cs="宋体"/>
                <w:color w:val="000000"/>
                <w:sz w:val="24"/>
                <w:highlight w:val="none"/>
              </w:rPr>
            </w:pPr>
            <w:r>
              <w:rPr>
                <w:rFonts w:hint="eastAsia" w:ascii="宋体" w:hAnsi="宋体" w:eastAsia="宋体" w:cs="宋体"/>
                <w:color w:val="000000"/>
                <w:kern w:val="0"/>
                <w:sz w:val="24"/>
                <w:szCs w:val="24"/>
                <w:highlight w:val="none"/>
                <w:lang w:bidi="ar"/>
              </w:rPr>
              <w:t>12</w:t>
            </w:r>
          </w:p>
        </w:tc>
      </w:tr>
      <w:tr w14:paraId="18EAECD2">
        <w:tblPrEx>
          <w:tblCellMar>
            <w:top w:w="0" w:type="dxa"/>
            <w:left w:w="108" w:type="dxa"/>
            <w:bottom w:w="0" w:type="dxa"/>
            <w:right w:w="108" w:type="dxa"/>
          </w:tblCellMar>
        </w:tblPrEx>
        <w:trPr>
          <w:trHeight w:val="270" w:hRule="atLeast"/>
        </w:trPr>
        <w:tc>
          <w:tcPr>
            <w:tcW w:w="1231" w:type="dxa"/>
            <w:vMerge w:val="restart"/>
            <w:tcBorders>
              <w:top w:val="single" w:color="auto" w:sz="4" w:space="0"/>
              <w:left w:val="single" w:color="auto" w:sz="4" w:space="0"/>
              <w:right w:val="single" w:color="auto" w:sz="4" w:space="0"/>
            </w:tcBorders>
            <w:noWrap w:val="0"/>
            <w:vAlign w:val="center"/>
          </w:tcPr>
          <w:p w14:paraId="1FFF6A60">
            <w:pPr>
              <w:widowControl/>
              <w:spacing w:line="360" w:lineRule="auto"/>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bidi="ar"/>
              </w:rPr>
              <w:t>安全服务</w:t>
            </w:r>
          </w:p>
        </w:tc>
        <w:tc>
          <w:tcPr>
            <w:tcW w:w="1223" w:type="dxa"/>
            <w:tcBorders>
              <w:top w:val="single" w:color="auto" w:sz="4" w:space="0"/>
              <w:left w:val="single" w:color="auto" w:sz="4" w:space="0"/>
              <w:bottom w:val="single" w:color="auto" w:sz="4" w:space="0"/>
              <w:right w:val="single" w:color="auto" w:sz="4" w:space="0"/>
            </w:tcBorders>
            <w:noWrap/>
            <w:vAlign w:val="center"/>
          </w:tcPr>
          <w:p w14:paraId="04A23BEA">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云端抗DDOS服务</w:t>
            </w:r>
          </w:p>
        </w:tc>
        <w:tc>
          <w:tcPr>
            <w:tcW w:w="2812" w:type="dxa"/>
            <w:tcBorders>
              <w:top w:val="single" w:color="auto" w:sz="4" w:space="0"/>
              <w:left w:val="single" w:color="auto" w:sz="4" w:space="0"/>
              <w:bottom w:val="single" w:color="auto" w:sz="4" w:space="0"/>
              <w:right w:val="single" w:color="auto" w:sz="4" w:space="0"/>
            </w:tcBorders>
            <w:noWrap w:val="0"/>
            <w:vAlign w:val="center"/>
          </w:tcPr>
          <w:p w14:paraId="1EC26590">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云端抗DDOS服务</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D9416EA">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套</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55DF66E6">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元/月</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2B6B1180">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4368F974">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12</w:t>
            </w:r>
          </w:p>
        </w:tc>
      </w:tr>
      <w:tr w14:paraId="2C290875">
        <w:tblPrEx>
          <w:tblCellMar>
            <w:top w:w="0" w:type="dxa"/>
            <w:left w:w="108" w:type="dxa"/>
            <w:bottom w:w="0" w:type="dxa"/>
            <w:right w:w="108" w:type="dxa"/>
          </w:tblCellMar>
        </w:tblPrEx>
        <w:trPr>
          <w:trHeight w:val="270" w:hRule="atLeast"/>
        </w:trPr>
        <w:tc>
          <w:tcPr>
            <w:tcW w:w="1231" w:type="dxa"/>
            <w:vMerge w:val="continue"/>
            <w:tcBorders>
              <w:left w:val="single" w:color="auto" w:sz="4" w:space="0"/>
              <w:bottom w:val="single" w:color="auto" w:sz="4" w:space="0"/>
              <w:right w:val="single" w:color="auto" w:sz="4" w:space="0"/>
            </w:tcBorders>
            <w:noWrap w:val="0"/>
            <w:vAlign w:val="top"/>
          </w:tcPr>
          <w:p w14:paraId="0A49C2FF">
            <w:pPr>
              <w:widowControl/>
              <w:spacing w:line="360" w:lineRule="auto"/>
              <w:jc w:val="center"/>
              <w:rPr>
                <w:rFonts w:hint="eastAsia" w:ascii="宋体" w:hAnsi="宋体" w:eastAsia="宋体" w:cs="宋体"/>
                <w:color w:val="000000"/>
                <w:sz w:val="24"/>
                <w:highlight w:val="none"/>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14:paraId="1E9B1D05">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主机</w:t>
            </w:r>
          </w:p>
          <w:p w14:paraId="6A46FA59">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杀毒服务</w:t>
            </w:r>
          </w:p>
        </w:tc>
        <w:tc>
          <w:tcPr>
            <w:tcW w:w="2812" w:type="dxa"/>
            <w:tcBorders>
              <w:top w:val="single" w:color="auto" w:sz="4" w:space="0"/>
              <w:left w:val="single" w:color="auto" w:sz="4" w:space="0"/>
              <w:bottom w:val="single" w:color="auto" w:sz="4" w:space="0"/>
              <w:right w:val="single" w:color="auto" w:sz="4" w:space="0"/>
            </w:tcBorders>
            <w:noWrap w:val="0"/>
            <w:vAlign w:val="center"/>
          </w:tcPr>
          <w:p w14:paraId="748EB844">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对云主机进行定期的病毒查杀杀毒软件集中控制对网络性能无影响</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0429080">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1台</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31A8D232">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元/月</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C73CAB9">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52</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1355E153">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12</w:t>
            </w:r>
          </w:p>
        </w:tc>
      </w:tr>
      <w:tr w14:paraId="2EEF0D4D">
        <w:tblPrEx>
          <w:tblCellMar>
            <w:top w:w="0" w:type="dxa"/>
            <w:left w:w="108" w:type="dxa"/>
            <w:bottom w:w="0" w:type="dxa"/>
            <w:right w:w="108" w:type="dxa"/>
          </w:tblCellMar>
        </w:tblPrEx>
        <w:trPr>
          <w:trHeight w:val="270" w:hRule="atLeast"/>
        </w:trPr>
        <w:tc>
          <w:tcPr>
            <w:tcW w:w="1231" w:type="dxa"/>
            <w:vMerge w:val="restart"/>
            <w:tcBorders>
              <w:top w:val="single" w:color="auto" w:sz="4" w:space="0"/>
              <w:left w:val="single" w:color="auto" w:sz="4" w:space="0"/>
              <w:right w:val="single" w:color="auto" w:sz="4" w:space="0"/>
            </w:tcBorders>
            <w:noWrap w:val="0"/>
            <w:vAlign w:val="center"/>
          </w:tcPr>
          <w:p w14:paraId="74DC42C4">
            <w:pPr>
              <w:widowControl/>
              <w:spacing w:line="360" w:lineRule="auto"/>
              <w:jc w:val="left"/>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其他服务</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27F84443">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集中式</w:t>
            </w:r>
          </w:p>
          <w:p w14:paraId="4A788C92">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存储租用</w:t>
            </w:r>
          </w:p>
        </w:tc>
        <w:tc>
          <w:tcPr>
            <w:tcW w:w="2812" w:type="dxa"/>
            <w:tcBorders>
              <w:top w:val="single" w:color="auto" w:sz="4" w:space="0"/>
              <w:left w:val="single" w:color="auto" w:sz="4" w:space="0"/>
              <w:bottom w:val="single" w:color="auto" w:sz="4" w:space="0"/>
              <w:right w:val="single" w:color="auto" w:sz="4" w:space="0"/>
            </w:tcBorders>
            <w:noWrap w:val="0"/>
            <w:vAlign w:val="center"/>
          </w:tcPr>
          <w:p w14:paraId="054EA04E">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提供集中式存储用于支持Oracle RAC</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337A965">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1GB</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49109BC2">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元/月</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EF0FE7C">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4</w:t>
            </w:r>
            <w:r>
              <w:rPr>
                <w:rFonts w:hint="eastAsia" w:ascii="宋体" w:hAnsi="宋体" w:eastAsia="宋体" w:cs="宋体"/>
                <w:color w:val="000000"/>
                <w:kern w:val="0"/>
                <w:sz w:val="24"/>
                <w:szCs w:val="24"/>
                <w:highlight w:val="none"/>
                <w:lang w:eastAsia="zh" w:bidi="ar"/>
              </w:rPr>
              <w:t>,</w:t>
            </w:r>
            <w:r>
              <w:rPr>
                <w:rFonts w:hint="eastAsia" w:ascii="宋体" w:hAnsi="宋体" w:eastAsia="宋体" w:cs="宋体"/>
                <w:color w:val="000000"/>
                <w:kern w:val="0"/>
                <w:sz w:val="24"/>
                <w:szCs w:val="24"/>
                <w:highlight w:val="none"/>
                <w:lang w:bidi="ar"/>
              </w:rPr>
              <w:t>000</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7E1929F8">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12</w:t>
            </w:r>
          </w:p>
        </w:tc>
      </w:tr>
      <w:tr w14:paraId="2F683E5F">
        <w:tblPrEx>
          <w:tblCellMar>
            <w:top w:w="0" w:type="dxa"/>
            <w:left w:w="108" w:type="dxa"/>
            <w:bottom w:w="0" w:type="dxa"/>
            <w:right w:w="108" w:type="dxa"/>
          </w:tblCellMar>
        </w:tblPrEx>
        <w:trPr>
          <w:trHeight w:val="270" w:hRule="atLeast"/>
        </w:trPr>
        <w:tc>
          <w:tcPr>
            <w:tcW w:w="1231" w:type="dxa"/>
            <w:vMerge w:val="continue"/>
            <w:tcBorders>
              <w:left w:val="single" w:color="auto" w:sz="4" w:space="0"/>
              <w:bottom w:val="single" w:color="auto" w:sz="4" w:space="0"/>
              <w:right w:val="single" w:color="auto" w:sz="4" w:space="0"/>
            </w:tcBorders>
            <w:noWrap w:val="0"/>
            <w:vAlign w:val="top"/>
          </w:tcPr>
          <w:p w14:paraId="318BE529">
            <w:pPr>
              <w:widowControl/>
              <w:spacing w:line="360" w:lineRule="auto"/>
              <w:jc w:val="center"/>
              <w:rPr>
                <w:rFonts w:hint="eastAsia" w:ascii="宋体" w:hAnsi="宋体" w:eastAsia="宋体" w:cs="宋体"/>
                <w:color w:val="000000"/>
                <w:sz w:val="24"/>
                <w:highlight w:val="none"/>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B54E673">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商用</w:t>
            </w:r>
          </w:p>
          <w:p w14:paraId="3147CC09">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数据库</w:t>
            </w:r>
          </w:p>
          <w:p w14:paraId="4D493F6D">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套餐</w:t>
            </w:r>
          </w:p>
        </w:tc>
        <w:tc>
          <w:tcPr>
            <w:tcW w:w="2812" w:type="dxa"/>
            <w:tcBorders>
              <w:top w:val="single" w:color="auto" w:sz="4" w:space="0"/>
              <w:left w:val="single" w:color="auto" w:sz="4" w:space="0"/>
              <w:bottom w:val="single" w:color="auto" w:sz="4" w:space="0"/>
              <w:right w:val="single" w:color="auto" w:sz="4" w:space="0"/>
            </w:tcBorders>
            <w:noWrap w:val="0"/>
            <w:vAlign w:val="center"/>
          </w:tcPr>
          <w:p w14:paraId="5BE2062F">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国产商用数据库租用</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9ED0677">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1主机</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7DA95860">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元/月</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3DA46C87">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7</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0274BA7D">
            <w:pPr>
              <w:widowControl/>
              <w:spacing w:line="360" w:lineRule="auto"/>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12</w:t>
            </w:r>
          </w:p>
        </w:tc>
      </w:tr>
    </w:tbl>
    <w:p w14:paraId="3B6D1811">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采购目标</w:t>
      </w:r>
    </w:p>
    <w:p w14:paraId="4025578B">
      <w:pPr>
        <w:spacing w:after="120" w:line="360" w:lineRule="auto"/>
        <w:ind w:firstLine="480" w:firstLineChars="200"/>
        <w:rPr>
          <w:rFonts w:hint="eastAsia" w:ascii="宋体" w:hAnsi="宋体" w:eastAsia="宋体" w:cs="宋体"/>
          <w:kern w:val="0"/>
          <w:sz w:val="24"/>
          <w:highlight w:val="none"/>
        </w:rPr>
      </w:pPr>
      <w:r>
        <w:rPr>
          <w:rFonts w:hint="eastAsia" w:ascii="宋体" w:hAnsi="宋体" w:eastAsia="宋体" w:cs="宋体"/>
          <w:bCs/>
          <w:sz w:val="24"/>
          <w:highlight w:val="none"/>
        </w:rPr>
        <w:t>本项目的总体目标是通过租用政务云平台</w:t>
      </w:r>
      <w:r>
        <w:rPr>
          <w:rFonts w:hint="eastAsia" w:ascii="宋体" w:hAnsi="宋体" w:eastAsia="宋体" w:cs="宋体"/>
          <w:kern w:val="0"/>
          <w:sz w:val="24"/>
          <w:highlight w:val="none"/>
        </w:rPr>
        <w:t>计算服务、存储服务、网络服务、基础软件支撑服务、安全服务等。提供全年7×24小时运维保障，做好重大活动和节假日应急值守保障服务，确保各信息系统在政务云环境中安全稳定运行。</w:t>
      </w:r>
    </w:p>
    <w:p w14:paraId="414C8F62">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服务内容与服务标准</w:t>
      </w:r>
    </w:p>
    <w:p w14:paraId="230E8311">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计算服务</w:t>
      </w:r>
    </w:p>
    <w:p w14:paraId="4DE06F4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613A8442">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云主机服务，包括：云主机服务和物理服务器租用服务，按需求对CPU及内存进行动态调整，实现合理的计算资源配置。在提供政务云主机的服务过程中做好与采购人和对应项目应用开发厂商的协调沟通工作。</w:t>
      </w:r>
    </w:p>
    <w:p w14:paraId="61846799">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285BEA8A">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云主机应实现物理机的全部功能，如具有CPU、存储、内存、网卡等资源，可以指定单独的IP地址等；</w:t>
      </w:r>
    </w:p>
    <w:p w14:paraId="43D01A71">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支持存储裸设备映射（RDM），可以将存储设备上的LUN直接映射给虚拟机使用，并且支持SCSI指令使用透传模式或者非透传模式；</w:t>
      </w:r>
    </w:p>
    <w:p w14:paraId="446468DB">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应满足云主机之间、CPU之间隔离保护要求；</w:t>
      </w:r>
    </w:p>
    <w:p w14:paraId="5D5EB5BB">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支持资源的动态调整，根据业务的负载情况实现业务系统虚拟机的动态扩展和回收；</w:t>
      </w:r>
    </w:p>
    <w:p w14:paraId="5E866380">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支持在线进行虚拟化软件版本升级，不同版本之间可以相互兼容；</w:t>
      </w:r>
    </w:p>
    <w:p w14:paraId="500DADF8">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支持异构虚拟化能力，如KVM等多种虚拟化技术；</w:t>
      </w:r>
    </w:p>
    <w:p w14:paraId="37E50A64">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云主机出现故障时，支持自动重启或者迁移，保障业务连续性；</w:t>
      </w:r>
    </w:p>
    <w:p w14:paraId="4EC17B05">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支持虚拟机热迁移，可在不同代CPU资源池中进行虚拟机热迁移；</w:t>
      </w:r>
    </w:p>
    <w:p w14:paraId="02FC5C47">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云计算资源性能要求包括但不限于如下：</w:t>
      </w:r>
    </w:p>
    <w:p w14:paraId="419C2BF8">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（1）物理服务器CPU主频应不低于2.40GHz；</w:t>
      </w:r>
    </w:p>
    <w:p w14:paraId="5B63B1F2">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（2）主机内存硬件配置不低于DDR4-2400MHz；</w:t>
      </w:r>
    </w:p>
    <w:p w14:paraId="5386D884">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（3）可用性不低于99.99%。</w:t>
      </w:r>
    </w:p>
    <w:p w14:paraId="02A8C6C2">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存储服务</w:t>
      </w:r>
    </w:p>
    <w:p w14:paraId="3D8747F8">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2834AA47">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按照采购人的具体需求，提供存储服务，包括：普通性能存储、高性能存储</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静态存储</w:t>
      </w:r>
      <w:r>
        <w:rPr>
          <w:rFonts w:hint="eastAsia" w:ascii="宋体" w:hAnsi="宋体" w:eastAsia="宋体" w:cs="宋体"/>
          <w:sz w:val="24"/>
          <w:highlight w:val="none"/>
        </w:rPr>
        <w:t>和本地备份服务，实现合理的存储资源配置。在提供政务云存储的服务过程中需做好采购人和对应项目应用开发厂商的协调沟通工作。</w:t>
      </w:r>
    </w:p>
    <w:p w14:paraId="5CE4388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lang w:val="en-US" w:eastAsia="zh-CN"/>
        </w:rPr>
        <w:t xml:space="preserve"> </w:t>
      </w:r>
      <w:r>
        <w:rPr>
          <w:rFonts w:hint="eastAsia" w:ascii="宋体" w:hAnsi="宋体" w:eastAsia="宋体" w:cs="宋体"/>
          <w:b/>
          <w:sz w:val="24"/>
          <w:highlight w:val="none"/>
        </w:rPr>
        <w:t>服务标准</w:t>
      </w:r>
    </w:p>
    <w:p w14:paraId="37AB5650">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支持结构化数据、半结构化数据和非结构化数据等多种数据类型存储；</w:t>
      </w:r>
    </w:p>
    <w:p w14:paraId="6AF6B106">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支持块存储、对象存储、文件存储等多种存储方法，满足数据备份、视频存储等不同应用场景使用要求；</w:t>
      </w:r>
    </w:p>
    <w:p w14:paraId="3EEC8220">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支持存储资源扩展能力，例如：PB级扩展；</w:t>
      </w:r>
    </w:p>
    <w:p w14:paraId="703343C2">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支持磁盘容错技术，如磁盘故障后节点的自动平衡和重构、硬盘故障 检测和处理、集群节点出现单盘故障时不影响业务运行等；</w:t>
      </w:r>
    </w:p>
    <w:p w14:paraId="2AEC7E60">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存储资源性能要求包括但不限于如下：</w:t>
      </w:r>
    </w:p>
    <w:p w14:paraId="71B08695">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(1)吞吐量：高性能存储系统的读写带宽应不低于1000MB/s,IOPS不低于20000;普通性能存储系统的读写带宽应不低于200MB/s，IOPS不低于1000。</w:t>
      </w:r>
    </w:p>
    <w:p w14:paraId="3874F0B8">
      <w:pPr>
        <w:spacing w:line="360" w:lineRule="auto"/>
        <w:ind w:firstLine="480"/>
        <w:rPr>
          <w:rFonts w:hint="eastAsia" w:ascii="宋体" w:hAnsi="宋体" w:eastAsia="宋体" w:cs="宋体"/>
          <w:sz w:val="24"/>
          <w:highlight w:val="none"/>
          <w:lang w:eastAsia="zh-CN"/>
        </w:rPr>
      </w:pPr>
      <w:r>
        <w:rPr>
          <w:rFonts w:hint="eastAsia" w:ascii="宋体" w:hAnsi="宋体" w:eastAsia="宋体" w:cs="宋体"/>
          <w:sz w:val="24"/>
          <w:highlight w:val="none"/>
        </w:rPr>
        <w:t>(2)支持高可靠性，可靠性不低于99.9999%%</w:t>
      </w:r>
      <w:r>
        <w:rPr>
          <w:rFonts w:hint="eastAsia" w:ascii="宋体" w:hAnsi="宋体" w:eastAsia="宋体" w:cs="宋体"/>
          <w:sz w:val="24"/>
          <w:highlight w:val="none"/>
          <w:lang w:eastAsia="zh-CN"/>
        </w:rPr>
        <w:t>。</w:t>
      </w:r>
    </w:p>
    <w:p w14:paraId="195D3268">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备份服务</w:t>
      </w:r>
    </w:p>
    <w:p w14:paraId="5311ED20">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62C4E8A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投标人需具有本地和同城异地数据级备份能力，并配合采购人完成数据级容灾演练及恢复等工作。</w:t>
      </w:r>
    </w:p>
    <w:p w14:paraId="33001DF7">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10C8EC68">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采购人的各个应用系统对资源的备份需求通过备份策略实现对用户数据（文件、操作系统、数据库）的本地备份（不包含备份存储空间费用），默认提供非结构化数据保护与文件备份保护。备份应满足如下要求:</w:t>
      </w:r>
    </w:p>
    <w:p w14:paraId="57240343">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备份介质本身具备高可用性和冗余性。</w:t>
      </w:r>
    </w:p>
    <w:p w14:paraId="46EC6F60">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备份方式包括完整备份、差异备份和增量备份。</w:t>
      </w:r>
    </w:p>
    <w:p w14:paraId="6CBE2A0B">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支持Windows系列操作系统、Linux主流系统操作系统、主流数据库软件、主流中间件软件、结构化数据以及非结构化数据等备份对象。</w:t>
      </w:r>
    </w:p>
    <w:p w14:paraId="353BC761">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投标人应提供对备份过程状态、备份结果提供运维监控保障服务，确保备份任务执行成功以及备份的数据完整性。</w:t>
      </w:r>
    </w:p>
    <w:p w14:paraId="35DCB9C6">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网络服务</w:t>
      </w:r>
    </w:p>
    <w:p w14:paraId="148ED19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169327DC">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互联网链路服务</w:t>
      </w:r>
    </w:p>
    <w:p w14:paraId="5D17D515">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提供互联网链路带宽服务、互联网IP地址租用服务，并提供相应的网络域名备案服务，配合应用开发厂商提供网络策略配置服务。</w:t>
      </w:r>
    </w:p>
    <w:p w14:paraId="7366110A">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主机负载均衡服务</w:t>
      </w:r>
    </w:p>
    <w:p w14:paraId="150B1098">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提供主机负载均衡服务，通过云管理平台实现针每租户按需自动分配负载均衡服务的能力。</w:t>
      </w:r>
    </w:p>
    <w:p w14:paraId="07DF5DAC">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远程接入服务</w:t>
      </w:r>
    </w:p>
    <w:p w14:paraId="17B6EB6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提供远程接入服务，每个账号结合身份验证接入堡垒机维护应用系统。</w:t>
      </w:r>
    </w:p>
    <w:p w14:paraId="54B0CA47">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4A1261F0">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云内骨干线路带宽不低于10Gb/s；</w:t>
      </w:r>
    </w:p>
    <w:p w14:paraId="45892AF0">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服务器业务带宽不低于1Gb/s；</w:t>
      </w:r>
    </w:p>
    <w:p w14:paraId="1EC9F64B">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平均可用性不低于99.9%。</w:t>
      </w:r>
    </w:p>
    <w:p w14:paraId="3CA796C7">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基础软件支撑服务</w:t>
      </w:r>
    </w:p>
    <w:p w14:paraId="10487E19">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4A7D6EAA">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提供商用操作系统套餐等软件服务。</w:t>
      </w:r>
    </w:p>
    <w:p w14:paraId="62B7B166">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lang w:val="en-US" w:eastAsia="zh-CN"/>
        </w:rPr>
        <w:t xml:space="preserve"> </w:t>
      </w:r>
      <w:r>
        <w:rPr>
          <w:rFonts w:hint="eastAsia" w:ascii="宋体" w:hAnsi="宋体" w:eastAsia="宋体" w:cs="宋体"/>
          <w:b/>
          <w:sz w:val="24"/>
          <w:highlight w:val="none"/>
        </w:rPr>
        <w:t>服务标准</w:t>
      </w:r>
    </w:p>
    <w:p w14:paraId="295BEF5D">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商用操作系统套餐</w:t>
      </w:r>
    </w:p>
    <w:p w14:paraId="016281DC">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提供商用操作系统的租用、安装、调优、排错、技术支持服务。</w:t>
      </w:r>
    </w:p>
    <w:p w14:paraId="18A5DC29">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安全服务</w:t>
      </w:r>
    </w:p>
    <w:p w14:paraId="7D6C2BF0">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6E20A8BB">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安全是政务云的红线，应按照网络安全等级保护等要求建设安全技术防护体系和安全管理体系，建立应急处置体系，强化各领域平台安全管控，本项目安全服务主要内容包含：</w:t>
      </w:r>
    </w:p>
    <w:p w14:paraId="17F0EB08">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主机杀毒服务</w:t>
      </w:r>
    </w:p>
    <w:p w14:paraId="6ED593A1">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提供主机杀毒服务，对云主机进行定期的病毒查杀，杀毒软件集中控制，对网络性能无影响。</w:t>
      </w:r>
    </w:p>
    <w:p w14:paraId="67344D36">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 xml:space="preserve"> 云端抗DDOS服务</w:t>
      </w:r>
    </w:p>
    <w:p w14:paraId="034763A9">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提供云端抗DDOS服务，为云内应用系统抵御大流量分布式拒绝服务攻击，避免业务遭受拒绝服务攻击。</w:t>
      </w:r>
    </w:p>
    <w:p w14:paraId="293EDC0C">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1E5C48D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投云平台具备完备的安全防护体系和安全防护设备，具有成熟的安全运维方案，应保证各业务应用系统的支撑环境，包括但不限于服务器、网络、存储以及相关物理环境，应能满足不低于网络安全等级保护（GB/T22239-2019）第三级要求，并积极配合采购人根据各业务系统具体等保需求，开展相应等保评估、检查、整改等工作。</w:t>
      </w:r>
    </w:p>
    <w:p w14:paraId="66CF5C34">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投标人需利用监控系统或人工对机房环境、硬件设备及应用系统的运行情况进行7*24小时的不间断巡检监控，及时发现安全隐患，通知相关人员及时处理，并形成监控报告。</w:t>
      </w:r>
    </w:p>
    <w:p w14:paraId="401E6CD9">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承担云平台数据防篡改、防丢失的安全责任。业务数据未经采购人同意，不得离开云机房。投标人未经允许不得对云平台上的任何数据进行非法截取、加工、分析处理或提供给第三方机构。投标人在未经过用户邮件、书面材料确认前提下，不能查看、修改、拷贝用户业务系统文件和数据；各业务系统、数据归属于采购人，投标人无权支配。</w:t>
      </w:r>
    </w:p>
    <w:p w14:paraId="3C1FC5BB">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投标人需保证安全技术服务能力不低于所承载的信息系统的最高级别，并通过GB/T22239相应等级的测评；通过商用密码应用安全性评估，商用密码应用安全性评估参考GB/T39786-2021中相应等级规定。</w:t>
      </w:r>
    </w:p>
    <w:p w14:paraId="60C23E92">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其它</w:t>
      </w:r>
      <w:r>
        <w:rPr>
          <w:rFonts w:hint="eastAsia" w:ascii="宋体" w:hAnsi="宋体" w:eastAsia="宋体" w:cs="宋体"/>
          <w:b/>
          <w:bCs/>
          <w:sz w:val="24"/>
          <w:highlight w:val="none"/>
        </w:rPr>
        <w:t>服务</w:t>
      </w:r>
    </w:p>
    <w:p w14:paraId="3E01034F">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44063467">
      <w:pPr>
        <w:keepNext/>
        <w:keepLines/>
        <w:numPr>
          <w:ilvl w:val="3"/>
          <w:numId w:val="3"/>
        </w:numPr>
        <w:spacing w:before="280" w:after="290" w:line="360" w:lineRule="auto"/>
        <w:ind w:firstLine="480"/>
        <w:outlineLvl w:val="3"/>
        <w:rPr>
          <w:rFonts w:hint="eastAsia" w:ascii="宋体" w:hAnsi="宋体" w:eastAsia="宋体" w:cs="宋体"/>
          <w:sz w:val="24"/>
          <w:highlight w:val="none"/>
        </w:rPr>
      </w:pPr>
      <w:r>
        <w:rPr>
          <w:rFonts w:hint="eastAsia" w:ascii="宋体" w:hAnsi="宋体" w:eastAsia="宋体" w:cs="宋体"/>
          <w:sz w:val="24"/>
          <w:highlight w:val="none"/>
        </w:rPr>
        <w:t>集中式存储租用</w:t>
      </w:r>
      <w:r>
        <w:rPr>
          <w:rFonts w:hint="eastAsia" w:ascii="宋体" w:hAnsi="宋体" w:eastAsia="宋体" w:cs="宋体"/>
          <w:sz w:val="24"/>
          <w:highlight w:val="none"/>
          <w:lang w:val="en-US" w:eastAsia="zh-CN"/>
        </w:rPr>
        <w:t>服务</w:t>
      </w:r>
    </w:p>
    <w:p w14:paraId="739C26A5">
      <w:pPr>
        <w:spacing w:line="360" w:lineRule="auto"/>
        <w:ind w:firstLine="480" w:firstLineChars="200"/>
        <w:rPr>
          <w:rFonts w:hint="eastAsia" w:ascii="Times New Roman" w:hAnsi="Times New Roman" w:eastAsia="宋体" w:cs="Times New Roman"/>
          <w:highlight w:val="none"/>
        </w:rPr>
      </w:pPr>
      <w:r>
        <w:rPr>
          <w:rFonts w:hint="eastAsia" w:ascii="宋体" w:hAnsi="宋体" w:eastAsia="宋体" w:cs="宋体"/>
          <w:color w:val="000000"/>
          <w:kern w:val="0"/>
          <w:sz w:val="24"/>
          <w:szCs w:val="24"/>
          <w:highlight w:val="none"/>
          <w:lang w:bidi="ar"/>
        </w:rPr>
        <w:t>按照采购人的具体需求，提供集中式存储用于支持Oracle RAC服务。</w:t>
      </w:r>
    </w:p>
    <w:p w14:paraId="12DF9D3F">
      <w:pPr>
        <w:keepNext/>
        <w:keepLines/>
        <w:numPr>
          <w:ilvl w:val="3"/>
          <w:numId w:val="3"/>
        </w:numPr>
        <w:spacing w:before="280" w:after="290" w:line="360" w:lineRule="auto"/>
        <w:ind w:firstLine="480"/>
        <w:outlineLvl w:val="3"/>
        <w:rPr>
          <w:rFonts w:hint="eastAsia" w:ascii="宋体" w:hAnsi="宋体" w:eastAsia="宋体" w:cs="宋体"/>
          <w:b/>
          <w:sz w:val="24"/>
          <w:highlight w:val="none"/>
        </w:rPr>
      </w:pPr>
      <w:r>
        <w:rPr>
          <w:rFonts w:hint="eastAsia" w:ascii="宋体" w:hAnsi="宋体" w:eastAsia="宋体" w:cs="宋体"/>
          <w:sz w:val="24"/>
          <w:highlight w:val="none"/>
        </w:rPr>
        <w:t>商用数据库</w:t>
      </w:r>
      <w:r>
        <w:rPr>
          <w:rFonts w:hint="eastAsia" w:ascii="宋体" w:hAnsi="宋体" w:eastAsia="宋体" w:cs="宋体"/>
          <w:kern w:val="0"/>
          <w:sz w:val="24"/>
          <w:highlight w:val="none"/>
        </w:rPr>
        <w:t>套餐</w:t>
      </w:r>
    </w:p>
    <w:p w14:paraId="3356A587">
      <w:pPr>
        <w:spacing w:line="360" w:lineRule="auto"/>
        <w:ind w:firstLine="480" w:firstLineChars="200"/>
        <w:rPr>
          <w:rFonts w:hint="eastAsia" w:ascii="Times New Roman" w:hAnsi="Times New Roman" w:eastAsia="宋体" w:cs="Times New Roman"/>
          <w:highlight w:val="none"/>
        </w:rPr>
      </w:pPr>
      <w:r>
        <w:rPr>
          <w:rFonts w:hint="eastAsia" w:ascii="宋体" w:hAnsi="宋体" w:eastAsia="宋体" w:cs="宋体"/>
          <w:color w:val="000000"/>
          <w:kern w:val="0"/>
          <w:sz w:val="24"/>
          <w:szCs w:val="24"/>
          <w:highlight w:val="none"/>
          <w:lang w:bidi="ar"/>
        </w:rPr>
        <w:t>按照采购人的具体需求，提供商用数据库套餐服务。</w:t>
      </w:r>
    </w:p>
    <w:p w14:paraId="27E20DC8">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运维服务</w:t>
      </w:r>
    </w:p>
    <w:p w14:paraId="4918F39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服务内容</w:t>
      </w:r>
    </w:p>
    <w:p w14:paraId="16BC3437">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负责机房环境资源、云平台硬件资产、虚拟化资产的管理工作；</w:t>
      </w:r>
    </w:p>
    <w:p w14:paraId="77AAE003">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信息系统入云、上线、变更、退出等各阶段的备案与信息变更等工作；</w:t>
      </w:r>
    </w:p>
    <w:p w14:paraId="0719BE4B">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执行云平台变更申请、审批流程；</w:t>
      </w:r>
    </w:p>
    <w:p w14:paraId="2652BD2A">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云平台网络资源管理，针对内部地址使用情况、云平台专线接入情况、政务外网资源使用情况等做好统计工作；</w:t>
      </w:r>
    </w:p>
    <w:p w14:paraId="21D3EF13">
      <w:pPr>
        <w:keepNext/>
        <w:keepLines/>
        <w:numPr>
          <w:ilvl w:val="3"/>
          <w:numId w:val="3"/>
        </w:numPr>
        <w:spacing w:before="280" w:after="290" w:line="360" w:lineRule="auto"/>
        <w:ind w:left="0" w:firstLine="402"/>
        <w:outlineLvl w:val="3"/>
        <w:rPr>
          <w:rFonts w:hint="eastAsia" w:ascii="宋体" w:hAnsi="宋体" w:eastAsia="宋体" w:cs="宋体"/>
          <w:sz w:val="24"/>
          <w:highlight w:val="none"/>
        </w:rPr>
      </w:pPr>
      <w:r>
        <w:rPr>
          <w:rFonts w:hint="eastAsia" w:ascii="宋体" w:hAnsi="宋体" w:eastAsia="宋体" w:cs="宋体"/>
          <w:sz w:val="24"/>
          <w:highlight w:val="none"/>
        </w:rPr>
        <w:t>服务期内，投标人须配备运维团队，提供可靠的售后服务保障。投标人针对采购人要求的云平台运维服务相关内容，需指定专业技术能力较强的工程师，根据采购人要求配合开展相关维护服务。</w:t>
      </w:r>
    </w:p>
    <w:p w14:paraId="1437B73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 xml:space="preserve"> 服务标准</w:t>
      </w:r>
    </w:p>
    <w:p w14:paraId="453B8AC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依据《北京市市级政务云管理办法》，投标人应当提供高效的系统维护服务，有效防范系统风险，系统对应负责人7*24 小时电话畅通，能够在系统发 生除宕机外的其他故障问题时，能够协调人力资源在1小时内到达政务云机房现场提供服务。系统发生宕机问题时，投标人应在30分钟内响应，能够协调人力资源在1小时内到达运维现场定位、排除故障，在1个小时之内使系统恢复正常，故障处理完毕后提供相关系统宕机报告。</w:t>
      </w:r>
    </w:p>
    <w:p w14:paraId="64C0803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为保障业务高峰期内系统平稳运行，缓解系统高峰期内因业务发生量增大而带来系统压力风险，要求投标人根据业务周期性特点，加大运维保障力度，保证在业务高峰期内系统平稳运行。</w:t>
      </w:r>
    </w:p>
    <w:p w14:paraId="6D371376">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重点保障时期重要信息系统云主机资源调整时间不超过1小时，针对重点保障时期的重要信息系统重要云主机，投标人应按采购人要求进行实时监控，超过预警阈值时主动上调云资源，并第一时间通知采购人进行相应操作，确保系统平稳运行。</w:t>
      </w:r>
    </w:p>
    <w:p w14:paraId="3205CB42">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按照国家、北京市相关规定和信息安全技术标准及规范要求,落实安全保障措施,通过信息安全测评机构的测评和政务云安全审查。</w:t>
      </w:r>
    </w:p>
    <w:p w14:paraId="6F99F082">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除不可抗力或计划内维护作业造成的政务云服务中断外,政务云实行24小时不间断运行。</w:t>
      </w:r>
    </w:p>
    <w:p w14:paraId="7D60D489">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迁移服务</w:t>
      </w:r>
    </w:p>
    <w:p w14:paraId="0D512A38">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服务内容</w:t>
      </w:r>
    </w:p>
    <w:p w14:paraId="0F5698F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投标人需提供整体的业务上云迁移服务，应支持云主机迁移、物理主机迁移、单机数据库迁移、高可用数据库迁移等迁移场景。负责需求调研、架构规划设计、应用迁移部署等工作。</w:t>
      </w:r>
    </w:p>
    <w:p w14:paraId="5F3E6330">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服务标准</w:t>
      </w:r>
    </w:p>
    <w:p w14:paraId="7F0C3FBF">
      <w:pPr>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本项目涉及的业务系统为采购人在用的生产系统，目前在北京市政务云上平稳运行，因此业务连续性是首要的保障需求。迁移服务具体要求如下：</w:t>
      </w:r>
    </w:p>
    <w:p w14:paraId="03E01CB3">
      <w:pPr>
        <w:snapToGrid w:val="0"/>
        <w:spacing w:line="360" w:lineRule="auto"/>
        <w:ind w:firstLine="420"/>
        <w:rPr>
          <w:rFonts w:hint="eastAsia" w:ascii="宋体" w:hAnsi="宋体" w:eastAsia="宋体" w:cs="宋体"/>
          <w:sz w:val="24"/>
          <w:highlight w:val="none"/>
        </w:rPr>
      </w:pPr>
      <w:r>
        <w:rPr>
          <w:rFonts w:hint="eastAsia" w:ascii="宋体" w:hAnsi="宋体" w:eastAsia="宋体" w:cs="宋体"/>
          <w:sz w:val="24"/>
          <w:highlight w:val="none"/>
        </w:rPr>
        <w:t>投标人需编制业务连续性服务方案。</w:t>
      </w:r>
    </w:p>
    <w:p w14:paraId="7CEDB855">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14:paraId="2079CE01">
      <w:pPr>
        <w:snapToGrid w:val="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本项目如涉及系统迁移，为保障业务系统的连续性，投标人应承诺自中标之日起，积极与原服务商对接，在5个工作日内，完成系统迁移平滑过渡，且因此产生的各项费用（包括但不限于测试阶段的云资源费用，系统开发商对业务系统的部署、调试费用等），应包含在投标人的报价中，提供“承诺函”并加盖投标人公章。</w:t>
      </w:r>
    </w:p>
    <w:p w14:paraId="7C01AA21">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培训服务</w:t>
      </w:r>
    </w:p>
    <w:p w14:paraId="7433B13A">
      <w:pPr>
        <w:widowControl w:val="0"/>
        <w:snapToGrid w:val="0"/>
        <w:spacing w:before="0" w:beforeAutospacing="0" w:after="0" w:afterAutospacing="0" w:line="360" w:lineRule="auto"/>
        <w:ind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投标人提供云服务操作手册，并按需为采购人提供必要的使用培训，至少提供以下内容：</w:t>
      </w:r>
    </w:p>
    <w:p w14:paraId="651A7784">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面向项目管理人员、系统管理人员的培训，确保此类人员能清晰地了解云平台的设计理念和设计方法，掌握云平台的整体结构，以及各类云资源的申请、审核、开通、回收等管理流程。</w:t>
      </w:r>
    </w:p>
    <w:p w14:paraId="1047C515">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面向系统维护人员的培训，确保此类人员能理解和掌握云平台的相关技术知识，能够熟练地维护云平台，快速定位和解决系统出现的问题，保证云平台服务期间正常运转，并持续提高运维服务质量。</w:t>
      </w:r>
    </w:p>
    <w:p w14:paraId="3A5E2330">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本单位人员的安全培训教育，确保工作人员符合岗位要求。</w:t>
      </w:r>
    </w:p>
    <w:p w14:paraId="254E6D6E">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云平台维护人员的定期业务培训和保密培训，重保前的业务培训和应急保障培训等。</w:t>
      </w:r>
    </w:p>
    <w:p w14:paraId="55B7A7E1">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面向管理单位的培训，确保此类人员充分了解云平台的技术架构、服务水平等。</w:t>
      </w:r>
    </w:p>
    <w:p w14:paraId="593230E1">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运维团队要求</w:t>
      </w:r>
    </w:p>
    <w:p w14:paraId="3F87F56A">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服务期内，投标人须设有7×24小时电话响应服务、具备运维团队，提供售后服务保障。团队成员应明确职责，架构清晰，岗位设置合理，且具备与本项目相关的项目经验。</w:t>
      </w:r>
    </w:p>
    <w:p w14:paraId="780D836B">
      <w:pPr>
        <w:tabs>
          <w:tab w:val="left" w:pos="1162"/>
        </w:tabs>
        <w:adjustRightInd w:val="0"/>
        <w:snapToGrid w:val="0"/>
        <w:spacing w:line="360" w:lineRule="auto"/>
        <w:ind w:firstLine="48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投标人须提供项目经理1人、技术负责人1人以及相应实施人员，项目团队人员8人（含项目经理和技术负责人）及以上。为本项目提供服务。要求如下：</w:t>
      </w:r>
    </w:p>
    <w:p w14:paraId="33833F92">
      <w:pPr>
        <w:widowControl w:val="0"/>
        <w:autoSpaceDE w:val="0"/>
        <w:autoSpaceDN w:val="0"/>
        <w:adjustRightInd w:val="0"/>
        <w:snapToGrid w:val="0"/>
        <w:spacing w:line="360" w:lineRule="auto"/>
        <w:ind w:firstLine="3132" w:firstLineChars="13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服务团队人员要求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14"/>
        <w:gridCol w:w="1352"/>
        <w:gridCol w:w="1962"/>
        <w:gridCol w:w="3532"/>
      </w:tblGrid>
      <w:tr w14:paraId="1EC8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9" w:type="dxa"/>
            <w:noWrap w:val="0"/>
            <w:vAlign w:val="center"/>
          </w:tcPr>
          <w:p w14:paraId="2525D5B9">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岗位</w:t>
            </w:r>
          </w:p>
        </w:tc>
        <w:tc>
          <w:tcPr>
            <w:tcW w:w="714" w:type="dxa"/>
            <w:noWrap w:val="0"/>
            <w:vAlign w:val="center"/>
          </w:tcPr>
          <w:p w14:paraId="3FA79C67">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数量</w:t>
            </w:r>
          </w:p>
        </w:tc>
        <w:tc>
          <w:tcPr>
            <w:tcW w:w="1352" w:type="dxa"/>
            <w:noWrap w:val="0"/>
            <w:vAlign w:val="center"/>
          </w:tcPr>
          <w:p w14:paraId="29992B15">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学历</w:t>
            </w:r>
          </w:p>
        </w:tc>
        <w:tc>
          <w:tcPr>
            <w:tcW w:w="1962" w:type="dxa"/>
            <w:noWrap w:val="0"/>
            <w:vAlign w:val="center"/>
          </w:tcPr>
          <w:p w14:paraId="68229966">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工作经验</w:t>
            </w:r>
          </w:p>
        </w:tc>
        <w:tc>
          <w:tcPr>
            <w:tcW w:w="3532" w:type="dxa"/>
            <w:noWrap w:val="0"/>
            <w:vAlign w:val="center"/>
          </w:tcPr>
          <w:p w14:paraId="3547DB76">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color w:val="auto"/>
                <w:sz w:val="24"/>
                <w:highlight w:val="none"/>
              </w:rPr>
              <w:t>岗位须具备的上岗资格证等要求</w:t>
            </w:r>
          </w:p>
        </w:tc>
      </w:tr>
      <w:tr w14:paraId="0E26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959" w:type="dxa"/>
            <w:noWrap w:val="0"/>
            <w:vAlign w:val="center"/>
          </w:tcPr>
          <w:p w14:paraId="48D6A64E">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w:t>
            </w:r>
          </w:p>
          <w:p w14:paraId="4D9C4B82">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经理</w:t>
            </w:r>
          </w:p>
        </w:tc>
        <w:tc>
          <w:tcPr>
            <w:tcW w:w="714" w:type="dxa"/>
            <w:noWrap w:val="0"/>
            <w:vAlign w:val="center"/>
          </w:tcPr>
          <w:p w14:paraId="4DFAF72C">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352" w:type="dxa"/>
            <w:noWrap w:val="0"/>
            <w:vAlign w:val="center"/>
          </w:tcPr>
          <w:p w14:paraId="1499981F">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本科及以上</w:t>
            </w:r>
          </w:p>
        </w:tc>
        <w:tc>
          <w:tcPr>
            <w:tcW w:w="1962" w:type="dxa"/>
            <w:noWrap w:val="0"/>
            <w:vAlign w:val="center"/>
          </w:tcPr>
          <w:p w14:paraId="53116DD5">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有10年及以上类似工作经验</w:t>
            </w:r>
          </w:p>
        </w:tc>
        <w:tc>
          <w:tcPr>
            <w:tcW w:w="3532" w:type="dxa"/>
            <w:noWrap w:val="0"/>
            <w:vAlign w:val="center"/>
          </w:tcPr>
          <w:p w14:paraId="03F10C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信息系统项目管理师</w:t>
            </w:r>
            <w:r>
              <w:rPr>
                <w:rFonts w:hint="eastAsia" w:ascii="宋体" w:hAnsi="宋体" w:eastAsia="宋体" w:cs="宋体"/>
                <w:bCs/>
                <w:color w:val="auto"/>
                <w:sz w:val="24"/>
                <w:highlight w:val="none"/>
              </w:rPr>
              <w:t>（高级）</w:t>
            </w:r>
          </w:p>
        </w:tc>
      </w:tr>
      <w:tr w14:paraId="0F4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7345C817">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技术负责人</w:t>
            </w:r>
          </w:p>
        </w:tc>
        <w:tc>
          <w:tcPr>
            <w:tcW w:w="714" w:type="dxa"/>
            <w:noWrap w:val="0"/>
            <w:vAlign w:val="center"/>
          </w:tcPr>
          <w:p w14:paraId="59BBD27D">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352" w:type="dxa"/>
            <w:noWrap w:val="0"/>
            <w:vAlign w:val="center"/>
          </w:tcPr>
          <w:p w14:paraId="7BEAA892">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本科及以上</w:t>
            </w:r>
          </w:p>
        </w:tc>
        <w:tc>
          <w:tcPr>
            <w:tcW w:w="1962" w:type="dxa"/>
            <w:noWrap w:val="0"/>
            <w:vAlign w:val="center"/>
          </w:tcPr>
          <w:p w14:paraId="4AE0C314">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有5年及以上类似工作经验</w:t>
            </w:r>
          </w:p>
        </w:tc>
        <w:tc>
          <w:tcPr>
            <w:tcW w:w="3532" w:type="dxa"/>
            <w:noWrap w:val="0"/>
            <w:vAlign w:val="center"/>
          </w:tcPr>
          <w:p w14:paraId="512EEDC4">
            <w:pPr>
              <w:adjustRightInd w:val="0"/>
              <w:spacing w:line="360" w:lineRule="auto"/>
              <w:jc w:val="left"/>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注册信息安全工程师（CISE）</w:t>
            </w:r>
          </w:p>
        </w:tc>
      </w:tr>
      <w:tr w14:paraId="40AE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959" w:type="dxa"/>
            <w:noWrap w:val="0"/>
            <w:vAlign w:val="center"/>
          </w:tcPr>
          <w:p w14:paraId="6D6DC4C4">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w:t>
            </w:r>
          </w:p>
          <w:p w14:paraId="5553FC6A">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人员</w:t>
            </w:r>
          </w:p>
        </w:tc>
        <w:tc>
          <w:tcPr>
            <w:tcW w:w="714" w:type="dxa"/>
            <w:noWrap w:val="0"/>
            <w:vAlign w:val="center"/>
          </w:tcPr>
          <w:p w14:paraId="71392097">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6</w:t>
            </w:r>
          </w:p>
        </w:tc>
        <w:tc>
          <w:tcPr>
            <w:tcW w:w="1352" w:type="dxa"/>
            <w:noWrap w:val="0"/>
            <w:vAlign w:val="center"/>
          </w:tcPr>
          <w:p w14:paraId="562C5276">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本科及以上</w:t>
            </w:r>
          </w:p>
        </w:tc>
        <w:tc>
          <w:tcPr>
            <w:tcW w:w="1962" w:type="dxa"/>
            <w:noWrap w:val="0"/>
            <w:vAlign w:val="center"/>
          </w:tcPr>
          <w:p w14:paraId="0E702F15">
            <w:pPr>
              <w:adjustRightInd w:val="0"/>
              <w:spacing w:line="360" w:lineRule="auto"/>
              <w:jc w:val="center"/>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有5年及以上类似工作经验</w:t>
            </w:r>
          </w:p>
        </w:tc>
        <w:tc>
          <w:tcPr>
            <w:tcW w:w="3532" w:type="dxa"/>
            <w:noWrap w:val="0"/>
            <w:vAlign w:val="center"/>
          </w:tcPr>
          <w:p w14:paraId="4389D38E">
            <w:pPr>
              <w:adjustRightInd w:val="0"/>
              <w:spacing w:line="360" w:lineRule="auto"/>
              <w:jc w:val="left"/>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信息系统项目管理师（高级）</w:t>
            </w:r>
          </w:p>
          <w:p w14:paraId="71EF9679">
            <w:pPr>
              <w:adjustRightInd w:val="0"/>
              <w:spacing w:line="360" w:lineRule="auto"/>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系统分析师证书</w:t>
            </w:r>
          </w:p>
          <w:p w14:paraId="09E4D243">
            <w:pPr>
              <w:adjustRightInd w:val="0"/>
              <w:spacing w:line="360" w:lineRule="auto"/>
              <w:jc w:val="left"/>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系统架构设计师证书</w:t>
            </w:r>
          </w:p>
        </w:tc>
      </w:tr>
    </w:tbl>
    <w:p w14:paraId="180425E3">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商务要求</w:t>
      </w:r>
    </w:p>
    <w:p w14:paraId="6BC85649">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服务地点</w:t>
      </w:r>
    </w:p>
    <w:p w14:paraId="57B0727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北京市政务云机房。</w:t>
      </w:r>
    </w:p>
    <w:p w14:paraId="1622C0E8">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服务期限</w:t>
      </w:r>
    </w:p>
    <w:p w14:paraId="3A25FB0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自合同签订之日起12个月。</w:t>
      </w:r>
    </w:p>
    <w:p w14:paraId="2558436D">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支付方式及条件</w:t>
      </w:r>
    </w:p>
    <w:p w14:paraId="7ED597C9">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baseline"/>
        <w:rPr>
          <w:rFonts w:hint="eastAsia" w:ascii="宋体" w:hAnsi="宋体" w:eastAsia="宋体" w:cs="宋体"/>
          <w:highlight w:val="none"/>
        </w:rPr>
      </w:pPr>
      <w:r>
        <w:rPr>
          <w:rFonts w:hint="eastAsia" w:ascii="宋体" w:hAnsi="宋体" w:eastAsia="宋体" w:cs="宋体"/>
          <w:kern w:val="0"/>
          <w:sz w:val="24"/>
          <w:highlight w:val="none"/>
        </w:rPr>
        <w:t>本项目服务期为12个月，每月服务费单价为合同总价款除以服务月数。</w:t>
      </w:r>
      <w:r>
        <w:rPr>
          <w:rFonts w:hint="eastAsia" w:ascii="宋体" w:hAnsi="宋体" w:eastAsia="宋体" w:cs="宋体"/>
          <w:kern w:val="0"/>
          <w:sz w:val="24"/>
          <w:highlight w:val="none"/>
          <w:lang w:eastAsia="zh-CN"/>
        </w:rPr>
        <w:t>2026年</w:t>
      </w:r>
      <w:r>
        <w:rPr>
          <w:rFonts w:hint="eastAsia" w:ascii="宋体" w:hAnsi="宋体" w:eastAsia="宋体" w:cs="宋体"/>
          <w:kern w:val="0"/>
          <w:sz w:val="24"/>
          <w:highlight w:val="none"/>
        </w:rPr>
        <w:t>度累计支付10个月的服务费，具体支付方式为：本合同生效后7个工作日内，采购人支付中标人首笔10个服务月数的合同价款。项目执行期满，经采购人验收合格且中标人不存在违约情形的，采购人支付中标人剩余2个服务月数的合同价款。</w:t>
      </w:r>
    </w:p>
    <w:p w14:paraId="61B5F771">
      <w:pPr>
        <w:keepNext/>
        <w:keepLines/>
        <w:numPr>
          <w:ilvl w:val="1"/>
          <w:numId w:val="3"/>
        </w:numPr>
        <w:spacing w:before="260" w:after="260" w:line="360" w:lineRule="auto"/>
        <w:ind w:firstLine="482"/>
        <w:outlineLvl w:val="1"/>
        <w:rPr>
          <w:rFonts w:hint="eastAsia" w:ascii="宋体" w:hAnsi="宋体" w:eastAsia="宋体" w:cs="宋体"/>
          <w:b/>
          <w:bCs/>
          <w:sz w:val="24"/>
          <w:highlight w:val="none"/>
        </w:rPr>
      </w:pPr>
      <w:r>
        <w:rPr>
          <w:rFonts w:hint="eastAsia" w:ascii="宋体" w:hAnsi="宋体" w:eastAsia="宋体" w:cs="宋体"/>
          <w:b/>
          <w:bCs/>
          <w:sz w:val="24"/>
          <w:highlight w:val="none"/>
        </w:rPr>
        <w:t>验收服务标准</w:t>
      </w:r>
    </w:p>
    <w:p w14:paraId="69C607E3">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服务绩效指标</w:t>
      </w:r>
    </w:p>
    <w:p w14:paraId="053894B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（1）云服务全年整体可用性≥99.9%；</w:t>
      </w:r>
    </w:p>
    <w:p w14:paraId="410FCE7E">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（2）故障响应率100%；</w:t>
      </w:r>
    </w:p>
    <w:p w14:paraId="24FBC851">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（3）应急响应时间≤5分钟（重大事件1分钟内响应）。</w:t>
      </w:r>
    </w:p>
    <w:p w14:paraId="1F602F28">
      <w:pPr>
        <w:keepNext/>
        <w:keepLines/>
        <w:numPr>
          <w:ilvl w:val="2"/>
          <w:numId w:val="3"/>
        </w:numPr>
        <w:spacing w:before="260" w:after="260" w:line="360" w:lineRule="auto"/>
        <w:ind w:firstLine="482"/>
        <w:outlineLvl w:val="2"/>
        <w:rPr>
          <w:rFonts w:hint="eastAsia" w:ascii="宋体" w:hAnsi="宋体" w:eastAsia="宋体" w:cs="宋体"/>
          <w:b/>
          <w:sz w:val="24"/>
          <w:highlight w:val="none"/>
        </w:rPr>
      </w:pPr>
      <w:r>
        <w:rPr>
          <w:rFonts w:hint="eastAsia" w:ascii="宋体" w:hAnsi="宋体" w:eastAsia="宋体" w:cs="宋体"/>
          <w:b/>
          <w:sz w:val="24"/>
          <w:highlight w:val="none"/>
        </w:rPr>
        <w:t>项目验收要求</w:t>
      </w:r>
    </w:p>
    <w:p w14:paraId="51DC448D">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投标人所提供的北京市市级政务云基础资源服务应遵循客观、科学、合理的原则，符合《北京市市级政务云管理办法》的相关标准及要求。</w:t>
      </w:r>
    </w:p>
    <w:p w14:paraId="7F49FC43">
      <w:pPr>
        <w:spacing w:line="360" w:lineRule="auto"/>
        <w:ind w:firstLine="480"/>
        <w:rPr>
          <w:rFonts w:hint="eastAsia" w:ascii="宋体" w:hAnsi="宋体" w:eastAsia="宋体" w:cs="宋体"/>
          <w:color w:val="000000"/>
          <w:sz w:val="24"/>
          <w:highlight w:val="none"/>
        </w:rPr>
      </w:pPr>
      <w:r>
        <w:rPr>
          <w:rFonts w:hint="eastAsia" w:ascii="宋体" w:hAnsi="宋体" w:eastAsia="宋体" w:cs="宋体"/>
          <w:sz w:val="24"/>
          <w:highlight w:val="none"/>
        </w:rPr>
        <w:t>投标人所提供资源应满足采购文件规定的要求。保证合同期内系统安全稳定运行，不因硬件故障导致服务中断4小时及以上。</w:t>
      </w:r>
    </w:p>
    <w:p w14:paraId="544BD97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投标人应于合同履约期满【10】日内向采购人提出终验申请，采购人应于收到投标人验收申请后7个工作日内对投标人服务进行终验。采购人在具备验收条件后7个工作日内未验收也未提出异议的视为完成验收。</w:t>
      </w:r>
    </w:p>
    <w:p w14:paraId="14D5B487">
      <w:pPr>
        <w:widowControl/>
        <w:spacing w:line="36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投标人应在验收前向采购人提供详细验收申请、验收计划、验收方案、总结报告等材料，应当接受采购人或采购人聘请的专家对其工作成果进行的质量评审。</w:t>
      </w:r>
    </w:p>
    <w:p w14:paraId="56198C79">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rPr>
      </w:pPr>
      <w:r>
        <w:rPr>
          <w:rFonts w:hint="eastAsia" w:ascii="宋体" w:hAnsi="宋体" w:eastAsia="宋体" w:cs="宋体"/>
          <w:b/>
          <w:kern w:val="44"/>
          <w:sz w:val="24"/>
          <w:highlight w:val="none"/>
          <w:lang w:eastAsia="zh-CN"/>
        </w:rPr>
        <w:t>、</w:t>
      </w:r>
      <w:r>
        <w:rPr>
          <w:rFonts w:hint="eastAsia" w:ascii="宋体" w:hAnsi="宋体" w:eastAsia="宋体" w:cs="宋体"/>
          <w:b/>
          <w:kern w:val="44"/>
          <w:sz w:val="24"/>
          <w:highlight w:val="none"/>
        </w:rPr>
        <w:t>保密要求</w:t>
      </w:r>
    </w:p>
    <w:p w14:paraId="7920DC7E">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露给第三方。</w:t>
      </w:r>
    </w:p>
    <w:p w14:paraId="297F387C">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14:paraId="12931B53">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投标人保证将保密信息的披露范围严格控制在直接从事该项目工作且因工作需要有必要知悉保密信息的工作人员范围内，对投标人非从事该项目的人员一律严格保密。</w:t>
      </w:r>
    </w:p>
    <w:p w14:paraId="5C2DB56A">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14:paraId="55B6DE46">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任何时间内，一经采购人提出要求，投标人应按照采购人指示在收到采购人书面通知后5日内将含有保密信息的所有文件或其他资料归还采购人，且不得擅自复制留存。</w:t>
      </w:r>
    </w:p>
    <w:p w14:paraId="7E8D6FE5">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非经采购人特别授权，采购人向投标人提供的任何保密信息并不包括授予投标人该保密信息包含的任何专利权、商标权、著作权、商业秘密或其他类型的知识产权。</w:t>
      </w:r>
    </w:p>
    <w:p w14:paraId="5E2F3CEE">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投标人承担上述保密义务的期限为合同有效期间及合同终止后2年，承担上述保密义务的责任主体为投标人（含投标人服务人员）。</w:t>
      </w:r>
    </w:p>
    <w:p w14:paraId="6B9CD029">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14:paraId="0A2BBA00">
      <w:pPr>
        <w:widowControl w:val="0"/>
        <w:autoSpaceDE/>
        <w:autoSpaceDN/>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投标人应当对获悉的政务数据、个人信息等予以保密，不得用于其他用途，不得泄露、出售或者非法向他人提供。</w:t>
      </w:r>
    </w:p>
    <w:p w14:paraId="4D19C2B3">
      <w:pPr>
        <w:keepNext/>
        <w:keepLines/>
        <w:numPr>
          <w:ilvl w:val="0"/>
          <w:numId w:val="3"/>
        </w:numPr>
        <w:spacing w:before="340" w:after="330" w:line="360" w:lineRule="auto"/>
        <w:ind w:firstLine="562"/>
        <w:outlineLvl w:val="0"/>
        <w:rPr>
          <w:rFonts w:hint="eastAsia" w:ascii="宋体" w:hAnsi="宋体" w:eastAsia="宋体" w:cs="宋体"/>
          <w:b/>
          <w:kern w:val="44"/>
          <w:sz w:val="24"/>
          <w:highlight w:val="none"/>
          <w:lang w:val="en-US" w:eastAsia="zh-CN"/>
        </w:rPr>
      </w:pPr>
      <w:r>
        <w:rPr>
          <w:rFonts w:hint="eastAsia" w:ascii="宋体" w:hAnsi="宋体" w:eastAsia="宋体" w:cs="宋体"/>
          <w:b/>
          <w:kern w:val="44"/>
          <w:sz w:val="24"/>
          <w:highlight w:val="none"/>
          <w:lang w:val="en-US" w:eastAsia="zh-CN"/>
        </w:rPr>
        <w:t>、政策性采购需求</w:t>
      </w:r>
    </w:p>
    <w:p w14:paraId="643CF497">
      <w:pPr>
        <w:widowControl w:val="0"/>
        <w:adjustRightInd w:val="0"/>
        <w:snapToGrid w:val="0"/>
        <w:spacing w:after="120" w:line="360" w:lineRule="auto"/>
        <w:ind w:left="0" w:leftChars="0" w:firstLine="480" w:firstLineChars="200"/>
        <w:jc w:val="both"/>
        <w:textAlignment w:val="baseline"/>
        <w:rPr>
          <w:rFonts w:hint="eastAsia" w:ascii="宋体" w:hAnsi="宋体" w:eastAsia="宋体" w:cs="宋体"/>
          <w:b w:val="0"/>
          <w:i w:val="0"/>
          <w:strike w:val="0"/>
          <w:color w:val="auto"/>
          <w:kern w:val="0"/>
          <w:sz w:val="24"/>
          <w:szCs w:val="24"/>
          <w:highlight w:val="none"/>
          <w:u w:val="none"/>
          <w:lang w:val="en-US" w:eastAsia="zh-CN" w:bidi="ar-SA"/>
        </w:rPr>
      </w:pPr>
      <w:r>
        <w:rPr>
          <w:rFonts w:hint="eastAsia" w:ascii="宋体" w:hAnsi="宋体" w:eastAsia="宋体" w:cs="宋体"/>
          <w:b w:val="0"/>
          <w:i w:val="0"/>
          <w:strike w:val="0"/>
          <w:color w:val="auto"/>
          <w:kern w:val="2"/>
          <w:sz w:val="24"/>
          <w:szCs w:val="24"/>
          <w:highlight w:val="none"/>
          <w:u w:val="none"/>
          <w:lang w:val="en-US" w:eastAsia="zh-CN" w:bidi="ar-SA"/>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51A6FA92">
      <w:pPr>
        <w:bidi w:val="0"/>
        <w:rPr>
          <w:rFonts w:hint="eastAsia" w:ascii="Times New Roman" w:hAnsi="Times New Roman" w:eastAsia="宋体" w:cs="Times New Roman"/>
          <w:highlight w:val="none"/>
          <w:lang w:val="en-US" w:eastAsia="zh-CN"/>
        </w:rPr>
      </w:pPr>
    </w:p>
    <w:p w14:paraId="0C6E8665">
      <w:pPr>
        <w:adjustRightInd w:val="0"/>
        <w:snapToGrid w:val="0"/>
        <w:spacing w:line="360" w:lineRule="auto"/>
        <w:ind w:firstLine="480"/>
        <w:textAlignment w:val="baseline"/>
        <w:rPr>
          <w:rFonts w:hint="eastAsia" w:ascii="宋体" w:hAnsi="宋体" w:eastAsia="宋体" w:cs="宋体"/>
          <w:kern w:val="0"/>
          <w:sz w:val="24"/>
          <w:highlight w:val="none"/>
        </w:rPr>
      </w:pPr>
    </w:p>
    <w:p w14:paraId="6668595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164CC6"/>
    <w:multiLevelType w:val="multilevel"/>
    <w:tmpl w:val="E2164CC6"/>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240" w:firstLine="0"/>
      </w:pPr>
      <w:rPr>
        <w:rFonts w:hint="eastAsia" w:ascii="宋体" w:hAnsi="宋体" w:eastAsia="宋体" w:cs="宋体"/>
      </w:rPr>
    </w:lvl>
    <w:lvl w:ilvl="2" w:tentative="0">
      <w:start w:val="1"/>
      <w:numFmt w:val="decimal"/>
      <w:isLgl/>
      <w:suff w:val="nothing"/>
      <w:lvlText w:val="%2.%3"/>
      <w:lvlJc w:val="left"/>
      <w:pPr>
        <w:tabs>
          <w:tab w:val="left" w:pos="0"/>
        </w:tabs>
        <w:ind w:left="0" w:firstLine="400"/>
      </w:pPr>
      <w:rPr>
        <w:rFonts w:hint="eastAsia" w:ascii="宋体" w:hAnsi="宋体" w:eastAsia="宋体" w:cs="宋体"/>
      </w:rPr>
    </w:lvl>
    <w:lvl w:ilvl="3" w:tentative="0">
      <w:start w:val="1"/>
      <w:numFmt w:val="decimal"/>
      <w:isLgl/>
      <w:suff w:val="nothing"/>
      <w:lvlText w:val="%2.%3.%4"/>
      <w:lvlJc w:val="left"/>
      <w:pPr>
        <w:ind w:left="0" w:firstLine="402"/>
      </w:pPr>
      <w:rPr>
        <w:rFonts w:hint="eastAsia" w:ascii="宋体" w:hAnsi="宋体" w:eastAsia="宋体" w:cs="宋体"/>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1770C9F"/>
    <w:multiLevelType w:val="multilevel"/>
    <w:tmpl w:val="21770C9F"/>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240" w:firstLine="0"/>
      </w:pPr>
      <w:rPr>
        <w:rFonts w:hint="eastAsia" w:ascii="宋体" w:hAnsi="宋体" w:eastAsia="宋体" w:cs="宋体"/>
      </w:rPr>
    </w:lvl>
    <w:lvl w:ilvl="2" w:tentative="0">
      <w:start w:val="1"/>
      <w:numFmt w:val="decimal"/>
      <w:isLgl/>
      <w:suff w:val="nothing"/>
      <w:lvlText w:val="%2.%3"/>
      <w:lvlJc w:val="left"/>
      <w:pPr>
        <w:tabs>
          <w:tab w:val="left" w:pos="0"/>
        </w:tabs>
        <w:ind w:left="0" w:firstLine="400"/>
      </w:pPr>
      <w:rPr>
        <w:rFonts w:hint="eastAsia" w:ascii="宋体" w:hAnsi="宋体" w:eastAsia="宋体" w:cs="宋体"/>
      </w:rPr>
    </w:lvl>
    <w:lvl w:ilvl="3" w:tentative="0">
      <w:start w:val="1"/>
      <w:numFmt w:val="decimal"/>
      <w:isLgl/>
      <w:suff w:val="nothing"/>
      <w:lvlText w:val="%2.%3.%4"/>
      <w:lvlJc w:val="left"/>
      <w:pPr>
        <w:ind w:left="0" w:firstLine="402"/>
      </w:pPr>
      <w:rPr>
        <w:rFonts w:hint="eastAsia" w:ascii="宋体" w:hAnsi="宋体" w:eastAsia="宋体" w:cs="宋体"/>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4BAFCCE4"/>
    <w:multiLevelType w:val="multilevel"/>
    <w:tmpl w:val="4BAFCCE4"/>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240" w:firstLine="0"/>
      </w:pPr>
      <w:rPr>
        <w:rFonts w:hint="eastAsia" w:ascii="宋体" w:hAnsi="宋体" w:eastAsia="宋体" w:cs="宋体"/>
      </w:rPr>
    </w:lvl>
    <w:lvl w:ilvl="2" w:tentative="0">
      <w:start w:val="1"/>
      <w:numFmt w:val="decimal"/>
      <w:isLgl/>
      <w:suff w:val="nothing"/>
      <w:lvlText w:val="%2.%3"/>
      <w:lvlJc w:val="left"/>
      <w:pPr>
        <w:tabs>
          <w:tab w:val="left" w:pos="0"/>
        </w:tabs>
        <w:ind w:left="0" w:firstLine="400"/>
      </w:pPr>
      <w:rPr>
        <w:rFonts w:hint="eastAsia" w:ascii="宋体" w:hAnsi="宋体" w:eastAsia="宋体" w:cs="宋体"/>
      </w:rPr>
    </w:lvl>
    <w:lvl w:ilvl="3" w:tentative="0">
      <w:start w:val="1"/>
      <w:numFmt w:val="decimal"/>
      <w:isLgl/>
      <w:suff w:val="nothing"/>
      <w:lvlText w:val="%2.%3.%4"/>
      <w:lvlJc w:val="left"/>
      <w:pPr>
        <w:ind w:left="0" w:firstLine="402"/>
      </w:pPr>
      <w:rPr>
        <w:rFonts w:hint="eastAsia" w:ascii="宋体" w:hAnsi="宋体" w:eastAsia="宋体" w:cs="宋体"/>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FD4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line="480" w:lineRule="exact"/>
      <w:ind w:left="420" w:leftChars="200" w:firstLine="420" w:firstLineChars="200"/>
      <w:jc w:val="both"/>
    </w:pPr>
    <w:rPr>
      <w:rFonts w:ascii="Times New Roman" w:hAnsi="Times New Roman" w:eastAsia="宋体" w:cs="Times New Roman"/>
      <w:kern w:val="2"/>
      <w:sz w:val="24"/>
      <w:szCs w:val="20"/>
      <w:lang w:val="en-US" w:eastAsia="zh-CN" w:bidi="ar-SA"/>
    </w:rPr>
  </w:style>
  <w:style w:type="paragraph" w:styleId="3">
    <w:name w:val="Body Text Indent"/>
    <w:next w:val="4"/>
    <w:qFormat/>
    <w:uiPriority w:val="0"/>
    <w:pPr>
      <w:widowControl w:val="0"/>
      <w:spacing w:line="360" w:lineRule="auto"/>
      <w:ind w:firstLine="570"/>
      <w:jc w:val="both"/>
    </w:pPr>
    <w:rPr>
      <w:rFonts w:ascii="Times New Roman" w:hAnsi="Times New Roman" w:eastAsia="宋体" w:cs="Times New Roman"/>
      <w:kern w:val="2"/>
      <w:sz w:val="24"/>
      <w:szCs w:val="24"/>
      <w:lang w:val="en-US" w:eastAsia="zh-CN" w:bidi="ar-SA"/>
    </w:rPr>
  </w:style>
  <w:style w:type="paragraph" w:styleId="4">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2026-08-04T10:11:36Z</dcterms:created>
  <dc:creator>user</dc:creator>
  <cp:lastModifiedBy>HJT</cp:lastModifiedBy>
  <dcterms:modified xsi:type="dcterms:W3CDTF">2026-08-04T10:11:53Z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E4C3B90EFD51474EA56ED45E8B88158F_12</vt:lpwstr>
  </property>
</Properties>
</file>