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8C" w:rsidRPr="008131DD" w:rsidRDefault="00ED4B8C" w:rsidP="00ED4B8C">
      <w:pPr>
        <w:snapToGrid w:val="0"/>
        <w:spacing w:line="360" w:lineRule="auto"/>
        <w:jc w:val="center"/>
        <w:outlineLvl w:val="0"/>
        <w:rPr>
          <w:rFonts w:ascii="仿宋" w:eastAsia="仿宋" w:hAnsi="仿宋" w:cs="仿宋"/>
          <w:b/>
          <w:sz w:val="40"/>
          <w:szCs w:val="40"/>
        </w:rPr>
      </w:pPr>
      <w:bookmarkStart w:id="0" w:name="_Toc225498656"/>
      <w:bookmarkStart w:id="1" w:name="OLE_LINK33"/>
      <w:r w:rsidRPr="008131DD">
        <w:rPr>
          <w:rFonts w:ascii="仿宋" w:eastAsia="仿宋" w:hAnsi="仿宋" w:cs="仿宋" w:hint="eastAsia"/>
          <w:b/>
          <w:sz w:val="40"/>
          <w:szCs w:val="40"/>
        </w:rPr>
        <w:t>第五章   采购需求</w:t>
      </w:r>
      <w:bookmarkEnd w:id="0"/>
    </w:p>
    <w:p w:rsidR="00ED4B8C" w:rsidRPr="008131DD" w:rsidRDefault="00ED4B8C" w:rsidP="00ED4B8C">
      <w:pPr>
        <w:snapToGrid w:val="0"/>
        <w:spacing w:line="360" w:lineRule="auto"/>
        <w:contextualSpacing/>
        <w:rPr>
          <w:rFonts w:ascii="仿宋" w:eastAsia="仿宋" w:hAnsi="仿宋" w:cs="仿宋"/>
          <w:sz w:val="28"/>
          <w:szCs w:val="28"/>
        </w:rPr>
      </w:pPr>
      <w:r w:rsidRPr="008131DD">
        <w:rPr>
          <w:rFonts w:ascii="仿宋" w:eastAsia="仿宋" w:hAnsi="仿宋" w:cs="仿宋" w:hint="eastAsia"/>
          <w:sz w:val="28"/>
          <w:szCs w:val="28"/>
        </w:rPr>
        <w:t>说明：</w:t>
      </w:r>
    </w:p>
    <w:p w:rsidR="00ED4B8C" w:rsidRPr="008131DD" w:rsidRDefault="00ED4B8C" w:rsidP="00ED4B8C">
      <w:pPr>
        <w:snapToGrid w:val="0"/>
        <w:spacing w:line="360" w:lineRule="auto"/>
        <w:contextualSpacing/>
        <w:rPr>
          <w:rFonts w:ascii="仿宋" w:eastAsia="仿宋" w:hAnsi="仿宋" w:cs="仿宋"/>
          <w:sz w:val="28"/>
          <w:szCs w:val="28"/>
        </w:rPr>
      </w:pPr>
      <w:bookmarkStart w:id="2" w:name="_Hlk167284587"/>
      <w:r w:rsidRPr="008131DD">
        <w:rPr>
          <w:rFonts w:ascii="仿宋" w:eastAsia="仿宋" w:hAnsi="仿宋" w:cs="仿宋" w:hint="eastAsia"/>
          <w:sz w:val="28"/>
          <w:szCs w:val="28"/>
        </w:rPr>
        <w:t>1. 当采购项目涉及政务信息系统时，采购需求应当符合《政务信息系统政府采购管理暂行办法》（财库〔2017〕210号）的相关要求。</w:t>
      </w:r>
    </w:p>
    <w:p w:rsidR="00ED4B8C" w:rsidRPr="008131DD" w:rsidRDefault="00ED4B8C" w:rsidP="00ED4B8C">
      <w:pPr>
        <w:snapToGrid w:val="0"/>
        <w:spacing w:line="360" w:lineRule="auto"/>
        <w:contextualSpacing/>
        <w:rPr>
          <w:rFonts w:ascii="仿宋" w:eastAsia="仿宋" w:hAnsi="仿宋" w:cs="仿宋"/>
          <w:sz w:val="28"/>
          <w:szCs w:val="28"/>
        </w:rPr>
      </w:pPr>
      <w:bookmarkStart w:id="3" w:name="_Hlk168431603"/>
      <w:r w:rsidRPr="008131DD">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ED4B8C" w:rsidRPr="008131DD" w:rsidRDefault="00ED4B8C" w:rsidP="00ED4B8C">
      <w:pPr>
        <w:snapToGrid w:val="0"/>
        <w:spacing w:line="360" w:lineRule="auto"/>
        <w:contextualSpacing/>
        <w:rPr>
          <w:rFonts w:ascii="仿宋" w:eastAsia="仿宋" w:hAnsi="仿宋" w:cs="仿宋"/>
          <w:sz w:val="28"/>
          <w:szCs w:val="28"/>
        </w:rPr>
      </w:pPr>
      <w:r w:rsidRPr="008131DD">
        <w:rPr>
          <w:rFonts w:ascii="仿宋" w:eastAsia="仿宋" w:hAnsi="仿宋" w:cs="仿宋" w:hint="eastAsia"/>
          <w:sz w:val="28"/>
          <w:szCs w:val="28"/>
        </w:rPr>
        <w:t>已发布的需求标准如下：</w:t>
      </w:r>
    </w:p>
    <w:p w:rsidR="00ED4B8C" w:rsidRPr="008131DD" w:rsidRDefault="00ED4B8C" w:rsidP="00ED4B8C">
      <w:pPr>
        <w:snapToGrid w:val="0"/>
        <w:spacing w:line="360" w:lineRule="auto"/>
        <w:contextualSpacing/>
        <w:rPr>
          <w:rFonts w:ascii="仿宋" w:eastAsia="仿宋" w:hAnsi="仿宋" w:cs="仿宋"/>
          <w:sz w:val="28"/>
          <w:szCs w:val="28"/>
        </w:rPr>
      </w:pPr>
      <w:r w:rsidRPr="008131DD">
        <w:rPr>
          <w:rFonts w:ascii="仿宋" w:eastAsia="仿宋" w:hAnsi="仿宋" w:cs="仿宋" w:hint="eastAsia"/>
          <w:sz w:val="28"/>
          <w:szCs w:val="28"/>
        </w:rPr>
        <w:t>《关于印发〈商品包装政府采购需求标准（试行）〉、〈快递包装政府采购需求标准（试行）〉的通知》（财办库﹝2020﹞123号））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《绿色数据中心政府采购需求标准（试行）》（财库〔2023〕7号）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《台式计算机政府采购需求标准（2023年版）》（财库〔2023〕29号）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《便携式计算机政府采购需求标准（2023年版）》（财库〔2023〕30号）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《一体式计算机政府采购需求标准（2023年版）》（财库〔2023〕31号）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《工作站政府采购需求标准（2023年版）》（财库〔2023〕32号）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《通用服务器政府采购需求标准（2023年版）》（财库〔2023〕33号）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《操作系统政府采购需求标准（2023年版）》（财库〔2023〕34号）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《数据库政府采购需求标准（2023年版）》（财库〔2023〕35号）</w:t>
      </w:r>
    </w:p>
    <w:p w:rsidR="00ED4B8C" w:rsidRPr="008131DD" w:rsidRDefault="00ED4B8C" w:rsidP="00ED4B8C">
      <w:pPr>
        <w:pStyle w:val="pf0"/>
        <w:snapToGrid w:val="0"/>
        <w:spacing w:before="0" w:beforeAutospacing="0" w:after="0" w:afterAutospacing="0" w:line="360" w:lineRule="auto"/>
        <w:rPr>
          <w:rFonts w:ascii="仿宋" w:eastAsia="仿宋" w:hAnsi="仿宋" w:cs="仿宋"/>
          <w:kern w:val="2"/>
          <w:sz w:val="28"/>
          <w:szCs w:val="28"/>
        </w:rPr>
      </w:pPr>
      <w:r w:rsidRPr="008131DD">
        <w:rPr>
          <w:rFonts w:ascii="仿宋" w:eastAsia="仿宋" w:hAnsi="仿宋" w:cs="仿宋" w:hint="eastAsia"/>
          <w:kern w:val="2"/>
          <w:sz w:val="28"/>
          <w:szCs w:val="28"/>
        </w:rPr>
        <w:t>《物业管理服务政府采购需求标准（办公场所类）（试行）》（财办库〔2024〕113号）</w:t>
      </w:r>
    </w:p>
    <w:p w:rsidR="00ED4B8C" w:rsidRPr="008131DD" w:rsidRDefault="00ED4B8C" w:rsidP="00ED4B8C">
      <w:pPr>
        <w:snapToGrid w:val="0"/>
        <w:spacing w:line="360" w:lineRule="auto"/>
        <w:contextualSpacing/>
        <w:rPr>
          <w:rFonts w:ascii="仿宋" w:eastAsia="仿宋" w:hAnsi="仿宋" w:cs="仿宋"/>
          <w:sz w:val="28"/>
          <w:szCs w:val="28"/>
        </w:rPr>
      </w:pPr>
      <w:r w:rsidRPr="008131DD">
        <w:rPr>
          <w:rFonts w:ascii="仿宋" w:eastAsia="仿宋" w:hAnsi="仿宋" w:cs="仿宋" w:hint="eastAsia"/>
          <w:sz w:val="28"/>
          <w:szCs w:val="28"/>
        </w:rPr>
        <w:t>如有更新或增加，以财政部门发布为准。</w:t>
      </w:r>
      <w:bookmarkEnd w:id="2"/>
      <w:bookmarkEnd w:id="3"/>
    </w:p>
    <w:p w:rsidR="00ED4B8C" w:rsidRPr="008131DD" w:rsidRDefault="00ED4B8C" w:rsidP="00ED4B8C">
      <w:pPr>
        <w:widowControl/>
        <w:snapToGrid w:val="0"/>
        <w:spacing w:line="360" w:lineRule="auto"/>
        <w:jc w:val="left"/>
        <w:rPr>
          <w:rFonts w:ascii="仿宋" w:eastAsia="仿宋" w:hAnsi="仿宋" w:cs="仿宋"/>
          <w:b/>
          <w:sz w:val="28"/>
          <w:szCs w:val="28"/>
        </w:rPr>
      </w:pPr>
      <w:r w:rsidRPr="008131DD">
        <w:rPr>
          <w:rFonts w:ascii="仿宋" w:eastAsia="仿宋" w:hAnsi="仿宋" w:cs="仿宋"/>
          <w:b/>
          <w:sz w:val="28"/>
          <w:szCs w:val="28"/>
        </w:rPr>
        <w:br w:type="page"/>
      </w:r>
    </w:p>
    <w:p w:rsidR="00ED4B8C" w:rsidRPr="008131DD" w:rsidRDefault="00ED4B8C" w:rsidP="00ED4B8C">
      <w:pPr>
        <w:snapToGrid w:val="0"/>
        <w:spacing w:line="360" w:lineRule="auto"/>
        <w:ind w:firstLineChars="200" w:firstLine="482"/>
        <w:rPr>
          <w:rFonts w:ascii="仿宋" w:eastAsia="仿宋" w:hAnsi="仿宋" w:cs="仿宋"/>
          <w:b/>
          <w:sz w:val="24"/>
        </w:rPr>
      </w:pPr>
      <w:r w:rsidRPr="008131DD">
        <w:rPr>
          <w:rFonts w:ascii="仿宋" w:eastAsia="仿宋" w:hAnsi="仿宋" w:cs="仿宋" w:hint="eastAsia"/>
          <w:b/>
          <w:sz w:val="24"/>
        </w:rPr>
        <w:lastRenderedPageBreak/>
        <w:t>一、采购标的</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（一）采购标的（货物需求一览表或简要服务内容及数量）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40"/>
        <w:gridCol w:w="993"/>
        <w:gridCol w:w="2178"/>
      </w:tblGrid>
      <w:tr w:rsidR="00ED4B8C" w:rsidRPr="008131DD" w:rsidTr="003E322D">
        <w:trPr>
          <w:trHeight w:val="52"/>
          <w:jc w:val="center"/>
        </w:trPr>
        <w:tc>
          <w:tcPr>
            <w:tcW w:w="479" w:type="pct"/>
            <w:vAlign w:val="center"/>
          </w:tcPr>
          <w:p w:rsidR="00ED4B8C" w:rsidRPr="008131DD" w:rsidRDefault="00ED4B8C" w:rsidP="003E322D">
            <w:pPr>
              <w:widowControl/>
              <w:spacing w:line="360" w:lineRule="auto"/>
              <w:jc w:val="center"/>
              <w:rPr>
                <w:rFonts w:ascii="仿宋" w:eastAsia="仿宋" w:hAnsi="仿宋"/>
                <w:b/>
                <w:sz w:val="24"/>
              </w:rPr>
            </w:pPr>
            <w:r w:rsidRPr="008131DD">
              <w:rPr>
                <w:rFonts w:ascii="仿宋" w:eastAsia="仿宋" w:hAnsi="仿宋" w:hint="eastAsia"/>
                <w:b/>
                <w:sz w:val="24"/>
              </w:rPr>
              <w:t>包号</w:t>
            </w:r>
          </w:p>
        </w:tc>
        <w:tc>
          <w:tcPr>
            <w:tcW w:w="2661" w:type="pct"/>
            <w:shd w:val="clear" w:color="000000" w:fill="FFFFFF"/>
            <w:vAlign w:val="center"/>
          </w:tcPr>
          <w:p w:rsidR="00ED4B8C" w:rsidRPr="008131DD" w:rsidRDefault="00ED4B8C" w:rsidP="003E322D">
            <w:pPr>
              <w:widowControl/>
              <w:spacing w:line="360" w:lineRule="auto"/>
              <w:jc w:val="center"/>
              <w:rPr>
                <w:rFonts w:ascii="仿宋" w:eastAsia="仿宋" w:hAnsi="仿宋"/>
                <w:b/>
                <w:sz w:val="24"/>
              </w:rPr>
            </w:pPr>
            <w:bookmarkStart w:id="4" w:name="OLE_LINK25"/>
            <w:bookmarkStart w:id="5" w:name="OLE_LINK24"/>
            <w:r w:rsidRPr="008131DD">
              <w:rPr>
                <w:rFonts w:ascii="仿宋" w:eastAsia="仿宋" w:hAnsi="仿宋" w:hint="eastAsia"/>
                <w:b/>
                <w:sz w:val="24"/>
              </w:rPr>
              <w:t>标的名称</w:t>
            </w:r>
            <w:bookmarkEnd w:id="4"/>
            <w:bookmarkEnd w:id="5"/>
          </w:p>
        </w:tc>
        <w:tc>
          <w:tcPr>
            <w:tcW w:w="582" w:type="pct"/>
            <w:shd w:val="clear" w:color="000000" w:fill="FFFFFF"/>
            <w:vAlign w:val="center"/>
          </w:tcPr>
          <w:p w:rsidR="00ED4B8C" w:rsidRPr="008131DD" w:rsidRDefault="00ED4B8C" w:rsidP="003E322D">
            <w:pPr>
              <w:widowControl/>
              <w:spacing w:line="360" w:lineRule="auto"/>
              <w:jc w:val="center"/>
              <w:rPr>
                <w:rFonts w:ascii="仿宋" w:eastAsia="仿宋" w:hAnsi="仿宋"/>
                <w:b/>
                <w:sz w:val="24"/>
              </w:rPr>
            </w:pPr>
            <w:r w:rsidRPr="008131DD">
              <w:rPr>
                <w:rFonts w:ascii="仿宋" w:eastAsia="仿宋" w:hAnsi="仿宋"/>
                <w:b/>
                <w:sz w:val="24"/>
              </w:rPr>
              <w:t>数量</w:t>
            </w:r>
          </w:p>
        </w:tc>
        <w:tc>
          <w:tcPr>
            <w:tcW w:w="1277" w:type="pct"/>
            <w:shd w:val="clear" w:color="000000" w:fill="FFFFFF"/>
            <w:vAlign w:val="center"/>
          </w:tcPr>
          <w:p w:rsidR="00ED4B8C" w:rsidRPr="008131DD" w:rsidRDefault="00ED4B8C" w:rsidP="003E322D">
            <w:pPr>
              <w:widowControl/>
              <w:spacing w:line="360" w:lineRule="auto"/>
              <w:jc w:val="center"/>
              <w:rPr>
                <w:rFonts w:ascii="仿宋" w:eastAsia="仿宋" w:hAnsi="仿宋"/>
                <w:b/>
                <w:sz w:val="24"/>
              </w:rPr>
            </w:pPr>
            <w:r w:rsidRPr="008131DD">
              <w:rPr>
                <w:rFonts w:ascii="仿宋" w:eastAsia="仿宋" w:hAnsi="仿宋" w:hint="eastAsia"/>
                <w:b/>
                <w:sz w:val="24"/>
              </w:rPr>
              <w:t>是否接受进口产品</w:t>
            </w:r>
          </w:p>
        </w:tc>
      </w:tr>
      <w:tr w:rsidR="00ED4B8C" w:rsidRPr="008131DD" w:rsidTr="003E322D">
        <w:trPr>
          <w:trHeight w:val="351"/>
          <w:jc w:val="center"/>
        </w:trPr>
        <w:tc>
          <w:tcPr>
            <w:tcW w:w="479" w:type="pct"/>
            <w:vAlign w:val="center"/>
          </w:tcPr>
          <w:p w:rsidR="00ED4B8C" w:rsidRPr="008131DD" w:rsidRDefault="00ED4B8C" w:rsidP="003E322D">
            <w:pPr>
              <w:spacing w:before="120" w:line="360" w:lineRule="auto"/>
              <w:contextualSpacing/>
              <w:jc w:val="center"/>
              <w:rPr>
                <w:rFonts w:ascii="仿宋" w:eastAsia="仿宋" w:hAnsi="仿宋"/>
                <w:sz w:val="24"/>
              </w:rPr>
            </w:pPr>
            <w:r w:rsidRPr="008131DD">
              <w:rPr>
                <w:rFonts w:ascii="仿宋" w:eastAsia="仿宋" w:hAnsi="仿宋" w:hint="eastAsia"/>
                <w:sz w:val="24"/>
              </w:rPr>
              <w:t>2</w:t>
            </w:r>
          </w:p>
        </w:tc>
        <w:tc>
          <w:tcPr>
            <w:tcW w:w="2661" w:type="pct"/>
            <w:shd w:val="clear" w:color="000000" w:fill="FFFFFF"/>
            <w:vAlign w:val="center"/>
          </w:tcPr>
          <w:p w:rsidR="00ED4B8C" w:rsidRPr="008131DD" w:rsidRDefault="00ED4B8C" w:rsidP="003E322D">
            <w:pPr>
              <w:widowControl/>
              <w:spacing w:before="120" w:line="360" w:lineRule="auto"/>
              <w:contextualSpacing/>
              <w:jc w:val="center"/>
              <w:rPr>
                <w:rFonts w:ascii="仿宋" w:eastAsia="仿宋" w:hAnsi="仿宋" w:cs="宋体"/>
                <w:kern w:val="0"/>
                <w:sz w:val="24"/>
              </w:rPr>
            </w:pPr>
            <w:r w:rsidRPr="008131DD">
              <w:rPr>
                <w:rFonts w:ascii="仿宋" w:eastAsia="仿宋" w:hAnsi="仿宋" w:cs="宋体" w:hint="eastAsia"/>
                <w:kern w:val="0"/>
                <w:sz w:val="24"/>
              </w:rPr>
              <w:t>会议系统</w:t>
            </w:r>
          </w:p>
        </w:tc>
        <w:tc>
          <w:tcPr>
            <w:tcW w:w="582" w:type="pct"/>
            <w:shd w:val="clear" w:color="000000" w:fill="FFFFFF"/>
            <w:vAlign w:val="center"/>
          </w:tcPr>
          <w:p w:rsidR="00ED4B8C" w:rsidRPr="008131DD" w:rsidRDefault="00ED4B8C" w:rsidP="003E322D">
            <w:pPr>
              <w:spacing w:before="120" w:line="360" w:lineRule="auto"/>
              <w:contextualSpacing/>
              <w:jc w:val="center"/>
              <w:rPr>
                <w:rFonts w:ascii="仿宋" w:eastAsia="仿宋" w:hAnsi="仿宋"/>
                <w:sz w:val="24"/>
              </w:rPr>
            </w:pPr>
            <w:r w:rsidRPr="008131DD">
              <w:rPr>
                <w:rFonts w:ascii="仿宋" w:eastAsia="仿宋" w:hAnsi="仿宋" w:hint="eastAsia"/>
                <w:sz w:val="24"/>
              </w:rPr>
              <w:t>1批</w:t>
            </w:r>
          </w:p>
        </w:tc>
        <w:tc>
          <w:tcPr>
            <w:tcW w:w="1277" w:type="pct"/>
            <w:shd w:val="clear" w:color="000000" w:fill="FFFFFF"/>
            <w:vAlign w:val="center"/>
          </w:tcPr>
          <w:p w:rsidR="00ED4B8C" w:rsidRPr="008131DD" w:rsidRDefault="00ED4B8C" w:rsidP="003E322D">
            <w:pPr>
              <w:spacing w:line="360" w:lineRule="auto"/>
              <w:jc w:val="center"/>
            </w:pPr>
            <w:r w:rsidRPr="008131DD">
              <w:rPr>
                <w:rFonts w:ascii="仿宋" w:eastAsia="仿宋" w:hAnsi="仿宋" w:hint="eastAsia"/>
                <w:sz w:val="24"/>
              </w:rPr>
              <w:t>否</w:t>
            </w:r>
          </w:p>
        </w:tc>
      </w:tr>
    </w:tbl>
    <w:p w:rsidR="00ED4B8C" w:rsidRPr="008131DD" w:rsidRDefault="00ED4B8C" w:rsidP="00ED4B8C">
      <w:pPr>
        <w:snapToGrid w:val="0"/>
        <w:spacing w:line="360" w:lineRule="auto"/>
        <w:ind w:firstLineChars="200" w:firstLine="482"/>
        <w:rPr>
          <w:rFonts w:ascii="仿宋" w:eastAsia="仿宋" w:hAnsi="仿宋" w:cs="仿宋"/>
          <w:b/>
          <w:bCs/>
          <w:sz w:val="24"/>
        </w:rPr>
      </w:pPr>
      <w:r w:rsidRPr="008131DD">
        <w:rPr>
          <w:rFonts w:ascii="仿宋" w:eastAsia="仿宋" w:hAnsi="仿宋" w:cs="仿宋" w:hint="eastAsia"/>
          <w:b/>
          <w:bCs/>
          <w:sz w:val="24"/>
        </w:rPr>
        <w:t>具体明细：</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3687"/>
        <w:gridCol w:w="853"/>
        <w:gridCol w:w="992"/>
        <w:gridCol w:w="1891"/>
      </w:tblGrid>
      <w:tr w:rsidR="00ED4B8C" w:rsidRPr="008131DD" w:rsidTr="003E322D">
        <w:trPr>
          <w:trHeight w:val="280"/>
        </w:trPr>
        <w:tc>
          <w:tcPr>
            <w:tcW w:w="646" w:type="pct"/>
            <w:shd w:val="clear" w:color="auto" w:fill="auto"/>
            <w:noWrap/>
            <w:vAlign w:val="center"/>
          </w:tcPr>
          <w:p w:rsidR="00ED4B8C" w:rsidRPr="008131DD" w:rsidRDefault="00ED4B8C" w:rsidP="003E322D">
            <w:pPr>
              <w:widowControl/>
              <w:spacing w:line="360" w:lineRule="auto"/>
              <w:ind w:left="210"/>
              <w:textAlignment w:val="center"/>
              <w:rPr>
                <w:rFonts w:ascii="仿宋" w:eastAsia="仿宋" w:hAnsi="仿宋" w:cs="仿宋"/>
                <w:b/>
                <w:bCs/>
                <w:sz w:val="24"/>
              </w:rPr>
            </w:pPr>
            <w:bookmarkStart w:id="6" w:name="OLE_LINK59"/>
            <w:bookmarkStart w:id="7" w:name="OLE_LINK3"/>
            <w:bookmarkStart w:id="8" w:name="OLE_LINK60"/>
            <w:r w:rsidRPr="008131DD">
              <w:rPr>
                <w:rFonts w:ascii="仿宋" w:eastAsia="仿宋" w:hAnsi="仿宋" w:cs="仿宋" w:hint="eastAsia"/>
                <w:b/>
                <w:bCs/>
                <w:sz w:val="24"/>
              </w:rPr>
              <w:t>序号</w:t>
            </w:r>
          </w:p>
        </w:tc>
        <w:tc>
          <w:tcPr>
            <w:tcW w:w="2162"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b/>
                <w:bCs/>
                <w:sz w:val="24"/>
              </w:rPr>
            </w:pPr>
            <w:r w:rsidRPr="008131DD">
              <w:rPr>
                <w:rFonts w:ascii="仿宋" w:eastAsia="仿宋" w:hAnsi="仿宋" w:cs="仿宋" w:hint="eastAsia"/>
                <w:b/>
                <w:bCs/>
                <w:kern w:val="0"/>
                <w:sz w:val="24"/>
              </w:rPr>
              <w:t>产品名称（标的名称）</w:t>
            </w:r>
          </w:p>
        </w:tc>
        <w:tc>
          <w:tcPr>
            <w:tcW w:w="500"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b/>
                <w:bCs/>
                <w:sz w:val="24"/>
              </w:rPr>
            </w:pPr>
            <w:r w:rsidRPr="008131DD">
              <w:rPr>
                <w:rFonts w:ascii="仿宋" w:eastAsia="仿宋" w:hAnsi="仿宋" w:cs="仿宋" w:hint="eastAsia"/>
                <w:b/>
                <w:bCs/>
                <w:kern w:val="0"/>
                <w:sz w:val="24"/>
              </w:rPr>
              <w:t>数量</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b/>
                <w:bCs/>
                <w:sz w:val="24"/>
              </w:rPr>
            </w:pPr>
            <w:r w:rsidRPr="008131DD">
              <w:rPr>
                <w:rFonts w:ascii="仿宋" w:eastAsia="仿宋" w:hAnsi="仿宋" w:cs="仿宋" w:hint="eastAsia"/>
                <w:b/>
                <w:bCs/>
                <w:kern w:val="0"/>
                <w:sz w:val="24"/>
              </w:rPr>
              <w:t>单位</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b/>
                <w:bCs/>
                <w:sz w:val="24"/>
              </w:rPr>
            </w:pPr>
            <w:r w:rsidRPr="008131DD">
              <w:rPr>
                <w:rFonts w:ascii="仿宋" w:eastAsia="仿宋" w:hAnsi="仿宋" w:cs="仿宋" w:hint="eastAsia"/>
                <w:b/>
                <w:bCs/>
                <w:kern w:val="0"/>
                <w:sz w:val="24"/>
              </w:rPr>
              <w:t>单价限价（元）</w:t>
            </w:r>
          </w:p>
        </w:tc>
      </w:tr>
      <w:tr w:rsidR="00ED4B8C" w:rsidRPr="008131DD" w:rsidTr="003E322D">
        <w:trPr>
          <w:trHeight w:val="9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86寸液晶电视</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98寸液晶电视</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65寸液晶电视（反看）</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3600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75寸液晶电视（吊装）</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4600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OPS主机</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46寸液晶屏</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55寸液晶屏</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全彩LED显示屏1</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平米</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全彩LED显示屏2</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28</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平米</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电子会标</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平米</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支架结构</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3684"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kern w:val="0"/>
                <w:sz w:val="24"/>
              </w:rPr>
            </w:pPr>
            <w:r w:rsidRPr="008131DD">
              <w:rPr>
                <w:rFonts w:ascii="仿宋" w:eastAsia="仿宋" w:hAnsi="仿宋" w:cs="仿宋"/>
                <w:kern w:val="0"/>
                <w:sz w:val="24"/>
              </w:rPr>
              <w:t>固定结构</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3684"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kern w:val="0"/>
                <w:sz w:val="24"/>
              </w:rPr>
            </w:pPr>
            <w:r w:rsidRPr="008131DD">
              <w:rPr>
                <w:rFonts w:ascii="仿宋" w:eastAsia="仿宋" w:hAnsi="仿宋" w:cs="仿宋"/>
                <w:kern w:val="0"/>
                <w:sz w:val="24"/>
              </w:rPr>
              <w:t>控制卡</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鹅颈会议话筒</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无线手持话筒（一拖二）</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25</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无线领夹话筒（一拖二）</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天线分配器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有源宽频天线</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1700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耦合器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全频功率放大器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4800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反馈抑制器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数字音频处理器1</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16路数字调音台</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32路数字调音台</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数字音频处理器2</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多合一有源垂直阵列音柱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强指向性音柱功率放大器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强指向性音柱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壁挂架</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150W吸顶音箱功率放大器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350W吸顶音箱功率放大器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吸顶音箱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数字会议设备主机1</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数字会议发言单元（主席）</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线阵列音箱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线阵列低音音箱</w:t>
            </w:r>
          </w:p>
        </w:tc>
        <w:tc>
          <w:tcPr>
            <w:tcW w:w="500"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配套吊架</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21000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线阵列音箱功率放大器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24000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线阵列低音音箱功率放大器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超低音箱1</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超低音箱功率放大器1</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拉声像主音箱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拉声像主音箱功率放大器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中置音箱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16500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中置音箱功率放大器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返送音箱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返送音箱功率放大器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台唇音箱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台唇音箱功率放大器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补声音箱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7700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补声音箱功率放大器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专业播放解码器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左、中、右声道音箱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四通道功率放大器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超低音箱2</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超低音箱功率放大器2</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环绕音箱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环绕音箱功率放大器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升降显示终端</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11500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数字会议设备主机2</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桌面升降显示屏管理主机</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桌面升降终端</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视频编码器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LED聚光灯</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37</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4900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LED染色灯</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49</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LED数字平板柔光灯</w:t>
            </w:r>
          </w:p>
        </w:tc>
        <w:tc>
          <w:tcPr>
            <w:tcW w:w="500"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48</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电脑摇头灯</w:t>
            </w:r>
          </w:p>
        </w:tc>
        <w:tc>
          <w:tcPr>
            <w:tcW w:w="500"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16</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调光台</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25000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8路放大器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解码控制器</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12路直通柜</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6600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追光灯</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灯杆</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根</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匀速拉幕机(底幕)</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幕布轨道</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固定灯光吊杆杆体</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固定幕布吊杆杆体</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钢丝绳</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800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米</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25</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主席台电动控制箱</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会标杆体</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滑轮固定装置</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10</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1900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极限开关</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主席台葡萄架</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200000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机械辅助机构</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套</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30000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底幕</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336</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米</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沿幕</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84</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米</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12U机柜</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37U机柜</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1800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47U机柜</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3200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48口交换机</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16口交换机</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900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多媒体桌插</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63</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个</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700</w:t>
            </w:r>
          </w:p>
        </w:tc>
      </w:tr>
      <w:tr w:rsidR="00ED4B8C" w:rsidRPr="008131DD" w:rsidTr="003E322D">
        <w:trPr>
          <w:trHeight w:val="280"/>
        </w:trPr>
        <w:tc>
          <w:tcPr>
            <w:tcW w:w="1101" w:type="dxa"/>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3684"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监听音箱</w:t>
            </w:r>
          </w:p>
        </w:tc>
        <w:tc>
          <w:tcPr>
            <w:tcW w:w="852"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w:t>
            </w:r>
          </w:p>
        </w:tc>
        <w:tc>
          <w:tcPr>
            <w:tcW w:w="992"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890" w:type="dxa"/>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2800</w:t>
            </w:r>
          </w:p>
        </w:tc>
      </w:tr>
      <w:tr w:rsidR="00ED4B8C" w:rsidRPr="008131DD" w:rsidTr="003E322D">
        <w:trPr>
          <w:trHeight w:val="280"/>
        </w:trPr>
        <w:tc>
          <w:tcPr>
            <w:tcW w:w="1101" w:type="dxa"/>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3684"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55寸信息展示终端4（液晶电视）</w:t>
            </w:r>
          </w:p>
        </w:tc>
        <w:tc>
          <w:tcPr>
            <w:tcW w:w="852"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3</w:t>
            </w:r>
          </w:p>
        </w:tc>
        <w:tc>
          <w:tcPr>
            <w:tcW w:w="992" w:type="dxa"/>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台</w:t>
            </w:r>
          </w:p>
        </w:tc>
        <w:tc>
          <w:tcPr>
            <w:tcW w:w="1890" w:type="dxa"/>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6200</w:t>
            </w:r>
          </w:p>
        </w:tc>
      </w:tr>
      <w:tr w:rsidR="00ED4B8C" w:rsidRPr="008131DD" w:rsidTr="003E322D">
        <w:trPr>
          <w:trHeight w:val="280"/>
        </w:trPr>
        <w:tc>
          <w:tcPr>
            <w:tcW w:w="646" w:type="pct"/>
            <w:shd w:val="clear" w:color="auto" w:fill="auto"/>
            <w:vAlign w:val="center"/>
          </w:tcPr>
          <w:p w:rsidR="00ED4B8C" w:rsidRPr="008131DD" w:rsidRDefault="00ED4B8C" w:rsidP="002A30A0">
            <w:pPr>
              <w:widowControl/>
              <w:numPr>
                <w:ilvl w:val="0"/>
                <w:numId w:val="66"/>
              </w:numPr>
              <w:spacing w:line="360" w:lineRule="auto"/>
              <w:ind w:firstLine="482"/>
              <w:jc w:val="center"/>
              <w:textAlignment w:val="center"/>
              <w:rPr>
                <w:rFonts w:ascii="仿宋" w:eastAsia="仿宋" w:hAnsi="仿宋" w:cs="仿宋"/>
                <w:b/>
                <w:bCs/>
                <w:sz w:val="24"/>
              </w:rPr>
            </w:pPr>
          </w:p>
        </w:tc>
        <w:tc>
          <w:tcPr>
            <w:tcW w:w="216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集成费</w:t>
            </w:r>
          </w:p>
        </w:tc>
        <w:tc>
          <w:tcPr>
            <w:tcW w:w="500"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w:t>
            </w:r>
          </w:p>
        </w:tc>
        <w:tc>
          <w:tcPr>
            <w:tcW w:w="582" w:type="pct"/>
            <w:shd w:val="clear" w:color="auto" w:fill="auto"/>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项</w:t>
            </w:r>
          </w:p>
        </w:tc>
        <w:tc>
          <w:tcPr>
            <w:tcW w:w="1109" w:type="pct"/>
            <w:shd w:val="clear" w:color="auto" w:fill="auto"/>
            <w:noWrap/>
            <w:vAlign w:val="center"/>
          </w:tcPr>
          <w:p w:rsidR="00ED4B8C" w:rsidRPr="008131DD" w:rsidRDefault="00ED4B8C" w:rsidP="003E322D">
            <w:pPr>
              <w:widowControl/>
              <w:spacing w:line="360" w:lineRule="auto"/>
              <w:jc w:val="center"/>
              <w:textAlignment w:val="center"/>
              <w:rPr>
                <w:rFonts w:ascii="仿宋" w:eastAsia="仿宋" w:hAnsi="仿宋" w:cs="仿宋"/>
                <w:sz w:val="24"/>
              </w:rPr>
            </w:pPr>
            <w:r w:rsidRPr="008131DD">
              <w:rPr>
                <w:rFonts w:ascii="仿宋" w:eastAsia="仿宋" w:hAnsi="仿宋" w:cs="仿宋" w:hint="eastAsia"/>
                <w:kern w:val="0"/>
                <w:sz w:val="24"/>
              </w:rPr>
              <w:t>138610</w:t>
            </w:r>
          </w:p>
        </w:tc>
      </w:tr>
    </w:tbl>
    <w:bookmarkEnd w:id="6"/>
    <w:bookmarkEnd w:id="7"/>
    <w:bookmarkEnd w:id="8"/>
    <w:p w:rsidR="00ED4B8C" w:rsidRPr="008131DD" w:rsidRDefault="00ED4B8C" w:rsidP="00ED4B8C">
      <w:pPr>
        <w:snapToGrid w:val="0"/>
        <w:spacing w:line="360" w:lineRule="auto"/>
        <w:rPr>
          <w:rFonts w:ascii="仿宋" w:eastAsia="仿宋" w:hAnsi="仿宋" w:cs="仿宋"/>
          <w:b/>
          <w:bCs/>
          <w:sz w:val="24"/>
          <w:szCs w:val="21"/>
        </w:rPr>
      </w:pPr>
      <w:r w:rsidRPr="008131DD">
        <w:rPr>
          <w:rFonts w:ascii="仿宋" w:eastAsia="仿宋" w:hAnsi="仿宋" w:cs="仿宋" w:hint="eastAsia"/>
          <w:b/>
          <w:bCs/>
          <w:sz w:val="24"/>
          <w:szCs w:val="21"/>
        </w:rPr>
        <w:t>注：1）投标人所报产品单价不能超过上述单价限价金额，否则按废标处理。</w:t>
      </w:r>
    </w:p>
    <w:p w:rsidR="00ED4B8C" w:rsidRPr="008131DD" w:rsidRDefault="00ED4B8C" w:rsidP="00ED4B8C">
      <w:pPr>
        <w:snapToGrid w:val="0"/>
        <w:spacing w:line="360" w:lineRule="auto"/>
        <w:ind w:firstLineChars="200" w:firstLine="482"/>
        <w:rPr>
          <w:rFonts w:ascii="仿宋" w:eastAsia="仿宋" w:hAnsi="仿宋" w:cs="仿宋"/>
          <w:b/>
          <w:bCs/>
          <w:szCs w:val="21"/>
        </w:rPr>
      </w:pPr>
      <w:r w:rsidRPr="008131DD">
        <w:rPr>
          <w:rFonts w:ascii="仿宋" w:eastAsia="仿宋" w:hAnsi="仿宋" w:cs="仿宋" w:hint="eastAsia"/>
          <w:b/>
          <w:bCs/>
          <w:sz w:val="24"/>
          <w:szCs w:val="21"/>
        </w:rPr>
        <w:t>2）如涉及中小企业声明函填报，应包含上述具体明细中所有标的。</w:t>
      </w:r>
    </w:p>
    <w:p w:rsidR="00ED4B8C" w:rsidRPr="008131DD" w:rsidRDefault="00ED4B8C" w:rsidP="00ED4B8C">
      <w:pPr>
        <w:pStyle w:val="af9"/>
      </w:pP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（二）项目背景/项目概述</w:t>
      </w:r>
    </w:p>
    <w:p w:rsidR="00ED4B8C" w:rsidRPr="008131DD" w:rsidRDefault="00ED4B8C" w:rsidP="00ED4B8C">
      <w:pPr>
        <w:tabs>
          <w:tab w:val="left" w:pos="5456"/>
        </w:tabs>
        <w:snapToGrid w:val="0"/>
        <w:spacing w:line="360" w:lineRule="auto"/>
        <w:ind w:firstLineChars="200" w:firstLine="480"/>
        <w:rPr>
          <w:rFonts w:ascii="仿宋" w:eastAsia="仿宋" w:hAnsi="仿宋" w:cs="仿宋"/>
          <w:sz w:val="24"/>
        </w:rPr>
      </w:pPr>
      <w:r w:rsidRPr="008131DD">
        <w:rPr>
          <w:rFonts w:ascii="仿宋" w:eastAsia="仿宋" w:hAnsi="仿宋" w:cs="仿宋" w:hint="eastAsia"/>
          <w:sz w:val="24"/>
        </w:rPr>
        <w:t>依据《北京市国民经济和社会发展第十四个五年规划和二〇三五年远景目标纲要》《“健康北京 2030”规划纲要》《“十四五”时期健康北京建设规划》《中共北京市委北京市人民政府关于加强首都公共卫生应急管理体系建设的若干意见》《北京市疾病预防控制中心中长期发展规划》（2024 -2030 年）等文件精神，北京市疾病预防控制中心（以下称“市疾控中心”）开展了新址迁建项目，机房工程及配套为迁建项目的配套项目，为满足新址信息化支撑、会议室建设等需求，需开展机柜等机房配套设备、机房改造工程、建筑智能化工程等系统建设。</w:t>
      </w:r>
    </w:p>
    <w:p w:rsidR="00ED4B8C" w:rsidRPr="008131DD" w:rsidRDefault="00ED4B8C" w:rsidP="00ED4B8C">
      <w:pPr>
        <w:tabs>
          <w:tab w:val="left" w:pos="5456"/>
        </w:tabs>
        <w:snapToGrid w:val="0"/>
        <w:spacing w:line="360" w:lineRule="auto"/>
        <w:ind w:firstLineChars="200" w:firstLine="480"/>
        <w:rPr>
          <w:rFonts w:ascii="仿宋" w:eastAsia="仿宋" w:hAnsi="仿宋" w:cs="仿宋"/>
          <w:sz w:val="24"/>
        </w:rPr>
      </w:pPr>
      <w:r w:rsidRPr="008131DD">
        <w:rPr>
          <w:rFonts w:ascii="仿宋" w:eastAsia="仿宋" w:hAnsi="仿宋" w:cs="仿宋" w:hint="eastAsia"/>
          <w:sz w:val="24"/>
        </w:rPr>
        <w:t xml:space="preserve">市疾控中心现址在会商室、213会议室等房间配置有液晶拼接屏、会议一体机、话筒、音频处理器、视频会议摄像机等各类多媒体设备，此类设备利旧至疾控中心新址继续使用。 </w:t>
      </w:r>
    </w:p>
    <w:p w:rsidR="00ED4B8C" w:rsidRPr="008131DD" w:rsidRDefault="00ED4B8C" w:rsidP="00ED4B8C">
      <w:pPr>
        <w:tabs>
          <w:tab w:val="left" w:pos="5456"/>
        </w:tabs>
        <w:snapToGrid w:val="0"/>
        <w:spacing w:line="360" w:lineRule="auto"/>
        <w:ind w:firstLineChars="200" w:firstLine="480"/>
        <w:rPr>
          <w:rFonts w:ascii="仿宋" w:eastAsia="仿宋" w:hAnsi="仿宋" w:cs="仿宋"/>
          <w:sz w:val="24"/>
        </w:rPr>
      </w:pPr>
      <w:r w:rsidRPr="008131DD">
        <w:rPr>
          <w:rFonts w:ascii="仿宋" w:eastAsia="仿宋" w:hAnsi="仿宋" w:cs="仿宋" w:hint="eastAsia"/>
          <w:sz w:val="24"/>
        </w:rPr>
        <w:t>市疾控中心新址为满足理论教学等教室、健康知识大讲堂、应急指挥大厅、报告厅、学术研讨室、中型会议室、实战应急演练厅等房间的日常会议、教学培</w:t>
      </w:r>
      <w:r w:rsidRPr="008131DD">
        <w:rPr>
          <w:rFonts w:ascii="仿宋" w:eastAsia="仿宋" w:hAnsi="仿宋" w:cs="仿宋" w:hint="eastAsia"/>
          <w:sz w:val="24"/>
        </w:rPr>
        <w:lastRenderedPageBreak/>
        <w:t>训、视频会议、学术交流等多功能用途，已经购置了部分多媒体会议系统设备，包括高清混插矩阵、HDMI输入输出卡等矩阵系统设备，中心控制管理平台、电源控制器、电源时序器等中控系统设备，分布式综合管理主机、全编全解高清MCU、视频会议终端、SMC等视频会议系统设备。</w:t>
      </w:r>
    </w:p>
    <w:p w:rsidR="00ED4B8C" w:rsidRPr="008131DD" w:rsidRDefault="00ED4B8C" w:rsidP="00ED4B8C">
      <w:pPr>
        <w:tabs>
          <w:tab w:val="left" w:pos="5456"/>
        </w:tabs>
        <w:snapToGrid w:val="0"/>
        <w:spacing w:line="360" w:lineRule="auto"/>
        <w:ind w:firstLineChars="200" w:firstLine="480"/>
        <w:rPr>
          <w:rFonts w:ascii="宋体" w:eastAsia="仿宋" w:hAnsi="宋体" w:cs="宋体"/>
          <w:b/>
          <w:kern w:val="0"/>
          <w:sz w:val="24"/>
        </w:rPr>
      </w:pPr>
      <w:r w:rsidRPr="008131DD">
        <w:rPr>
          <w:rFonts w:ascii="仿宋" w:eastAsia="仿宋" w:hAnsi="仿宋" w:cs="仿宋" w:hint="eastAsia"/>
          <w:sz w:val="24"/>
        </w:rPr>
        <w:t>本项目投标人应按照采购人要求完成本项目拟购置设备与利旧多媒体设备、新址已购置多媒体会议系统设备的集成、对接、联调和统一纳管工作。</w:t>
      </w:r>
      <w:r w:rsidRPr="008131DD">
        <w:rPr>
          <w:rFonts w:ascii="仿宋" w:eastAsia="仿宋" w:hAnsi="仿宋" w:cs="仿宋" w:hint="eastAsia"/>
          <w:b/>
          <w:sz w:val="24"/>
        </w:rPr>
        <w:t>（投标人需提供承诺书并加盖投标人公章）。</w:t>
      </w:r>
    </w:p>
    <w:p w:rsidR="00ED4B8C" w:rsidRPr="008131DD" w:rsidRDefault="00ED4B8C" w:rsidP="00ED4B8C">
      <w:pPr>
        <w:pStyle w:val="af9"/>
      </w:pPr>
    </w:p>
    <w:p w:rsidR="00ED4B8C" w:rsidRPr="008131DD" w:rsidRDefault="00ED4B8C" w:rsidP="00ED4B8C">
      <w:pPr>
        <w:tabs>
          <w:tab w:val="left" w:pos="5456"/>
        </w:tabs>
        <w:snapToGrid w:val="0"/>
        <w:spacing w:line="360" w:lineRule="auto"/>
        <w:ind w:firstLineChars="200" w:firstLine="482"/>
        <w:rPr>
          <w:rFonts w:ascii="仿宋" w:eastAsia="仿宋" w:hAnsi="仿宋" w:cs="仿宋"/>
          <w:b/>
          <w:bCs/>
          <w:sz w:val="24"/>
        </w:rPr>
      </w:pPr>
      <w:r w:rsidRPr="008131DD">
        <w:rPr>
          <w:rFonts w:ascii="仿宋" w:eastAsia="仿宋" w:hAnsi="仿宋" w:cs="仿宋" w:hint="eastAsia"/>
          <w:b/>
          <w:bCs/>
          <w:sz w:val="24"/>
        </w:rPr>
        <w:t>二、商务要求</w:t>
      </w:r>
      <w:r w:rsidRPr="008131DD">
        <w:rPr>
          <w:rFonts w:ascii="仿宋" w:eastAsia="仿宋" w:hAnsi="仿宋" w:cs="仿宋"/>
          <w:b/>
          <w:bCs/>
          <w:sz w:val="24"/>
        </w:rPr>
        <w:tab/>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（一）交付（实施）的时间（期限）和地点（范围）</w:t>
      </w:r>
    </w:p>
    <w:p w:rsidR="00ED4B8C" w:rsidRPr="008131DD" w:rsidRDefault="00ED4B8C" w:rsidP="00ED4B8C">
      <w:pPr>
        <w:snapToGrid w:val="0"/>
        <w:spacing w:line="360" w:lineRule="auto"/>
        <w:ind w:firstLineChars="300" w:firstLine="720"/>
        <w:rPr>
          <w:rFonts w:ascii="仿宋" w:eastAsia="仿宋" w:hAnsi="仿宋" w:cs="仿宋"/>
          <w:bCs/>
          <w:sz w:val="24"/>
        </w:rPr>
      </w:pPr>
      <w:r w:rsidRPr="008131DD">
        <w:rPr>
          <w:rFonts w:ascii="仿宋" w:eastAsia="仿宋" w:hAnsi="仿宋" w:cs="仿宋" w:hint="eastAsia"/>
          <w:bCs/>
          <w:sz w:val="24"/>
        </w:rPr>
        <w:t>1、采购项目（标的）实施的时间：合同签订之日起，本项目建设周期为45个日历日交付完成。</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2、</w:t>
      </w:r>
      <w:r w:rsidRPr="008131DD">
        <w:rPr>
          <w:rFonts w:ascii="仿宋" w:eastAsia="仿宋" w:hAnsi="仿宋" w:cs="仿宋" w:hint="eastAsia"/>
          <w:sz w:val="24"/>
        </w:rPr>
        <w:t>采购项目（标的）实施的地点：北京市疾病预防控制中心指定地点。</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（二）付款条件（进度和方式）</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详见第六章拟签订的合同文本。</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（三）包装和运输</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（四）售后服务（质保期）</w:t>
      </w:r>
    </w:p>
    <w:p w:rsidR="00ED4B8C" w:rsidRPr="008131DD" w:rsidRDefault="00ED4B8C" w:rsidP="00ED4B8C">
      <w:pPr>
        <w:tabs>
          <w:tab w:val="left" w:pos="5456"/>
        </w:tabs>
        <w:snapToGrid w:val="0"/>
        <w:spacing w:line="360" w:lineRule="auto"/>
        <w:ind w:firstLineChars="200" w:firstLine="480"/>
        <w:rPr>
          <w:rFonts w:ascii="仿宋" w:eastAsia="仿宋" w:hAnsi="仿宋" w:cs="仿宋"/>
          <w:sz w:val="24"/>
        </w:rPr>
      </w:pPr>
      <w:r w:rsidRPr="008131DD">
        <w:rPr>
          <w:rFonts w:ascii="仿宋" w:eastAsia="仿宋" w:hAnsi="仿宋" w:cs="仿宋" w:hint="eastAsia"/>
          <w:sz w:val="24"/>
        </w:rPr>
        <w:t>投标人须承诺为本项目所投全部设备提供不少于3年免费质量保证服务，质保期为自货物通过最终验收之日起36个月，投标人须随投标文件提供（液晶屏、全彩LED显示屏、16路数字调音台、32路数字调音台、数字会议设备主机）设备生产厂家出具的原厂质保承诺函，确保上述质保服务由设备原厂予以保障。</w:t>
      </w:r>
    </w:p>
    <w:p w:rsidR="00ED4B8C" w:rsidRPr="008131DD" w:rsidRDefault="00ED4B8C" w:rsidP="00ED4B8C">
      <w:pPr>
        <w:tabs>
          <w:tab w:val="left" w:pos="5456"/>
        </w:tabs>
        <w:snapToGrid w:val="0"/>
        <w:spacing w:line="360" w:lineRule="auto"/>
        <w:ind w:firstLineChars="200" w:firstLine="480"/>
        <w:rPr>
          <w:rFonts w:ascii="仿宋" w:eastAsia="仿宋" w:hAnsi="仿宋" w:cs="仿宋"/>
          <w:sz w:val="24"/>
        </w:rPr>
      </w:pPr>
      <w:r w:rsidRPr="008131DD">
        <w:rPr>
          <w:rFonts w:ascii="仿宋" w:eastAsia="仿宋" w:hAnsi="仿宋" w:cs="仿宋" w:hint="eastAsia"/>
          <w:sz w:val="24"/>
        </w:rPr>
        <w:t>质保期内投标人须提供每周7×24小时全天候技术服务保障；设备发生故障接报后工程师10分钟内响应，4小时内抵达项目现场，一般故障8小时内完成故障排查与修复，系统故障24小时内完成故障排查与修复。</w:t>
      </w:r>
    </w:p>
    <w:p w:rsidR="00ED4B8C" w:rsidRPr="008131DD" w:rsidRDefault="00ED4B8C" w:rsidP="00ED4B8C">
      <w:pPr>
        <w:tabs>
          <w:tab w:val="left" w:pos="5456"/>
        </w:tabs>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sz w:val="24"/>
        </w:rPr>
        <w:t>质保期内因产品自身质量问题产生的零部件更换、人工、交通等全部费用均</w:t>
      </w:r>
      <w:r w:rsidRPr="008131DD">
        <w:rPr>
          <w:rFonts w:ascii="仿宋" w:eastAsia="仿宋" w:hAnsi="仿宋" w:cs="仿宋" w:hint="eastAsia"/>
          <w:sz w:val="24"/>
        </w:rPr>
        <w:lastRenderedPageBreak/>
        <w:t>由投标人承担，采购人无需支付任何费用。</w:t>
      </w:r>
    </w:p>
    <w:p w:rsidR="00ED4B8C" w:rsidRPr="008131DD" w:rsidRDefault="00ED4B8C" w:rsidP="00ED4B8C">
      <w:pPr>
        <w:snapToGrid w:val="0"/>
        <w:spacing w:line="360" w:lineRule="auto"/>
        <w:ind w:firstLineChars="200" w:firstLine="482"/>
        <w:rPr>
          <w:rFonts w:ascii="仿宋" w:eastAsia="仿宋" w:hAnsi="仿宋" w:cs="仿宋"/>
          <w:b/>
          <w:bCs/>
          <w:sz w:val="24"/>
        </w:rPr>
      </w:pPr>
      <w:r w:rsidRPr="008131DD">
        <w:rPr>
          <w:rFonts w:ascii="仿宋" w:eastAsia="仿宋" w:hAnsi="仿宋" w:cs="仿宋" w:hint="eastAsia"/>
          <w:b/>
          <w:bCs/>
          <w:sz w:val="24"/>
        </w:rPr>
        <w:t>三、技术要求</w:t>
      </w:r>
    </w:p>
    <w:p w:rsidR="00ED4B8C" w:rsidRPr="008131DD" w:rsidRDefault="00ED4B8C" w:rsidP="00ED4B8C">
      <w:pPr>
        <w:spacing w:line="360" w:lineRule="auto"/>
        <w:ind w:firstLineChars="200" w:firstLine="482"/>
        <w:contextualSpacing/>
        <w:rPr>
          <w:rFonts w:ascii="仿宋" w:eastAsia="仿宋" w:hAnsi="仿宋" w:cs="仿宋"/>
          <w:b/>
          <w:bCs/>
          <w:sz w:val="24"/>
        </w:rPr>
      </w:pPr>
      <w:r w:rsidRPr="008131DD">
        <w:rPr>
          <w:rFonts w:ascii="仿宋" w:eastAsia="仿宋" w:hAnsi="仿宋" w:cs="仿宋" w:hint="eastAsia"/>
          <w:b/>
          <w:bCs/>
          <w:sz w:val="24"/>
        </w:rPr>
        <w:t>（一）基本要求</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1、采购标的需实现的功能或者目标</w:t>
      </w:r>
    </w:p>
    <w:p w:rsidR="00ED4B8C" w:rsidRPr="008131DD" w:rsidRDefault="00ED4B8C" w:rsidP="00ED4B8C">
      <w:pPr>
        <w:spacing w:line="360" w:lineRule="auto"/>
        <w:ind w:firstLineChars="200" w:firstLine="480"/>
        <w:rPr>
          <w:rFonts w:ascii="仿宋" w:eastAsia="仿宋" w:hAnsi="仿宋" w:cs="仿宋"/>
          <w:sz w:val="24"/>
        </w:rPr>
      </w:pPr>
      <w:r w:rsidRPr="008131DD">
        <w:rPr>
          <w:rFonts w:ascii="仿宋" w:eastAsia="仿宋" w:hAnsi="仿宋" w:cs="仿宋" w:hint="eastAsia"/>
          <w:sz w:val="24"/>
        </w:rPr>
        <w:t>市疾控中心新址会议室主要包括教室（理论教学、公共卫生技能训练室、理论培训与桌面推演室）、健康知识大讲堂（多功能厅2）、应急指挥大厅、报告厅（多功能厅1）、学术研讨室、中型会议室、实战应急演练厅等，需要建设一套集日常会议、培训、视频会议、多功能用途等为一体的多媒体会议系统，确保设计理念先进、系统稳定、功能完善、扩展性强。</w:t>
      </w:r>
    </w:p>
    <w:p w:rsidR="00ED4B8C" w:rsidRPr="008131DD" w:rsidRDefault="00ED4B8C" w:rsidP="00ED4B8C">
      <w:pPr>
        <w:spacing w:line="360" w:lineRule="auto"/>
        <w:ind w:firstLineChars="200" w:firstLine="480"/>
        <w:rPr>
          <w:rFonts w:ascii="仿宋" w:eastAsia="仿宋" w:hAnsi="仿宋" w:cs="仿宋"/>
          <w:sz w:val="24"/>
        </w:rPr>
      </w:pPr>
      <w:r w:rsidRPr="008131DD">
        <w:rPr>
          <w:rFonts w:ascii="仿宋" w:eastAsia="仿宋" w:hAnsi="仿宋" w:cs="仿宋" w:hint="eastAsia"/>
          <w:sz w:val="24"/>
        </w:rPr>
        <w:t>本次会议建设需满足疾控中心开展日常各类会议的功能需求：</w:t>
      </w:r>
    </w:p>
    <w:p w:rsidR="00ED4B8C" w:rsidRPr="008131DD" w:rsidRDefault="00ED4B8C" w:rsidP="00ED4B8C">
      <w:pPr>
        <w:spacing w:line="360" w:lineRule="auto"/>
        <w:rPr>
          <w:rFonts w:ascii="仿宋" w:eastAsia="仿宋" w:hAnsi="仿宋" w:cs="仿宋"/>
          <w:sz w:val="24"/>
        </w:rPr>
      </w:pPr>
      <w:r w:rsidRPr="008131DD">
        <w:rPr>
          <w:rFonts w:ascii="仿宋" w:eastAsia="仿宋" w:hAnsi="仿宋" w:cs="仿宋" w:hint="eastAsia"/>
          <w:sz w:val="24"/>
        </w:rPr>
        <w:t>（1）满足日常会议、讨论屏幕显示分享的需求</w:t>
      </w:r>
      <w:r w:rsidRPr="008131DD">
        <w:rPr>
          <w:rFonts w:ascii="仿宋" w:eastAsia="仿宋" w:hAnsi="仿宋" w:cs="仿宋" w:hint="eastAsia"/>
          <w:sz w:val="24"/>
        </w:rPr>
        <w:br/>
        <w:t>（2）满足满足日常会议、学术讨论的高保真扩声需求</w:t>
      </w:r>
      <w:r w:rsidRPr="008131DD">
        <w:rPr>
          <w:rFonts w:ascii="仿宋" w:eastAsia="仿宋" w:hAnsi="仿宋" w:cs="仿宋" w:hint="eastAsia"/>
          <w:sz w:val="24"/>
        </w:rPr>
        <w:br/>
        <w:t>（3）满足会议系统设备集中控制与管理的需求</w:t>
      </w:r>
      <w:r w:rsidRPr="008131DD">
        <w:rPr>
          <w:rFonts w:ascii="仿宋" w:eastAsia="仿宋" w:hAnsi="仿宋" w:cs="仿宋" w:hint="eastAsia"/>
          <w:sz w:val="24"/>
        </w:rPr>
        <w:br/>
        <w:t>（4）满足日常视频会议及视频会议的需求</w:t>
      </w:r>
      <w:r w:rsidRPr="008131DD">
        <w:rPr>
          <w:rFonts w:ascii="仿宋" w:eastAsia="仿宋" w:hAnsi="仿宋" w:cs="仿宋" w:hint="eastAsia"/>
          <w:sz w:val="24"/>
        </w:rPr>
        <w:br/>
        <w:t>（5）满足会议室系统预约需求（利旧）</w:t>
      </w:r>
      <w:r w:rsidRPr="008131DD">
        <w:rPr>
          <w:rFonts w:ascii="仿宋" w:eastAsia="仿宋" w:hAnsi="仿宋" w:cs="仿宋" w:hint="eastAsia"/>
          <w:sz w:val="24"/>
        </w:rPr>
        <w:br/>
        <w:t>（6）满足培训教室、重要会议的录播需求</w:t>
      </w:r>
    </w:p>
    <w:p w:rsidR="00ED4B8C" w:rsidRPr="008131DD" w:rsidRDefault="00ED4B8C" w:rsidP="00ED4B8C">
      <w:pPr>
        <w:spacing w:line="360" w:lineRule="auto"/>
        <w:rPr>
          <w:rFonts w:ascii="仿宋" w:eastAsia="仿宋" w:hAnsi="仿宋"/>
          <w:sz w:val="24"/>
        </w:rPr>
      </w:pPr>
      <w:r w:rsidRPr="008131DD">
        <w:rPr>
          <w:rFonts w:ascii="仿宋" w:eastAsia="仿宋" w:hAnsi="仿宋" w:cs="仿宋" w:hint="eastAsia"/>
          <w:sz w:val="24"/>
        </w:rPr>
        <w:t>（7）满足疾控中心组织专业学术会议报告及讨论的需求</w:t>
      </w:r>
      <w:r w:rsidRPr="008131DD">
        <w:rPr>
          <w:rFonts w:ascii="仿宋" w:eastAsia="仿宋" w:hAnsi="仿宋" w:cs="仿宋" w:hint="eastAsia"/>
          <w:sz w:val="24"/>
        </w:rPr>
        <w:br/>
        <w:t>（8）满足疾控中心对外健康教育宣传</w:t>
      </w:r>
      <w:r w:rsidRPr="008131DD">
        <w:rPr>
          <w:rFonts w:ascii="仿宋" w:eastAsia="仿宋" w:hAnsi="仿宋" w:cs="仿宋" w:hint="eastAsia"/>
          <w:sz w:val="24"/>
        </w:rPr>
        <w:br/>
        <w:t>（9）满足会议系统操作便捷，易维护的要求</w:t>
      </w:r>
    </w:p>
    <w:p w:rsidR="00ED4B8C" w:rsidRPr="008131DD" w:rsidRDefault="00ED4B8C" w:rsidP="00ED4B8C">
      <w:pPr>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2、需执行的国家相关标准、行业标准、地方标准或者其他标准、规范</w:t>
      </w:r>
    </w:p>
    <w:p w:rsidR="00ED4B8C" w:rsidRPr="008131DD" w:rsidRDefault="00ED4B8C" w:rsidP="002A30A0">
      <w:pPr>
        <w:widowControl/>
        <w:numPr>
          <w:ilvl w:val="0"/>
          <w:numId w:val="65"/>
        </w:numPr>
        <w:tabs>
          <w:tab w:val="left" w:pos="840"/>
        </w:tabs>
        <w:autoSpaceDE w:val="0"/>
        <w:autoSpaceDN w:val="0"/>
        <w:spacing w:line="360" w:lineRule="auto"/>
        <w:ind w:left="845" w:right="576" w:hanging="425"/>
        <w:jc w:val="left"/>
        <w:rPr>
          <w:rFonts w:ascii="仿宋" w:eastAsia="仿宋" w:hAnsi="仿宋" w:cs="仿宋"/>
          <w:sz w:val="24"/>
        </w:rPr>
      </w:pPr>
      <w:r w:rsidRPr="008131DD">
        <w:rPr>
          <w:rFonts w:ascii="仿宋" w:eastAsia="仿宋" w:hAnsi="仿宋" w:cs="仿宋" w:hint="eastAsia"/>
          <w:sz w:val="24"/>
        </w:rPr>
        <w:t>专业扩声设计规范</w:t>
      </w:r>
    </w:p>
    <w:p w:rsidR="00ED4B8C" w:rsidRPr="008131DD" w:rsidRDefault="00ED4B8C" w:rsidP="002A30A0">
      <w:pPr>
        <w:widowControl/>
        <w:numPr>
          <w:ilvl w:val="0"/>
          <w:numId w:val="67"/>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《厅堂、体育场馆扩声系统设计规范》（GB/T28049-2011）</w:t>
      </w:r>
    </w:p>
    <w:p w:rsidR="00ED4B8C" w:rsidRPr="008131DD" w:rsidRDefault="00ED4B8C" w:rsidP="002A30A0">
      <w:pPr>
        <w:widowControl/>
        <w:numPr>
          <w:ilvl w:val="0"/>
          <w:numId w:val="67"/>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《室内混响时间测量规范》（GB/T50076-2013）</w:t>
      </w:r>
    </w:p>
    <w:p w:rsidR="00ED4B8C" w:rsidRPr="008131DD" w:rsidRDefault="00ED4B8C" w:rsidP="002A30A0">
      <w:pPr>
        <w:widowControl/>
        <w:numPr>
          <w:ilvl w:val="0"/>
          <w:numId w:val="67"/>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《扩声系统工程施工规范》（GB50949-2013）</w:t>
      </w:r>
    </w:p>
    <w:p w:rsidR="00ED4B8C" w:rsidRPr="008131DD" w:rsidRDefault="00ED4B8C" w:rsidP="002A30A0">
      <w:pPr>
        <w:widowControl/>
        <w:numPr>
          <w:ilvl w:val="0"/>
          <w:numId w:val="65"/>
        </w:numPr>
        <w:tabs>
          <w:tab w:val="left" w:pos="840"/>
        </w:tabs>
        <w:autoSpaceDE w:val="0"/>
        <w:autoSpaceDN w:val="0"/>
        <w:spacing w:line="360" w:lineRule="auto"/>
        <w:ind w:left="845" w:right="576" w:hanging="425"/>
        <w:jc w:val="left"/>
        <w:rPr>
          <w:rFonts w:ascii="仿宋" w:eastAsia="仿宋" w:hAnsi="仿宋" w:cs="仿宋"/>
          <w:sz w:val="24"/>
        </w:rPr>
      </w:pPr>
      <w:r w:rsidRPr="008131DD">
        <w:rPr>
          <w:rFonts w:ascii="仿宋" w:eastAsia="仿宋" w:hAnsi="仿宋" w:cs="仿宋" w:hint="eastAsia"/>
          <w:sz w:val="24"/>
        </w:rPr>
        <w:t>远程视频设计规范</w:t>
      </w:r>
    </w:p>
    <w:p w:rsidR="00ED4B8C" w:rsidRPr="008131DD" w:rsidRDefault="00ED4B8C" w:rsidP="00ED4B8C">
      <w:pPr>
        <w:widowControl/>
        <w:numPr>
          <w:ilvl w:val="0"/>
          <w:numId w:val="63"/>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《会议电视会场系统工程设计规范》（GB50635-2010）ITU-TG.711a\G.711u\G.722\G.722.1\G.7221c\OPUS音频信号传输标准</w:t>
      </w:r>
    </w:p>
    <w:p w:rsidR="00ED4B8C" w:rsidRPr="008131DD" w:rsidRDefault="00ED4B8C" w:rsidP="00ED4B8C">
      <w:pPr>
        <w:widowControl/>
        <w:numPr>
          <w:ilvl w:val="0"/>
          <w:numId w:val="63"/>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ITU-TH.264\H.265视频编码推荐的标准</w:t>
      </w:r>
    </w:p>
    <w:p w:rsidR="00ED4B8C" w:rsidRPr="008131DD" w:rsidRDefault="00ED4B8C" w:rsidP="002A30A0">
      <w:pPr>
        <w:widowControl/>
        <w:numPr>
          <w:ilvl w:val="0"/>
          <w:numId w:val="68"/>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lastRenderedPageBreak/>
        <w:t>IEEE802.310Base-T 网络标准</w:t>
      </w:r>
    </w:p>
    <w:p w:rsidR="00ED4B8C" w:rsidRPr="008131DD" w:rsidRDefault="00ED4B8C" w:rsidP="002A30A0">
      <w:pPr>
        <w:widowControl/>
        <w:numPr>
          <w:ilvl w:val="0"/>
          <w:numId w:val="68"/>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IEEE802.3100Base-TX 快速以太网标准</w:t>
      </w:r>
    </w:p>
    <w:p w:rsidR="00ED4B8C" w:rsidRPr="008131DD" w:rsidRDefault="00ED4B8C" w:rsidP="002A30A0">
      <w:pPr>
        <w:widowControl/>
        <w:numPr>
          <w:ilvl w:val="0"/>
          <w:numId w:val="68"/>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网络层和传输层TCP/IP 协议并兼容IPX 协议，支持PPP 和SLIP 协</w:t>
      </w:r>
    </w:p>
    <w:p w:rsidR="00ED4B8C" w:rsidRPr="008131DD" w:rsidRDefault="00ED4B8C" w:rsidP="002A30A0">
      <w:pPr>
        <w:widowControl/>
        <w:numPr>
          <w:ilvl w:val="0"/>
          <w:numId w:val="68"/>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国际电联ITUT 标准视频会议通信协议H.323</w:t>
      </w:r>
    </w:p>
    <w:p w:rsidR="00ED4B8C" w:rsidRPr="008131DD" w:rsidRDefault="00ED4B8C" w:rsidP="002A30A0">
      <w:pPr>
        <w:widowControl/>
        <w:numPr>
          <w:ilvl w:val="0"/>
          <w:numId w:val="65"/>
        </w:numPr>
        <w:tabs>
          <w:tab w:val="left" w:pos="840"/>
        </w:tabs>
        <w:autoSpaceDE w:val="0"/>
        <w:autoSpaceDN w:val="0"/>
        <w:spacing w:line="360" w:lineRule="auto"/>
        <w:ind w:left="845" w:right="576" w:hanging="425"/>
        <w:jc w:val="left"/>
        <w:rPr>
          <w:rFonts w:ascii="仿宋" w:eastAsia="仿宋" w:hAnsi="仿宋" w:cs="仿宋"/>
          <w:sz w:val="24"/>
        </w:rPr>
      </w:pPr>
      <w:r w:rsidRPr="008131DD">
        <w:rPr>
          <w:rFonts w:ascii="仿宋" w:eastAsia="仿宋" w:hAnsi="仿宋" w:cs="仿宋" w:hint="eastAsia"/>
          <w:sz w:val="24"/>
        </w:rPr>
        <w:t>LED 显示屏通用标准</w:t>
      </w:r>
    </w:p>
    <w:p w:rsidR="00ED4B8C" w:rsidRPr="008131DD" w:rsidRDefault="00ED4B8C" w:rsidP="00ED4B8C">
      <w:pPr>
        <w:widowControl/>
        <w:numPr>
          <w:ilvl w:val="0"/>
          <w:numId w:val="64"/>
        </w:numPr>
        <w:tabs>
          <w:tab w:val="left" w:pos="840"/>
        </w:tabs>
        <w:autoSpaceDE w:val="0"/>
        <w:autoSpaceDN w:val="0"/>
        <w:spacing w:line="360" w:lineRule="auto"/>
        <w:ind w:left="420" w:right="576" w:hanging="420"/>
        <w:jc w:val="left"/>
        <w:rPr>
          <w:rFonts w:ascii="仿宋" w:eastAsia="仿宋" w:hAnsi="仿宋" w:cs="仿宋"/>
          <w:sz w:val="24"/>
        </w:rPr>
      </w:pPr>
      <w:r w:rsidRPr="008131DD">
        <w:rPr>
          <w:rFonts w:ascii="仿宋" w:eastAsia="仿宋" w:hAnsi="仿宋" w:cs="仿宋" w:hint="eastAsia"/>
          <w:sz w:val="24"/>
        </w:rPr>
        <w:t>《发光二极管（LED）显示屏通用规范》SJ/T11141-2017</w:t>
      </w:r>
    </w:p>
    <w:p w:rsidR="00ED4B8C" w:rsidRPr="008131DD" w:rsidRDefault="00ED4B8C" w:rsidP="00ED4B8C">
      <w:pPr>
        <w:widowControl/>
        <w:numPr>
          <w:ilvl w:val="0"/>
          <w:numId w:val="64"/>
        </w:numPr>
        <w:tabs>
          <w:tab w:val="left" w:pos="840"/>
        </w:tabs>
        <w:autoSpaceDE w:val="0"/>
        <w:autoSpaceDN w:val="0"/>
        <w:spacing w:line="360" w:lineRule="auto"/>
        <w:ind w:left="420" w:right="576" w:hanging="420"/>
        <w:jc w:val="left"/>
        <w:rPr>
          <w:rFonts w:ascii="仿宋" w:eastAsia="仿宋" w:hAnsi="仿宋" w:cs="仿宋"/>
          <w:sz w:val="24"/>
        </w:rPr>
      </w:pPr>
      <w:r w:rsidRPr="008131DD">
        <w:rPr>
          <w:rFonts w:ascii="仿宋" w:eastAsia="仿宋" w:hAnsi="仿宋" w:cs="仿宋" w:hint="eastAsia"/>
          <w:sz w:val="24"/>
        </w:rPr>
        <w:t>《发光二极管（LED）显示屏测试方法》SJ/T11281-2017</w:t>
      </w:r>
    </w:p>
    <w:p w:rsidR="00ED4B8C" w:rsidRPr="008131DD" w:rsidRDefault="00ED4B8C" w:rsidP="00ED4B8C">
      <w:pPr>
        <w:widowControl/>
        <w:numPr>
          <w:ilvl w:val="0"/>
          <w:numId w:val="64"/>
        </w:numPr>
        <w:tabs>
          <w:tab w:val="left" w:pos="840"/>
        </w:tabs>
        <w:autoSpaceDE w:val="0"/>
        <w:autoSpaceDN w:val="0"/>
        <w:spacing w:line="360" w:lineRule="auto"/>
        <w:ind w:left="420" w:right="576" w:hanging="420"/>
        <w:jc w:val="left"/>
        <w:rPr>
          <w:rFonts w:ascii="仿宋" w:eastAsia="仿宋" w:hAnsi="仿宋" w:cs="仿宋"/>
          <w:sz w:val="24"/>
        </w:rPr>
      </w:pPr>
      <w:r w:rsidRPr="008131DD">
        <w:rPr>
          <w:rFonts w:ascii="仿宋" w:eastAsia="仿宋" w:hAnsi="仿宋" w:cs="仿宋" w:hint="eastAsia"/>
          <w:sz w:val="24"/>
        </w:rPr>
        <w:t>《通用用电设备设计规范》GB50055－2011</w:t>
      </w:r>
    </w:p>
    <w:p w:rsidR="00ED4B8C" w:rsidRPr="008131DD" w:rsidRDefault="00ED4B8C" w:rsidP="00ED4B8C">
      <w:pPr>
        <w:widowControl/>
        <w:numPr>
          <w:ilvl w:val="0"/>
          <w:numId w:val="64"/>
        </w:numPr>
        <w:tabs>
          <w:tab w:val="left" w:pos="840"/>
        </w:tabs>
        <w:autoSpaceDE w:val="0"/>
        <w:autoSpaceDN w:val="0"/>
        <w:spacing w:line="360" w:lineRule="auto"/>
        <w:ind w:left="420" w:right="576" w:hanging="420"/>
        <w:jc w:val="left"/>
        <w:rPr>
          <w:rFonts w:ascii="仿宋" w:eastAsia="仿宋" w:hAnsi="仿宋" w:cs="仿宋"/>
          <w:sz w:val="24"/>
        </w:rPr>
      </w:pPr>
      <w:r w:rsidRPr="008131DD">
        <w:rPr>
          <w:rFonts w:ascii="仿宋" w:eastAsia="仿宋" w:hAnsi="仿宋" w:cs="仿宋" w:hint="eastAsia"/>
          <w:sz w:val="24"/>
        </w:rPr>
        <w:t>《建筑物防雷设计规范》GB50057－2010</w:t>
      </w:r>
    </w:p>
    <w:p w:rsidR="00ED4B8C" w:rsidRPr="008131DD" w:rsidRDefault="00ED4B8C" w:rsidP="002A30A0">
      <w:pPr>
        <w:widowControl/>
        <w:numPr>
          <w:ilvl w:val="0"/>
          <w:numId w:val="65"/>
        </w:numPr>
        <w:tabs>
          <w:tab w:val="left" w:pos="840"/>
        </w:tabs>
        <w:autoSpaceDE w:val="0"/>
        <w:autoSpaceDN w:val="0"/>
        <w:spacing w:line="360" w:lineRule="auto"/>
        <w:ind w:left="845" w:right="576" w:hanging="425"/>
        <w:jc w:val="left"/>
        <w:rPr>
          <w:rFonts w:ascii="仿宋" w:eastAsia="仿宋" w:hAnsi="仿宋" w:cs="仿宋"/>
          <w:sz w:val="24"/>
        </w:rPr>
      </w:pPr>
      <w:r w:rsidRPr="008131DD">
        <w:rPr>
          <w:rFonts w:ascii="仿宋" w:eastAsia="仿宋" w:hAnsi="仿宋" w:cs="仿宋" w:hint="eastAsia"/>
          <w:sz w:val="24"/>
        </w:rPr>
        <w:t>灯光设备设计规范</w:t>
      </w:r>
    </w:p>
    <w:p w:rsidR="00ED4B8C" w:rsidRPr="008131DD" w:rsidRDefault="00ED4B8C" w:rsidP="002A30A0">
      <w:pPr>
        <w:widowControl/>
        <w:numPr>
          <w:ilvl w:val="0"/>
          <w:numId w:val="69"/>
        </w:numPr>
        <w:tabs>
          <w:tab w:val="left" w:pos="840"/>
        </w:tabs>
        <w:autoSpaceDE w:val="0"/>
        <w:autoSpaceDN w:val="0"/>
        <w:spacing w:line="360" w:lineRule="auto"/>
        <w:ind w:right="576"/>
        <w:jc w:val="left"/>
        <w:rPr>
          <w:rFonts w:ascii="仿宋" w:eastAsia="仿宋" w:hAnsi="仿宋" w:cs="仿宋"/>
          <w:sz w:val="24"/>
        </w:rPr>
      </w:pPr>
      <w:r w:rsidRPr="008131DD">
        <w:rPr>
          <w:rFonts w:ascii="仿宋" w:eastAsia="仿宋" w:hAnsi="仿宋" w:cs="仿宋" w:hint="eastAsia"/>
          <w:sz w:val="24"/>
        </w:rPr>
        <w:t>建筑照明设计标准GB50034-2013</w:t>
      </w:r>
    </w:p>
    <w:p w:rsidR="00ED4B8C" w:rsidRPr="008131DD" w:rsidRDefault="00ED4B8C" w:rsidP="00ED4B8C">
      <w:pPr>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遇新标准或规范发布，按最新有效的标准和规范执行。</w:t>
      </w:r>
    </w:p>
    <w:p w:rsidR="00ED4B8C" w:rsidRPr="008131DD" w:rsidRDefault="00ED4B8C" w:rsidP="00ED4B8C">
      <w:pPr>
        <w:pStyle w:val="af9"/>
        <w:rPr>
          <w:rFonts w:ascii="仿宋" w:eastAsia="仿宋" w:hAnsi="仿宋"/>
        </w:rPr>
      </w:pPr>
    </w:p>
    <w:p w:rsidR="00ED4B8C" w:rsidRPr="008131DD" w:rsidRDefault="00ED4B8C" w:rsidP="00ED4B8C">
      <w:pPr>
        <w:snapToGrid w:val="0"/>
        <w:spacing w:line="360" w:lineRule="auto"/>
        <w:ind w:firstLineChars="200" w:firstLine="482"/>
        <w:rPr>
          <w:rFonts w:ascii="仿宋" w:eastAsia="仿宋" w:hAnsi="仿宋" w:cs="仿宋"/>
          <w:b/>
          <w:bCs/>
          <w:sz w:val="24"/>
        </w:rPr>
      </w:pPr>
      <w:r w:rsidRPr="008131DD">
        <w:rPr>
          <w:rFonts w:ascii="仿宋" w:eastAsia="仿宋" w:hAnsi="仿宋" w:cs="仿宋" w:hint="eastAsia"/>
          <w:b/>
          <w:bCs/>
          <w:sz w:val="24"/>
        </w:rPr>
        <w:t>（二）服务内容及要求/货物技术要求</w:t>
      </w:r>
    </w:p>
    <w:p w:rsidR="00ED4B8C" w:rsidRPr="008131DD" w:rsidRDefault="00ED4B8C" w:rsidP="00ED4B8C">
      <w:pPr>
        <w:snapToGrid w:val="0"/>
        <w:spacing w:line="360" w:lineRule="auto"/>
        <w:ind w:firstLineChars="200" w:firstLine="480"/>
        <w:rPr>
          <w:rFonts w:ascii="仿宋" w:eastAsia="仿宋" w:hAnsi="仿宋"/>
          <w:b/>
          <w:sz w:val="24"/>
        </w:rPr>
      </w:pPr>
      <w:r w:rsidRPr="008131DD">
        <w:rPr>
          <w:rFonts w:ascii="仿宋" w:eastAsia="仿宋" w:hAnsi="仿宋" w:cs="仿宋" w:hint="eastAsia"/>
          <w:bCs/>
          <w:sz w:val="24"/>
        </w:rPr>
        <w:t>1、采购标的需满足的性能、材料、结构、外观、质量、安全、技术规格、物理特性等要求：</w:t>
      </w:r>
      <w:bookmarkStart w:id="9" w:name="OLE_LINK53"/>
    </w:p>
    <w:p w:rsidR="00ED4B8C" w:rsidRPr="008131DD" w:rsidRDefault="00ED4B8C" w:rsidP="00ED4B8C">
      <w:pPr>
        <w:spacing w:line="360" w:lineRule="auto"/>
        <w:contextualSpacing/>
        <w:jc w:val="center"/>
        <w:rPr>
          <w:rFonts w:ascii="仿宋" w:eastAsia="仿宋" w:hAnsi="仿宋"/>
          <w:b/>
          <w:sz w:val="24"/>
          <w:szCs w:val="21"/>
        </w:rPr>
      </w:pPr>
      <w:r w:rsidRPr="008131DD">
        <w:rPr>
          <w:rFonts w:ascii="仿宋" w:eastAsia="仿宋" w:hAnsi="仿宋" w:hint="eastAsia"/>
          <w:b/>
          <w:sz w:val="24"/>
          <w:szCs w:val="21"/>
        </w:rPr>
        <w:t>第2包 会议系统</w:t>
      </w:r>
    </w:p>
    <w:bookmarkEnd w:id="9"/>
    <w:p w:rsidR="00ED4B8C" w:rsidRPr="008131DD" w:rsidRDefault="00ED4B8C" w:rsidP="00ED4B8C">
      <w:pPr>
        <w:pStyle w:val="af9"/>
        <w:spacing w:line="360" w:lineRule="auto"/>
        <w:contextualSpacing/>
        <w:rPr>
          <w:rFonts w:ascii="仿宋" w:eastAsia="仿宋" w:hAnsi="仿宋" w:cs="仿宋"/>
        </w:rPr>
      </w:pPr>
      <w:r w:rsidRPr="008131DD">
        <w:rPr>
          <w:rFonts w:ascii="仿宋" w:eastAsia="仿宋" w:hAnsi="仿宋" w:cs="仿宋" w:hint="eastAsia"/>
          <w:bCs/>
        </w:rPr>
        <w:t>一、技术需求</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t>1、7间教室（A2 一层）</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教室分</w:t>
      </w:r>
      <w:r w:rsidRPr="008131DD">
        <w:rPr>
          <w:rFonts w:ascii="仿宋" w:eastAsia="仿宋" w:hAnsi="仿宋" w:cs="仿宋" w:hint="eastAsia"/>
          <w:sz w:val="24"/>
        </w:rPr>
        <w:t>理论教学（3间，每间约60 ㎡。）、公共卫生技能演练（2间，约116 ㎡）、公共技能培训教室（2间约116 ㎡）</w:t>
      </w:r>
      <w:r w:rsidRPr="008131DD">
        <w:rPr>
          <w:rFonts w:ascii="仿宋" w:eastAsia="仿宋" w:hAnsi="仿宋" w:cs="仿宋" w:hint="eastAsia"/>
          <w:bCs/>
          <w:sz w:val="24"/>
        </w:rPr>
        <w:t>，用一套中控设备（本项目中控主机系统由采购人原有配置，中标供货设备须兼容现有中控系统，配套完成线路对接及整体联调工作）</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理论教学教室配备液晶显示设备、配套主机；一键管控设备、切换各类音视频信号。</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计算机技能训练教室采用液晶拼接大屏搭配视频处理设备；完整配置会议扩声设备，人声清晰无杂音啸叫；（本项目中录播系统由采购人原有配置，中标供货设备须兼容系统，配套完成线路对接及整体联调工作）。</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普通公共卫生技能训练室配置液晶显示设备与主机；扩声系统标准与计算机教室保持统一，满足实操教学、现场讲解扩声需求。</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lastRenderedPageBreak/>
        <w:t>2、学术研讨室（C2 四层，面积：约80 ㎡）</w:t>
      </w:r>
    </w:p>
    <w:p w:rsidR="00ED4B8C" w:rsidRPr="008131DD" w:rsidRDefault="00ED4B8C" w:rsidP="00ED4B8C">
      <w:pPr>
        <w:spacing w:line="360" w:lineRule="auto"/>
        <w:ind w:firstLineChars="200" w:firstLine="480"/>
        <w:contextualSpacing/>
        <w:rPr>
          <w:rFonts w:ascii="仿宋" w:eastAsia="仿宋" w:hAnsi="仿宋" w:cs="仿宋"/>
          <w:sz w:val="24"/>
        </w:rPr>
      </w:pPr>
      <w:r w:rsidRPr="008131DD">
        <w:rPr>
          <w:rFonts w:ascii="仿宋" w:eastAsia="仿宋" w:hAnsi="仿宋" w:cs="仿宋" w:hint="eastAsia"/>
          <w:bCs/>
          <w:sz w:val="24"/>
        </w:rPr>
        <w:t>采用液晶拼接大屏与配套处理设备；配置集成麦克风的升降一体化桌面会议终端，搭配会议主机、画面同步流媒体服务设备；配备全套无线拾音、数字调音、音频处理及分布式扩声系统；搭载高清音视频矩阵设备（本项目中矩阵设备由采购人原有配置，中标供货设备须兼容系统，配套完成线路对接及整体联调工作），实现多路信号自由切换分配，用于</w:t>
      </w:r>
      <w:r w:rsidRPr="008131DD">
        <w:rPr>
          <w:rFonts w:ascii="仿宋" w:eastAsia="仿宋" w:hAnsi="仿宋" w:cs="仿宋" w:hint="eastAsia"/>
          <w:sz w:val="24"/>
        </w:rPr>
        <w:t>日常会议、学术研讨和交流、来访接待、国际交流等。</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t>3、中型会议室（B2四层2间、A3与B3连廊2间、A1二层1间、A2一层1间）</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分两种显示配置，</w:t>
      </w:r>
      <w:r w:rsidRPr="008131DD">
        <w:rPr>
          <w:rFonts w:ascii="仿宋" w:eastAsia="仿宋" w:hAnsi="仿宋" w:cs="仿宋" w:hint="eastAsia"/>
          <w:sz w:val="24"/>
        </w:rPr>
        <w:t>A3与B3连廊2间用于视频会议使用每间配置86寸显示终端1台，其余4间每间配置86寸液晶电视1台</w:t>
      </w:r>
      <w:r w:rsidRPr="008131DD">
        <w:rPr>
          <w:rFonts w:ascii="仿宋" w:eastAsia="仿宋" w:hAnsi="仿宋" w:cs="仿宋" w:hint="eastAsia"/>
          <w:bCs/>
          <w:sz w:val="24"/>
        </w:rPr>
        <w:t>，每间均配备多媒体信号接入接口与标准机柜网络设备；</w:t>
      </w:r>
      <w:r w:rsidRPr="008131DD">
        <w:rPr>
          <w:rFonts w:ascii="仿宋" w:eastAsia="仿宋" w:hAnsi="仿宋" w:cs="仿宋" w:hint="eastAsia"/>
          <w:sz w:val="24"/>
        </w:rPr>
        <w:t>3间建设视频会议的中型会议室</w:t>
      </w:r>
      <w:r w:rsidRPr="008131DD">
        <w:rPr>
          <w:rFonts w:ascii="仿宋" w:eastAsia="仿宋" w:hAnsi="仿宋" w:cs="仿宋" w:hint="eastAsia"/>
          <w:bCs/>
          <w:sz w:val="24"/>
        </w:rPr>
        <w:t>配套无线话筒、功放、摄像全套视频会议硬件，其余预留标准化音视频接口，用于</w:t>
      </w:r>
      <w:r w:rsidRPr="008131DD">
        <w:rPr>
          <w:rFonts w:ascii="仿宋" w:eastAsia="仿宋" w:hAnsi="仿宋" w:cs="仿宋" w:hint="eastAsia"/>
          <w:sz w:val="24"/>
        </w:rPr>
        <w:t>专项会议讨论、与市卫健委、市疾控局、国家疾控局、中国疾控中心、17个区疾控中心的视频会议等。</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t>4、多功能厅1（学术报告厅，C1 三层，面积：约600 ㎡）</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配置高清LED主显示大屏，具备开窗、漫游、跨屏等信号处理能力，搭配多组辅助液晶副屏、主席台专用长条电子会标及全套安装支撑结构；采用专业线阵主扩声体系，配套舞台返听、台唇、环绕补声、超低低音整套音箱功放，搭载多路数字调音、音频处理设备，配备无线、有线多类型发言话筒与带优先权限数字会议单元；高清混合矩阵（本项目中矩阵设备由采购人原有配置，中标供货设备须兼容系统，配套完成线路对接及整体联调工作），实现视频会议多路信号统一调度；配套全套专业舞台灯光、电动幕布、升降吊杆、升降党徽等舞台机械；载</w:t>
      </w:r>
      <w:r w:rsidRPr="008131DD">
        <w:rPr>
          <w:rFonts w:ascii="仿宋" w:eastAsia="仿宋" w:hAnsi="仿宋" w:cs="仿宋" w:hint="eastAsia"/>
          <w:sz w:val="24"/>
        </w:rPr>
        <w:t>大型会议、工作报告、教学培训、学术研讨、来访接待、国际交流等</w:t>
      </w:r>
      <w:r w:rsidRPr="008131DD">
        <w:rPr>
          <w:rFonts w:ascii="仿宋" w:eastAsia="仿宋" w:hAnsi="仿宋" w:cs="仿宋" w:hint="eastAsia"/>
          <w:bCs/>
          <w:sz w:val="24"/>
        </w:rPr>
        <w:t>。</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t>5、多功能厅2（健康知识大讲堂，B1一层，面积：约250 ㎡。）</w:t>
      </w: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配置一套显示设备</w:t>
      </w:r>
      <w:r w:rsidRPr="008131DD">
        <w:rPr>
          <w:rFonts w:ascii="仿宋" w:eastAsia="仿宋" w:hAnsi="仿宋" w:cs="仿宋" w:hint="eastAsia"/>
          <w:sz w:val="24"/>
        </w:rPr>
        <w:t>用于显示信号源的文字、图片、视频画面等信号</w:t>
      </w:r>
      <w:r w:rsidRPr="008131DD">
        <w:rPr>
          <w:rFonts w:ascii="仿宋" w:eastAsia="仿宋" w:hAnsi="仿宋" w:cs="仿宋" w:hint="eastAsia"/>
          <w:bCs/>
          <w:sz w:val="24"/>
        </w:rPr>
        <w:t>；扩声系统搭配无线发言话筒、数字调音及音频处理设备；部署矩阵设备，</w:t>
      </w:r>
      <w:r w:rsidRPr="008131DD">
        <w:rPr>
          <w:rFonts w:ascii="仿宋" w:eastAsia="仿宋" w:hAnsi="仿宋" w:cs="仿宋" w:hint="eastAsia"/>
          <w:sz w:val="24"/>
        </w:rPr>
        <w:t>用于室内的音视频信号的分配、切换等</w:t>
      </w:r>
      <w:r w:rsidRPr="008131DD">
        <w:rPr>
          <w:rFonts w:ascii="仿宋" w:eastAsia="仿宋" w:hAnsi="仿宋" w:cs="仿宋" w:hint="eastAsia"/>
          <w:bCs/>
          <w:sz w:val="24"/>
        </w:rPr>
        <w:t>；配套专业舞台灯光与控制设备；用于</w:t>
      </w:r>
      <w:r w:rsidRPr="008131DD">
        <w:rPr>
          <w:rFonts w:ascii="仿宋" w:eastAsia="仿宋" w:hAnsi="仿宋" w:cs="仿宋" w:hint="eastAsia"/>
          <w:sz w:val="24"/>
        </w:rPr>
        <w:t>日常会议、培训、健康教育、科普讲座，开展面向公众的健康科普讲座</w:t>
      </w:r>
      <w:r w:rsidRPr="008131DD">
        <w:rPr>
          <w:rFonts w:ascii="仿宋" w:eastAsia="仿宋" w:hAnsi="仿宋" w:cs="仿宋" w:hint="eastAsia"/>
          <w:bCs/>
          <w:sz w:val="24"/>
        </w:rPr>
        <w:t>。</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t>6、实战应急演练厅（B2 二层，面积：900m</w:t>
      </w:r>
      <w:r w:rsidRPr="008131DD">
        <w:rPr>
          <w:rFonts w:ascii="宋体" w:eastAsia="宋体" w:hAnsi="宋体" w:cs="宋体" w:hint="eastAsia"/>
          <w:b w:val="0"/>
          <w:sz w:val="24"/>
          <w:szCs w:val="24"/>
        </w:rPr>
        <w:t>²</w:t>
      </w:r>
      <w:r w:rsidRPr="008131DD">
        <w:rPr>
          <w:rFonts w:ascii="仿宋" w:eastAsia="仿宋" w:hAnsi="仿宋" w:cs="仿宋" w:hint="eastAsia"/>
          <w:b w:val="0"/>
          <w:sz w:val="24"/>
          <w:szCs w:val="24"/>
        </w:rPr>
        <w:t>）</w:t>
      </w:r>
    </w:p>
    <w:p w:rsidR="00ED4B8C" w:rsidRPr="008131DD" w:rsidRDefault="00ED4B8C" w:rsidP="00ED4B8C">
      <w:pPr>
        <w:spacing w:line="360" w:lineRule="auto"/>
        <w:ind w:firstLineChars="200" w:firstLine="480"/>
        <w:contextualSpacing/>
        <w:rPr>
          <w:rFonts w:ascii="仿宋" w:eastAsia="仿宋" w:hAnsi="仿宋" w:cs="仿宋"/>
          <w:sz w:val="24"/>
        </w:rPr>
      </w:pPr>
      <w:r w:rsidRPr="008131DD">
        <w:rPr>
          <w:rFonts w:ascii="仿宋" w:eastAsia="仿宋" w:hAnsi="仿宋" w:cs="仿宋" w:hint="eastAsia"/>
          <w:sz w:val="24"/>
        </w:rPr>
        <w:lastRenderedPageBreak/>
        <w:t>实战应急演厅在使用会，会根据演练需要通过可推拉式隔断划分为8个房间右端房间面积约160平方米，且侧墙有立柱，因此配置86寸显示终端*2，中间7个房间配置86寸液晶电视*1/间；全域覆盖专业阵列扩声与分区补声音箱，搭载多路数字调音、音频处理及</w:t>
      </w:r>
      <w:r w:rsidRPr="008131DD">
        <w:rPr>
          <w:rFonts w:ascii="仿宋" w:eastAsia="仿宋" w:hAnsi="仿宋" w:cs="仿宋" w:hint="eastAsia"/>
          <w:bCs/>
          <w:sz w:val="24"/>
        </w:rPr>
        <w:t>多套无线移动话筒；部署多机位全景摄像与一体化录播设备，</w:t>
      </w:r>
      <w:r w:rsidRPr="008131DD">
        <w:rPr>
          <w:rFonts w:ascii="仿宋" w:eastAsia="仿宋" w:hAnsi="仿宋" w:cs="仿宋" w:hint="eastAsia"/>
          <w:sz w:val="24"/>
        </w:rPr>
        <w:t>针对远程视频、多功能会议、会议培训等音视频记录、管理和发布等需求,解决会议室高清、标清视频并存的录播需求</w:t>
      </w:r>
      <w:r w:rsidRPr="008131DD">
        <w:rPr>
          <w:rFonts w:ascii="仿宋" w:eastAsia="仿宋" w:hAnsi="仿宋" w:cs="仿宋" w:hint="eastAsia"/>
          <w:bCs/>
          <w:sz w:val="24"/>
        </w:rPr>
        <w:t>；结合会场的多路输入信号的设备以及输出信号的设备，需要进行信号的分配和切换，而且接口类型多，配置一套混插矩阵，满足多媒体会议功能需求；配套集中中控、标准机柜与多路多媒体接口，用于</w:t>
      </w:r>
      <w:r w:rsidRPr="008131DD">
        <w:rPr>
          <w:rFonts w:ascii="仿宋" w:eastAsia="仿宋" w:hAnsi="仿宋" w:cs="仿宋" w:hint="eastAsia"/>
          <w:sz w:val="24"/>
        </w:rPr>
        <w:t>定期应急演练、应急队伍培训等。</w:t>
      </w:r>
    </w:p>
    <w:p w:rsidR="00ED4B8C" w:rsidRPr="008131DD" w:rsidRDefault="00ED4B8C" w:rsidP="00ED4B8C">
      <w:pPr>
        <w:pStyle w:val="24"/>
        <w:keepNext w:val="0"/>
        <w:keepLines w:val="0"/>
        <w:widowControl/>
        <w:spacing w:before="0" w:line="360" w:lineRule="auto"/>
        <w:ind w:left="420"/>
        <w:contextualSpacing/>
        <w:jc w:val="left"/>
        <w:rPr>
          <w:rFonts w:ascii="仿宋" w:eastAsia="仿宋" w:hAnsi="仿宋" w:cs="仿宋"/>
          <w:b w:val="0"/>
          <w:sz w:val="24"/>
          <w:szCs w:val="24"/>
        </w:rPr>
      </w:pPr>
      <w:r w:rsidRPr="008131DD">
        <w:rPr>
          <w:rFonts w:ascii="仿宋" w:eastAsia="仿宋" w:hAnsi="仿宋" w:cs="仿宋" w:hint="eastAsia"/>
          <w:b w:val="0"/>
          <w:sz w:val="24"/>
          <w:szCs w:val="24"/>
        </w:rPr>
        <w:t>7、指挥决策调度大厅（B2四层，面积：187m</w:t>
      </w:r>
      <w:r w:rsidRPr="008131DD">
        <w:rPr>
          <w:rFonts w:ascii="宋体" w:eastAsia="宋体" w:hAnsi="宋体" w:cs="宋体" w:hint="eastAsia"/>
          <w:b w:val="0"/>
          <w:sz w:val="24"/>
          <w:szCs w:val="24"/>
        </w:rPr>
        <w:t>²</w:t>
      </w:r>
      <w:r w:rsidRPr="008131DD">
        <w:rPr>
          <w:rFonts w:ascii="仿宋" w:eastAsia="仿宋" w:hAnsi="仿宋" w:cs="仿宋" w:hint="eastAsia"/>
          <w:b w:val="0"/>
          <w:sz w:val="24"/>
          <w:szCs w:val="24"/>
        </w:rPr>
        <w:t>）</w:t>
      </w:r>
    </w:p>
    <w:p w:rsidR="00ED4B8C" w:rsidRPr="008131DD" w:rsidRDefault="00ED4B8C" w:rsidP="00ED4B8C">
      <w:pPr>
        <w:pStyle w:val="af9"/>
        <w:spacing w:line="360" w:lineRule="auto"/>
        <w:contextualSpacing/>
        <w:rPr>
          <w:rFonts w:ascii="仿宋" w:eastAsia="仿宋" w:hAnsi="仿宋" w:cs="仿宋"/>
        </w:rPr>
      </w:pPr>
      <w:r w:rsidRPr="008131DD">
        <w:rPr>
          <w:rFonts w:ascii="仿宋" w:eastAsia="仿宋" w:hAnsi="仿宋" w:cs="仿宋" w:hint="eastAsia"/>
        </w:rPr>
        <w:t>配置一套LED显示设备</w:t>
      </w:r>
      <w:r w:rsidRPr="008131DD">
        <w:rPr>
          <w:rFonts w:ascii="仿宋" w:eastAsia="仿宋" w:hAnsi="仿宋" w:cs="仿宋" w:hint="eastAsia"/>
          <w:bCs/>
        </w:rPr>
        <w:t>，用于显示信号源的文字、图片视频画面等信号，视频接口可随时接入电脑、摄像头、DVD、视频终端等信号源，这些信号源通过显示设备显示出来，配套辅助液晶副屏；部署多类型拾音话筒、数字调音与专业扩声系统；配置</w:t>
      </w:r>
      <w:r w:rsidRPr="008131DD">
        <w:rPr>
          <w:rFonts w:ascii="仿宋" w:eastAsia="仿宋" w:hAnsi="仿宋" w:cs="仿宋" w:hint="eastAsia"/>
        </w:rPr>
        <w:t>配置一套混插矩阵</w:t>
      </w:r>
      <w:r w:rsidRPr="008131DD">
        <w:rPr>
          <w:rFonts w:ascii="仿宋" w:eastAsia="仿宋" w:hAnsi="仿宋" w:cs="仿宋" w:hint="eastAsia"/>
          <w:bCs/>
        </w:rPr>
        <w:t>（本项目中矩阵设备由采购人原有配置，中标供货设备须兼容系统，配套完成线路对接及整体联调工作），</w:t>
      </w:r>
      <w:r w:rsidRPr="008131DD">
        <w:rPr>
          <w:rFonts w:ascii="仿宋" w:eastAsia="仿宋" w:hAnsi="仿宋" w:cs="仿宋" w:hint="eastAsia"/>
        </w:rPr>
        <w:t>用于会议室内的音视频信号的分配、切换等</w:t>
      </w:r>
      <w:r w:rsidRPr="008131DD">
        <w:rPr>
          <w:rFonts w:ascii="仿宋" w:eastAsia="仿宋" w:hAnsi="仿宋" w:cs="仿宋" w:hint="eastAsia"/>
          <w:bCs/>
        </w:rPr>
        <w:t>；满足</w:t>
      </w:r>
      <w:r w:rsidRPr="008131DD">
        <w:rPr>
          <w:rFonts w:ascii="仿宋" w:eastAsia="仿宋" w:hAnsi="仿宋" w:cs="仿宋" w:hint="eastAsia"/>
        </w:rPr>
        <w:t>应急指挥调度、决策等</w:t>
      </w:r>
    </w:p>
    <w:p w:rsidR="00ED4B8C" w:rsidRPr="008131DD" w:rsidRDefault="00ED4B8C" w:rsidP="00ED4B8C">
      <w:pPr>
        <w:pStyle w:val="af9"/>
        <w:spacing w:line="360" w:lineRule="auto"/>
        <w:rPr>
          <w:rFonts w:ascii="仿宋" w:eastAsia="仿宋" w:hAnsi="仿宋" w:cs="仿宋"/>
          <w:bCs/>
        </w:rPr>
      </w:pPr>
      <w:r w:rsidRPr="008131DD">
        <w:rPr>
          <w:rFonts w:ascii="仿宋" w:eastAsia="仿宋" w:hAnsi="仿宋" w:cs="仿宋" w:hint="eastAsia"/>
          <w:bCs/>
        </w:rPr>
        <w:t>二、技术参数</w:t>
      </w:r>
    </w:p>
    <w:p w:rsidR="00ED4B8C" w:rsidRPr="008131DD" w:rsidRDefault="00ED4B8C" w:rsidP="00ED4B8C">
      <w:pPr>
        <w:pStyle w:val="af9"/>
        <w:spacing w:line="360" w:lineRule="auto"/>
        <w:contextualSpacing/>
        <w:rPr>
          <w:rFonts w:ascii="仿宋" w:eastAsia="仿宋" w:hAnsi="仿宋" w:cs="仿宋"/>
          <w:bCs/>
        </w:rPr>
      </w:pPr>
      <w:r w:rsidRPr="008131DD">
        <w:rPr>
          <w:rFonts w:ascii="仿宋" w:eastAsia="仿宋" w:hAnsi="仿宋" w:cs="仿宋" w:hint="eastAsia"/>
          <w:bCs/>
        </w:rPr>
        <w:t>指标按重要性分为“★”、“</w:t>
      </w:r>
      <w:r w:rsidRPr="008131DD">
        <w:rPr>
          <w:rFonts w:ascii="仿宋" w:eastAsia="仿宋" w:hAnsi="仿宋" w:hint="eastAsia"/>
          <w:kern w:val="0"/>
        </w:rPr>
        <w:t>▲</w:t>
      </w:r>
      <w:r w:rsidRPr="008131DD">
        <w:rPr>
          <w:rFonts w:ascii="仿宋" w:eastAsia="仿宋" w:hAnsi="仿宋" w:cs="仿宋" w:hint="eastAsia"/>
          <w:bCs/>
        </w:rPr>
        <w:t>”和一般指标项。★代表实质性指标，不满足该指标项将导致投标被拒绝，</w:t>
      </w:r>
      <w:r w:rsidRPr="008131DD">
        <w:rPr>
          <w:rFonts w:ascii="仿宋" w:eastAsia="仿宋" w:hAnsi="仿宋" w:hint="eastAsia"/>
          <w:kern w:val="0"/>
        </w:rPr>
        <w:t>▲</w:t>
      </w:r>
      <w:r w:rsidRPr="008131DD">
        <w:rPr>
          <w:rFonts w:ascii="仿宋" w:eastAsia="仿宋" w:hAnsi="仿宋" w:cs="仿宋" w:hint="eastAsia"/>
          <w:bCs/>
        </w:rPr>
        <w:t>代表重要指标，其它为一般指标项。</w:t>
      </w:r>
    </w:p>
    <w:p w:rsidR="00ED4B8C" w:rsidRPr="008131DD" w:rsidRDefault="00ED4B8C" w:rsidP="00ED4B8C">
      <w:pPr>
        <w:pStyle w:val="af9"/>
        <w:spacing w:line="360" w:lineRule="auto"/>
        <w:contextualSpacing/>
        <w:rPr>
          <w:rFonts w:ascii="仿宋" w:eastAsia="仿宋" w:hAnsi="仿宋" w:cs="仿宋"/>
          <w:bCs/>
        </w:rPr>
      </w:pPr>
      <w:r w:rsidRPr="008131DD">
        <w:rPr>
          <w:rFonts w:ascii="仿宋" w:eastAsia="仿宋" w:hAnsi="仿宋" w:cs="仿宋" w:hint="eastAsia"/>
          <w:bCs/>
        </w:rPr>
        <w:t>““证明材料要求”项可填“是”和“否”。填“是”的，投标人/响应人须提供包含相关指标项的证明材料，证明材料按对应条款说明提供，未提供有效证明材料或证明材料中内容与所填报指标不一致的，该指标按不满足处理。</w:t>
      </w:r>
    </w:p>
    <w:p w:rsidR="00ED4B8C" w:rsidRPr="008131DD" w:rsidRDefault="00ED4B8C" w:rsidP="00ED4B8C">
      <w:pPr>
        <w:pStyle w:val="af9"/>
        <w:spacing w:line="360" w:lineRule="auto"/>
        <w:contextualSpacing/>
        <w:rPr>
          <w:rFonts w:ascii="仿宋" w:eastAsia="仿宋" w:hAnsi="仿宋" w:cs="仿宋"/>
          <w:bCs/>
        </w:rPr>
      </w:pPr>
      <w:r w:rsidRPr="008131DD">
        <w:rPr>
          <w:rFonts w:ascii="仿宋" w:eastAsia="仿宋" w:hAnsi="仿宋" w:cs="仿宋" w:hint="eastAsia"/>
          <w:bCs/>
        </w:rPr>
        <w:t>采购需求应当规范使用计量单位，如电子产品的显示屏对角线长度、建筑材料中对管材的公称直径、机械硬盘的尺寸规格、扬声器发声单元直径、摄影摄像设备 CCD 或 CMOS 感应单元尺寸等，以“英寸”为单位，采购需求中简写的“in”、“inch”、“吋”均按英寸处理。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278"/>
        <w:gridCol w:w="4955"/>
        <w:gridCol w:w="1479"/>
      </w:tblGrid>
      <w:tr w:rsidR="00ED4B8C" w:rsidRPr="008131DD" w:rsidTr="003E322D">
        <w:trPr>
          <w:trHeight w:val="320"/>
        </w:trPr>
        <w:tc>
          <w:tcPr>
            <w:tcW w:w="478" w:type="pct"/>
            <w:shd w:val="clear" w:color="auto" w:fill="auto"/>
            <w:noWrap/>
            <w:vAlign w:val="center"/>
          </w:tcPr>
          <w:p w:rsidR="00ED4B8C" w:rsidRPr="008131DD" w:rsidRDefault="00ED4B8C" w:rsidP="003E322D">
            <w:pPr>
              <w:widowControl/>
              <w:spacing w:line="276" w:lineRule="auto"/>
              <w:contextualSpacing/>
              <w:textAlignment w:val="center"/>
              <w:rPr>
                <w:rFonts w:ascii="仿宋" w:eastAsia="仿宋" w:hAnsi="仿宋" w:cs="仿宋"/>
                <w:b/>
                <w:szCs w:val="21"/>
              </w:rPr>
            </w:pPr>
            <w:bookmarkStart w:id="10" w:name="OLE_LINK11"/>
            <w:bookmarkStart w:id="11" w:name="OLE_LINK10"/>
            <w:r w:rsidRPr="008131DD">
              <w:rPr>
                <w:rFonts w:ascii="仿宋" w:eastAsia="仿宋" w:hAnsi="仿宋" w:cs="仿宋" w:hint="eastAsia"/>
                <w:b/>
                <w:szCs w:val="21"/>
              </w:rPr>
              <w:t>序号</w:t>
            </w:r>
          </w:p>
        </w:tc>
        <w:tc>
          <w:tcPr>
            <w:tcW w:w="749" w:type="pct"/>
            <w:shd w:val="clear" w:color="auto" w:fill="auto"/>
            <w:noWrap/>
            <w:vAlign w:val="center"/>
          </w:tcPr>
          <w:p w:rsidR="00ED4B8C" w:rsidRPr="008131DD" w:rsidRDefault="00ED4B8C" w:rsidP="003E322D">
            <w:pPr>
              <w:widowControl/>
              <w:spacing w:line="276" w:lineRule="auto"/>
              <w:contextualSpacing/>
              <w:jc w:val="center"/>
              <w:textAlignment w:val="center"/>
              <w:rPr>
                <w:rFonts w:ascii="仿宋" w:eastAsia="仿宋" w:hAnsi="仿宋" w:cs="仿宋"/>
                <w:b/>
                <w:szCs w:val="21"/>
              </w:rPr>
            </w:pPr>
            <w:r w:rsidRPr="008131DD">
              <w:rPr>
                <w:rFonts w:ascii="仿宋" w:eastAsia="仿宋" w:hAnsi="仿宋" w:cs="仿宋" w:hint="eastAsia"/>
                <w:b/>
                <w:kern w:val="0"/>
                <w:szCs w:val="21"/>
              </w:rPr>
              <w:t>名称</w:t>
            </w:r>
          </w:p>
        </w:tc>
        <w:tc>
          <w:tcPr>
            <w:tcW w:w="2904" w:type="pct"/>
            <w:shd w:val="clear" w:color="auto" w:fill="auto"/>
            <w:noWrap/>
            <w:vAlign w:val="center"/>
          </w:tcPr>
          <w:p w:rsidR="00ED4B8C" w:rsidRPr="008131DD" w:rsidRDefault="00ED4B8C" w:rsidP="003E322D">
            <w:pPr>
              <w:widowControl/>
              <w:spacing w:line="276" w:lineRule="auto"/>
              <w:contextualSpacing/>
              <w:jc w:val="center"/>
              <w:textAlignment w:val="center"/>
              <w:rPr>
                <w:rFonts w:ascii="仿宋" w:eastAsia="仿宋" w:hAnsi="仿宋" w:cs="仿宋"/>
                <w:b/>
                <w:szCs w:val="21"/>
              </w:rPr>
            </w:pPr>
            <w:r w:rsidRPr="008131DD">
              <w:rPr>
                <w:rFonts w:ascii="仿宋" w:eastAsia="仿宋" w:hAnsi="仿宋" w:cs="仿宋" w:hint="eastAsia"/>
                <w:b/>
                <w:kern w:val="0"/>
                <w:szCs w:val="21"/>
              </w:rPr>
              <w:t>标的参数</w:t>
            </w:r>
          </w:p>
        </w:tc>
        <w:tc>
          <w:tcPr>
            <w:tcW w:w="867" w:type="pct"/>
            <w:shd w:val="clear" w:color="auto" w:fill="auto"/>
            <w:noWrap/>
            <w:vAlign w:val="center"/>
          </w:tcPr>
          <w:p w:rsidR="00ED4B8C" w:rsidRPr="008131DD" w:rsidRDefault="00ED4B8C" w:rsidP="003E322D">
            <w:pPr>
              <w:widowControl/>
              <w:spacing w:line="276" w:lineRule="auto"/>
              <w:contextualSpacing/>
              <w:jc w:val="center"/>
              <w:textAlignment w:val="center"/>
              <w:rPr>
                <w:rFonts w:ascii="仿宋" w:eastAsia="仿宋" w:hAnsi="仿宋" w:cs="仿宋"/>
                <w:b/>
                <w:szCs w:val="21"/>
              </w:rPr>
            </w:pPr>
            <w:r w:rsidRPr="008131DD">
              <w:rPr>
                <w:rFonts w:ascii="仿宋" w:eastAsia="仿宋" w:hAnsi="仿宋" w:cs="仿宋" w:hint="eastAsia"/>
                <w:b/>
                <w:kern w:val="0"/>
                <w:szCs w:val="21"/>
              </w:rPr>
              <w:t>证明材料要求</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86寸液晶电视</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1.屏幕显示尺寸≥86英寸，分辨率≥3840*2160，显示比例16:9，亮度≥600cd/㎡；</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2.机身内存不少于32G ROM，运行内存不少于3G RAM；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noWrap/>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3.整机屏幕占比≥90%；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4.提供液晶电视配套支架；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98寸液晶电视</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1.分辨率≥3840*2160；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2.背光方式：直下式LED；</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3.亮度≥500nits，对比度≥1200：1 ，刷新率≥120Hz；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4.屏幕比例：16：9；</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5.最大可视角度：≥178°；</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6.支持Android11、HarmonyOS、Linux及以上或同等级操作系统，处理能力不低于4核处理器，主内存≥4G DDR4，内置闪存≥128G，内置wifi5双频无线模块，支持蓝牙5.1及以上；</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7.接口不少于HDMI 2.1*2、HDMI 2.0*1、USB3.0*1、USB2.0*1、网络接口*1、AV接口*1、RF*1，同轴音频输出*1；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8.支持AI待机功能，支持远场语音；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9.支持在线替换开机画面、动画、视频；搭载第三方运用；支持第三方APK适配对接；</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10.内置会议、播控、投屏等办公应用；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 w:val="18"/>
                <w:szCs w:val="18"/>
              </w:rPr>
            </w:pPr>
            <w:r w:rsidRPr="008131DD">
              <w:rPr>
                <w:rFonts w:ascii="仿宋" w:eastAsia="仿宋" w:hAnsi="仿宋" w:cs="仿宋" w:hint="eastAsia"/>
                <w:kern w:val="0"/>
                <w:sz w:val="18"/>
                <w:szCs w:val="18"/>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11.提供液晶电视配套支架；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65寸液晶电视（反看）</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 分辨率≥3840*2160，屏幕尺寸：≥65英寸；</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 背光方式：直下式LED；</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整机工艺：屏占比达95%以上；</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 亮度≥200nits,对比度≥5000：1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 屏幕比例：16：9；</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 最大可视角度：≥178°；</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jc w:val="left"/>
              <w:rPr>
                <w:rFonts w:ascii="仿宋" w:eastAsia="仿宋" w:hAnsi="仿宋" w:cs="仿宋"/>
                <w:szCs w:val="21"/>
              </w:rPr>
            </w:pPr>
            <w:r w:rsidRPr="008131DD">
              <w:rPr>
                <w:rFonts w:ascii="仿宋" w:eastAsia="仿宋" w:hAnsi="仿宋" w:cs="仿宋" w:hint="eastAsia"/>
                <w:kern w:val="0"/>
                <w:szCs w:val="21"/>
              </w:rPr>
              <w:t>7. 支持Android 9.0</w:t>
            </w:r>
            <w:r w:rsidRPr="008131DD">
              <w:rPr>
                <w:rFonts w:ascii="仿宋" w:eastAsia="仿宋" w:hAnsi="仿宋" w:cs="仿宋"/>
                <w:kern w:val="0"/>
                <w:szCs w:val="21"/>
                <w:lang w:bidi="ar"/>
              </w:rPr>
              <w:t>、HarmonyOS、Linux及以上或同等级操作系统，</w:t>
            </w:r>
            <w:r w:rsidRPr="008131DD">
              <w:rPr>
                <w:rFonts w:ascii="仿宋" w:eastAsia="仿宋" w:hAnsi="仿宋" w:cs="仿宋" w:hint="eastAsia"/>
                <w:kern w:val="0"/>
                <w:szCs w:val="21"/>
              </w:rPr>
              <w:t>处理器≥4核，主频≥1.8GHz，主内存≥2G DDR4，内置闪存≥64G，内置双频wifi模块，支持802.11 a/b/g/n；</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 支持不少于HDMI2.0*2、AV三合一接口*1、同轴接口*1、RF（DTMB）接口*1、USB2.0*2、网络接口*1、RS232接口*1；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 支持替换开机画面、动画、视频；搭载第三方运用；支持远程控制开关机；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 支持开机画面设定,开机动画设定,开机logo设定,开机音量控制,最大音量控制,开机频道设置与锁</w:t>
            </w:r>
            <w:r w:rsidRPr="008131DD">
              <w:rPr>
                <w:rFonts w:ascii="仿宋" w:eastAsia="仿宋" w:hAnsi="仿宋" w:cs="仿宋" w:hint="eastAsia"/>
                <w:kern w:val="0"/>
                <w:szCs w:val="21"/>
              </w:rPr>
              <w:lastRenderedPageBreak/>
              <w:t>定,TV频道设置,DTMB频道设置,默认信号源,上电开机,无操作待机,无信号待机,AI语音待机,开机恢复,通电状态记忆,时针功能（RTC）, U盘克隆,定时开关机,主页替换,U盘安装应用,爱投屏禁用,恢复出厂；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 支持一键直达信号源，一键直达主页，支持快捷键自定义；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 支持远场语音功能；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2A30A0">
            <w:pPr>
              <w:widowControl/>
              <w:numPr>
                <w:ilvl w:val="0"/>
                <w:numId w:val="71"/>
              </w:numPr>
              <w:spacing w:line="276" w:lineRule="auto"/>
              <w:ind w:left="420" w:hanging="420"/>
              <w:contextualSpacing/>
              <w:jc w:val="left"/>
              <w:textAlignment w:val="center"/>
              <w:rPr>
                <w:rFonts w:ascii="仿宋" w:eastAsia="仿宋" w:hAnsi="仿宋" w:cs="仿宋"/>
                <w:szCs w:val="21"/>
              </w:rPr>
            </w:pPr>
            <w:r w:rsidRPr="008131DD">
              <w:rPr>
                <w:rFonts w:ascii="仿宋" w:eastAsia="仿宋" w:hAnsi="仿宋" w:cs="仿宋" w:hint="eastAsia"/>
                <w:kern w:val="0"/>
                <w:szCs w:val="21"/>
              </w:rPr>
              <w:t>提供液晶电视配套支架；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75寸液晶电视（吊装）</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 分辨率≥3840*2160，屏幕尺寸：≥75英寸；</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 背光方式：直下式LED；</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整机工艺：屏占比达95%以上；</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 亮度≥200nits,对比度≥5000：1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 屏幕比例：16：9；</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 最大可视角度：≥178°；</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jc w:val="left"/>
              <w:rPr>
                <w:rFonts w:ascii="仿宋" w:eastAsia="仿宋" w:hAnsi="仿宋" w:cs="仿宋"/>
                <w:szCs w:val="21"/>
              </w:rPr>
            </w:pPr>
            <w:r w:rsidRPr="008131DD">
              <w:rPr>
                <w:rFonts w:ascii="仿宋" w:eastAsia="仿宋" w:hAnsi="仿宋" w:cs="仿宋" w:hint="eastAsia"/>
                <w:kern w:val="0"/>
                <w:szCs w:val="21"/>
              </w:rPr>
              <w:t>7. 支持Android 9.0</w:t>
            </w:r>
            <w:r w:rsidRPr="008131DD">
              <w:rPr>
                <w:rFonts w:ascii="仿宋" w:eastAsia="仿宋" w:hAnsi="仿宋" w:cs="仿宋"/>
                <w:kern w:val="0"/>
                <w:szCs w:val="21"/>
                <w:lang w:bidi="ar"/>
              </w:rPr>
              <w:t>、HarmonyOS、Linux及以上或同等级操作系统，</w:t>
            </w:r>
            <w:r w:rsidRPr="008131DD">
              <w:rPr>
                <w:rFonts w:ascii="仿宋" w:eastAsia="仿宋" w:hAnsi="仿宋" w:cs="仿宋" w:hint="eastAsia"/>
                <w:kern w:val="0"/>
                <w:szCs w:val="21"/>
              </w:rPr>
              <w:t>处理器≥4核，主频≥1.8GHz，主内存≥2G DDR4，内置闪存≥64G，内置双频wifi模块，支持802.11 a/b/g/n；</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 支持不少于HDMI2.0*2、AV三合一接口*1、同轴接口*1、RF（DTMB）接口*1、USB2.0*2、网络接口*1、RS232接口*1；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 支持替换开机画面、动画、视频；搭载第三方运用，支持远程控制开关机；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 支持开机画面设定,开机动画设定,开机logo设定,开机音量控制,最大音量控制,开机频道设置与锁定,TV频道设置,DTMB频道设置,默认信号源,上电开机,无操作待机,无信号待机,AI语音待机,开机恢复,通电状态记忆,时针功能（RTC）, U盘克隆,定时开关机,主页替换,U盘安装应用,爱投屏禁用,恢复出厂；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 一键直达信号源，一键直达主页，支持快捷键自定义；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12.提供液晶电视配套支架；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OPS主机</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1.采用模块化方案，抽拉式设计；需要与86寸液晶电视配套使用；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FFC000"/>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FFC000"/>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2.处理器：国产；内存规格：≥8G内存；硬盘：≥256G固态硬盘。集成声卡、显卡、网卡，内置WIFI</w:t>
            </w:r>
            <w:r w:rsidRPr="008131DD">
              <w:rPr>
                <w:rFonts w:ascii="仿宋" w:eastAsia="仿宋" w:hAnsi="仿宋" w:cs="仿宋" w:hint="eastAsia"/>
                <w:kern w:val="0"/>
                <w:szCs w:val="21"/>
              </w:rPr>
              <w:lastRenderedPageBreak/>
              <w:t>模块，具有独立非外扩展的电脑USB接口：USB接口≥4个，输出HDMI≥1个;</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46寸液晶屏</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 屏幕尺寸：≥46寸，背光类型：LED背光源；</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2.双边物理拼缝≤1.7 mm；视角≥178°(H) / 178°(V)；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jc w:val="left"/>
              <w:rPr>
                <w:rFonts w:ascii="仿宋" w:eastAsia="仿宋" w:hAnsi="仿宋" w:cs="仿宋"/>
                <w:szCs w:val="21"/>
              </w:rPr>
            </w:pPr>
            <w:r w:rsidRPr="008131DD">
              <w:rPr>
                <w:rFonts w:ascii="仿宋" w:eastAsia="仿宋" w:hAnsi="仿宋" w:cs="仿宋" w:hint="eastAsia"/>
                <w:kern w:val="0"/>
                <w:szCs w:val="21"/>
              </w:rPr>
              <w:t>3.分辨率不低于1920*1080，屏幕比例：16:9，色彩表现能力:≥8bit，色彩数:≥16.7M；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4.视频接口：不少于1路VGA接口, 不少于1路DVI接口, 不少于1路HDMI接口,不少于1路BNC接口，控制接口：不少于2路RJ45(RS485)IN，不少于1路RJ45(RS485)OUT；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5.屏体亮度：≥500cd/m</w:t>
            </w:r>
            <w:r w:rsidRPr="008131DD">
              <w:rPr>
                <w:rFonts w:ascii="宋体" w:hAnsi="宋体" w:cs="宋体" w:hint="eastAsia"/>
                <w:kern w:val="0"/>
                <w:szCs w:val="21"/>
              </w:rPr>
              <w:t>²</w:t>
            </w:r>
            <w:r w:rsidRPr="008131DD">
              <w:rPr>
                <w:rFonts w:ascii="仿宋" w:eastAsia="仿宋" w:hAnsi="仿宋" w:cs="仿宋" w:hint="eastAsia"/>
                <w:kern w:val="0"/>
                <w:szCs w:val="21"/>
              </w:rPr>
              <w:t>，</w:t>
            </w:r>
            <w:bookmarkStart w:id="12" w:name="OLE_LINK110"/>
            <w:r w:rsidRPr="008131DD">
              <w:rPr>
                <w:rFonts w:ascii="仿宋" w:eastAsia="仿宋" w:hAnsi="仿宋" w:cs="仿宋" w:hint="eastAsia"/>
                <w:kern w:val="0"/>
                <w:szCs w:val="21"/>
              </w:rPr>
              <w:t>原装A+级液晶面板</w:t>
            </w:r>
            <w:bookmarkEnd w:id="12"/>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6.具备基于FPGA的视频图像增强功能，具备图像引擎处理功能；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7.具备智能消除残影功能，具有图像防灼伤功能;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8.液晶显示屏背光源采用点阵式LED或同等技术;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kern w:val="0"/>
                <w:szCs w:val="21"/>
              </w:rPr>
            </w:pPr>
            <w:bookmarkStart w:id="13" w:name="OLE_LINK5"/>
            <w:bookmarkStart w:id="14" w:name="OLE_LINK12"/>
            <w:bookmarkStart w:id="15" w:name="OLE_LINK6"/>
            <w:bookmarkStart w:id="16" w:name="OLE_LINK13"/>
            <w:r w:rsidRPr="008131DD">
              <w:rPr>
                <w:rFonts w:ascii="仿宋" w:eastAsia="仿宋" w:hAnsi="仿宋" w:cs="仿宋" w:hint="eastAsia"/>
                <w:kern w:val="0"/>
                <w:szCs w:val="21"/>
              </w:rPr>
              <w:t>▲</w:t>
            </w:r>
            <w:bookmarkEnd w:id="13"/>
            <w:bookmarkEnd w:id="14"/>
            <w:bookmarkEnd w:id="15"/>
            <w:bookmarkEnd w:id="16"/>
            <w:r w:rsidRPr="008131DD">
              <w:rPr>
                <w:rFonts w:ascii="仿宋" w:eastAsia="仿宋" w:hAnsi="仿宋" w:cs="仿宋" w:hint="eastAsia"/>
                <w:kern w:val="0"/>
                <w:szCs w:val="21"/>
              </w:rPr>
              <w:t>9.需满足以下功能及标准：</w:t>
            </w:r>
          </w:p>
          <w:p w:rsidR="00ED4B8C" w:rsidRPr="008131DD" w:rsidRDefault="00ED4B8C" w:rsidP="003E322D">
            <w:pPr>
              <w:widowControl/>
              <w:spacing w:line="276" w:lineRule="auto"/>
              <w:contextualSpacing/>
              <w:textAlignment w:val="center"/>
              <w:rPr>
                <w:rFonts w:ascii="仿宋" w:eastAsia="仿宋" w:hAnsi="仿宋" w:cs="仿宋"/>
                <w:kern w:val="0"/>
                <w:szCs w:val="21"/>
              </w:rPr>
            </w:pPr>
            <w:r w:rsidRPr="008131DD">
              <w:rPr>
                <w:rFonts w:ascii="仿宋" w:eastAsia="仿宋" w:hAnsi="仿宋" w:cs="仿宋" w:hint="eastAsia"/>
                <w:kern w:val="0"/>
                <w:szCs w:val="21"/>
              </w:rPr>
              <w:t>1）具备内置图像边缘融合处理功能，显示时可有效消除因液晶屏黑边造成的错位显示;</w:t>
            </w:r>
          </w:p>
          <w:p w:rsidR="00ED4B8C" w:rsidRPr="008131DD" w:rsidRDefault="00ED4B8C" w:rsidP="003E322D">
            <w:pPr>
              <w:widowControl/>
              <w:spacing w:line="276" w:lineRule="auto"/>
              <w:contextualSpacing/>
              <w:textAlignment w:val="center"/>
              <w:rPr>
                <w:rFonts w:ascii="仿宋" w:eastAsia="仿宋" w:hAnsi="仿宋" w:cs="仿宋"/>
                <w:kern w:val="0"/>
                <w:szCs w:val="21"/>
              </w:rPr>
            </w:pPr>
            <w:r w:rsidRPr="008131DD">
              <w:rPr>
                <w:rFonts w:ascii="仿宋" w:eastAsia="仿宋" w:hAnsi="仿宋" w:cs="仿宋" w:hint="eastAsia"/>
                <w:kern w:val="0"/>
                <w:szCs w:val="21"/>
              </w:rPr>
              <w:t>2）液晶拼接单元光学拼缝符合液晶拼接系统验收规范相关标准，液晶显示单元拼接安装后，相邻两个拼接屏物理拼缝安装精度≤1mm，相邻两个拼接屏显示单元平整度≤1mm;</w:t>
            </w:r>
          </w:p>
          <w:p w:rsidR="00ED4B8C" w:rsidRPr="008131DD" w:rsidRDefault="00ED4B8C" w:rsidP="003E322D">
            <w:pPr>
              <w:widowControl/>
              <w:spacing w:line="276" w:lineRule="auto"/>
              <w:contextualSpacing/>
              <w:textAlignment w:val="center"/>
              <w:rPr>
                <w:rFonts w:ascii="仿宋" w:eastAsia="仿宋" w:hAnsi="仿宋" w:cs="仿宋"/>
                <w:kern w:val="0"/>
                <w:szCs w:val="21"/>
              </w:rPr>
            </w:pPr>
            <w:r w:rsidRPr="008131DD">
              <w:rPr>
                <w:rFonts w:ascii="仿宋" w:eastAsia="仿宋" w:hAnsi="仿宋" w:cs="仿宋" w:hint="eastAsia"/>
                <w:kern w:val="0"/>
                <w:szCs w:val="21"/>
              </w:rPr>
              <w:t>(以上功能需提供具有CMA标识的第三方机构检验报告，并加盖原厂公章）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10.液晶显示单元支持Mura矫正，屏幕所有像素点亮度均匀性达≥95%，色彩均匀性≥90%，图像显示清晰度≥1000TVL，亮度鉴别等级≥11 级，图像重显率≥99%，几何失直≤3%;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11.盐雾等级：≥10 级，抗震等级：≥8级，噪声≤8dB;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12.配置不少于2台视频处理器，每台不少于8路HDMI输入，12路HDMI输出；设备需选用DSP+FPGA 硬件式处理结构，模块化设计，双电源冗余备份；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13.需提供壁挂液压安装结构，组成2组3*3屏；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55寸液晶屏</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1.屏幕尺寸：≥55 寸，背光类型：LED背光源;</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2.双边物理拼缝≤1.7 mm；视角≥178°(H) / 178°(V)；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3.分辨率不低于1920*1080，屏幕比例：16:9。色彩表现能力:≥8bit，色彩数:≥16.7M；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4.视频接口：不少于1路VGA接口, 不少于1路DVI接口,不少于1路HDMI接口,不少于1路BNC接口，控制接口：不少于2路RJ45(RS485)IN，不少于1路RJ45(RS485)OUT；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5.屏体亮度：≥500cd/m</w:t>
            </w:r>
            <w:r w:rsidRPr="008131DD">
              <w:rPr>
                <w:rFonts w:ascii="宋体" w:hAnsi="宋体" w:cs="宋体" w:hint="eastAsia"/>
                <w:kern w:val="0"/>
                <w:szCs w:val="21"/>
              </w:rPr>
              <w:t>²</w:t>
            </w:r>
            <w:r w:rsidRPr="008131DD">
              <w:rPr>
                <w:rFonts w:ascii="仿宋" w:eastAsia="仿宋" w:hAnsi="仿宋" w:cs="仿宋" w:hint="eastAsia"/>
                <w:kern w:val="0"/>
                <w:szCs w:val="21"/>
              </w:rPr>
              <w:t>，原装A+级液晶面板；</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6.产品具备基于FPGA的视频图像增强功能，具备图像引擎处理功能；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7.产品具备智能消除残影功能，具有图像防灼伤功能;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8.液晶显示屏背光源采用点阵式LED或同等技术;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w:t>
            </w:r>
            <w:bookmarkStart w:id="17" w:name="OLE_LINK7"/>
            <w:bookmarkStart w:id="18" w:name="OLE_LINK9"/>
            <w:bookmarkStart w:id="19" w:name="OLE_LINK8"/>
            <w:r w:rsidRPr="008131DD">
              <w:rPr>
                <w:rFonts w:ascii="仿宋" w:eastAsia="仿宋" w:hAnsi="仿宋" w:cs="仿宋" w:hint="eastAsia"/>
                <w:kern w:val="0"/>
                <w:szCs w:val="21"/>
              </w:rPr>
              <w:t>产品具备</w:t>
            </w:r>
            <w:bookmarkEnd w:id="17"/>
            <w:r w:rsidRPr="008131DD">
              <w:rPr>
                <w:rFonts w:ascii="仿宋" w:eastAsia="仿宋" w:hAnsi="仿宋" w:cs="仿宋" w:hint="eastAsia"/>
                <w:kern w:val="0"/>
                <w:szCs w:val="21"/>
              </w:rPr>
              <w:t>内置图像边缘融合处理功能</w:t>
            </w:r>
            <w:bookmarkEnd w:id="18"/>
            <w:bookmarkEnd w:id="19"/>
            <w:r w:rsidRPr="008131DD">
              <w:rPr>
                <w:rFonts w:ascii="仿宋" w:eastAsia="仿宋" w:hAnsi="仿宋" w:cs="仿宋" w:hint="eastAsia"/>
                <w:kern w:val="0"/>
                <w:szCs w:val="21"/>
              </w:rPr>
              <w:t xml:space="preserve">;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10.产品具备宽动态功能，自动适应处理不同场频下的图像信号衰减和失真现象;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11.液晶屏的电源电路具有防雷放电结构；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12.具备护眼模式，具有实时分析当前画面亮度分布比例，自动调整亮度值的功能，具有动态调节画面对比度的功能;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13.支持7x24小时不间断运行，平均无故障运行时间，拼接显示单元满足不低于120000小时无故障运行；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14.配置不少于2台视频处理器，每台不少于8路HDMI输入，12路HDMI输出；设备选用DSP+FPGA 硬件式处理结构，模块化设计，双电源冗余备份；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15.提供壁挂液压安装结构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全彩LED显示屏1</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★1.点间距≤1.54mm，像素点≥422500点/m</w:t>
            </w:r>
            <w:r w:rsidRPr="008131DD">
              <w:rPr>
                <w:rFonts w:ascii="宋体" w:hAnsi="宋体" w:cs="宋体" w:hint="eastAsia"/>
                <w:kern w:val="0"/>
                <w:szCs w:val="21"/>
              </w:rPr>
              <w:t>²</w:t>
            </w:r>
            <w:r w:rsidRPr="008131DD">
              <w:rPr>
                <w:rFonts w:ascii="仿宋" w:eastAsia="仿宋" w:hAnsi="仿宋" w:cs="仿宋" w:hint="eastAsia"/>
                <w:kern w:val="0"/>
                <w:szCs w:val="21"/>
              </w:rPr>
              <w:t>，屏幕尺寸：宽：≥10.24m，高≥4.8m；（需提供具有CMA标识的第三方机构检验报告或技术白皮书或其它材料并加盖原厂公章）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2.单元箱体尺寸：640mm×480mm，整机采用压铸铝合金箱体，保证箱体拼接的平整度和密闭防尘性、防火性能，箱体拉伸强度≥300Mpa，硬度≥80HB；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3.亮度≥800cd/m</w:t>
            </w:r>
            <w:r w:rsidRPr="008131DD">
              <w:rPr>
                <w:rFonts w:ascii="宋体" w:hAnsi="宋体" w:cs="宋体" w:hint="eastAsia"/>
                <w:kern w:val="0"/>
                <w:szCs w:val="21"/>
              </w:rPr>
              <w:t>²</w:t>
            </w:r>
            <w:r w:rsidRPr="008131DD">
              <w:rPr>
                <w:rFonts w:ascii="仿宋" w:eastAsia="仿宋" w:hAnsi="仿宋" w:cs="仿宋" w:hint="eastAsia"/>
                <w:kern w:val="0"/>
                <w:szCs w:val="21"/>
              </w:rPr>
              <w:t>，0-100%任意可调，软件0-255级可调，亮度鉴别等级不低于C级BJ≥20；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4.前维护设计，可在正面拆卸、安装，支持带电维护，热插拔，支持单点维修更换；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▲5.基色主波长误差满足C级，ΔλD≤5±1nm；（需</w:t>
            </w:r>
            <w:r w:rsidRPr="008131DD">
              <w:rPr>
                <w:rFonts w:ascii="仿宋" w:eastAsia="仿宋" w:hAnsi="仿宋" w:cs="仿宋" w:hint="eastAsia"/>
                <w:kern w:val="0"/>
                <w:szCs w:val="21"/>
              </w:rPr>
              <w:lastRenderedPageBreak/>
              <w:t xml:space="preserve">提供具有CMA标识的第三方机构检验报告，并加盖原厂公章）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6.色域覆盖率 100% ，YLV(PAL) 色域覆盖率≥170% ，支持 BT.2020、DCI-P3、BT.709、SRGB 等多种色域转换；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7.静态对比度 ≥10000:1，动态对比度≥15000:1；色温≥1000K-15000K 可调，可支持 100%、75%、50%、25%四挡电平白场调节色温温差≤200K；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8.亮度均匀性≥99%，整屏平整度≤0.05mm，模组间缝隙≤0.1mm，发光点中心距偏差≤0.15%，刷新率≥3840Hz；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9.换帧频率：50/60/120/240Hz，支持帧率倍频，刷新帧率倍频；</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▲10.具备以下功能：</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 xml:space="preserve">1）灯驱合一，支持 PCB 采用沉金工艺，镀金厚度≥2μ，支持机械性能，电性能，耐高湿性能，耐焊接性能，符合GB/T 4588.3-2002； </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2）峰值功耗：≤400W/m</w:t>
            </w:r>
            <w:r w:rsidRPr="008131DD">
              <w:rPr>
                <w:rFonts w:ascii="宋体" w:hAnsi="宋体" w:cs="宋体" w:hint="eastAsia"/>
                <w:kern w:val="0"/>
                <w:szCs w:val="21"/>
              </w:rPr>
              <w:t>²</w:t>
            </w:r>
            <w:r w:rsidRPr="008131DD">
              <w:rPr>
                <w:rFonts w:ascii="仿宋" w:eastAsia="仿宋" w:hAnsi="仿宋" w:cs="仿宋" w:hint="eastAsia"/>
                <w:kern w:val="0"/>
                <w:szCs w:val="21"/>
              </w:rPr>
              <w:t>，平均功耗：≤120W/m</w:t>
            </w:r>
            <w:r w:rsidRPr="008131DD">
              <w:rPr>
                <w:rFonts w:ascii="宋体" w:hAnsi="宋体" w:cs="宋体" w:hint="eastAsia"/>
                <w:kern w:val="0"/>
                <w:szCs w:val="21"/>
              </w:rPr>
              <w:t>²</w:t>
            </w:r>
            <w:r w:rsidRPr="008131DD">
              <w:rPr>
                <w:rFonts w:ascii="仿宋" w:eastAsia="仿宋" w:hAnsi="仿宋" w:cs="仿宋" w:hint="eastAsia"/>
                <w:kern w:val="0"/>
                <w:szCs w:val="21"/>
              </w:rPr>
              <w:t>，带电黑屏的睡眠功率：≤30W/m</w:t>
            </w:r>
            <w:r w:rsidRPr="008131DD">
              <w:rPr>
                <w:rFonts w:ascii="宋体" w:hAnsi="宋体" w:cs="宋体" w:hint="eastAsia"/>
                <w:kern w:val="0"/>
                <w:szCs w:val="21"/>
              </w:rPr>
              <w:t>²</w:t>
            </w:r>
            <w:r w:rsidRPr="008131DD">
              <w:rPr>
                <w:rFonts w:ascii="仿宋" w:eastAsia="仿宋" w:hAnsi="仿宋" w:cs="仿宋" w:hint="eastAsia"/>
                <w:kern w:val="0"/>
                <w:szCs w:val="21"/>
              </w:rPr>
              <w:t>；</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3）平均无故障运行时间（MTBF）≥150000小时，平均修复时间（MTTR）≤3分钟，使用寿命≥150000小时，像素失控率≤1/1000000；</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4）屏体正面为黑色亚光处理，反光率≤1.5%，防眩光，亮度误差值在3%</w:t>
            </w:r>
            <w:r w:rsidRPr="008131DD">
              <w:rPr>
                <w:rFonts w:ascii="仿宋" w:eastAsia="仿宋" w:hAnsi="仿宋" w:hint="eastAsia"/>
                <w:szCs w:val="21"/>
              </w:rPr>
              <w:t>；</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5）蓝光危害辐亮度≤5.7W/㎡/sr对人眼无伤害；</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6）符合在10Lux/5600K照度下，对屏幕表面进行光反射率试验，屏幕表面光反射率(单位面积反射亮度)＜3cd/m</w:t>
            </w:r>
            <w:r w:rsidRPr="008131DD">
              <w:rPr>
                <w:rFonts w:ascii="宋体" w:hAnsi="宋体" w:cs="宋体" w:hint="eastAsia"/>
                <w:kern w:val="0"/>
                <w:szCs w:val="21"/>
              </w:rPr>
              <w:t>²</w:t>
            </w:r>
            <w:r w:rsidRPr="008131DD">
              <w:rPr>
                <w:rFonts w:ascii="仿宋" w:eastAsia="仿宋" w:hAnsi="仿宋" w:cs="仿宋" w:hint="eastAsia"/>
                <w:kern w:val="0"/>
                <w:szCs w:val="21"/>
              </w:rPr>
              <w:t>；</w:t>
            </w:r>
          </w:p>
          <w:p w:rsidR="00ED4B8C" w:rsidRPr="008131DD" w:rsidRDefault="00ED4B8C" w:rsidP="003E322D">
            <w:pPr>
              <w:widowControl/>
              <w:numPr>
                <w:ilvl w:val="255"/>
                <w:numId w:val="0"/>
              </w:numPr>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（以上功能需提供具有CMA标识的第三方机构检验报告，并加盖原厂公章）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11.显示屏电源功率因数 ≥0.95，电源效率≥90%；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4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12.LED支架结构及边条：</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1）LED支架结构及边条安装结构具有耐盐雾腐蚀性能和抗氧化性；</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2）有防高温、阻燃、防静电防护措施；</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3）采用钢结构支架设计；</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4）支持前维护安装，镀锌方管焊接；</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5）定制边条;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719"/>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13.LED大屏供电及控制设备：</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1）纯硬件设计架构，19英寸标准机架式安装，金属结构机箱;</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2）整机机箱可接入不少于28路信号输入、不少于16路信号输出，输入接口支持单链路和双链路输入模式切换，本次配置要求不低于16路HDMI信号输入，不低于16路HDMI信号输出；</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3）输出板卡支持不少于8个图层，支持图层在输出接口间漫游，可进行图层参数设置;</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4）支持双主控卡热备份功能，主备卡实时同步设备固件程序和用户数据，主卡掉线的情况下，备卡自动接管设备;</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5）支持对输入图像画面添加台标，可调整台标文字背景、位置；支持 OSD 文字叠加显示，并可对OSD属性进行调节，包括但不限于字体间距、颜色、透明度等;</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6）支持场景设置，支持多场景分组合、场景一键轮巡等;</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7）可监测设备温度、电压、风扇在线状态，可监测板卡信号状态，可上报预警提示信息；</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8）系统具备良好的兼容性，拼接器配置软件至少支持windows 、麒麟、IOS、Android 、Linux等操作系统访问设备及交互操作;</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9）满足LED显示屏带载数量的发送盒；</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10）LED专用PLC智能配电箱不低于40kw。</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11）控制工作站1台，CPU性能≥6核，硬盘容量≥1T，内存≥8G。</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全彩LED显示屏2</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★1.点间距≤1.54mm，像素点≥422500点/m</w:t>
            </w:r>
            <w:r w:rsidRPr="008131DD">
              <w:rPr>
                <w:rFonts w:ascii="宋体" w:hAnsi="宋体" w:cs="宋体" w:hint="eastAsia"/>
                <w:kern w:val="0"/>
                <w:szCs w:val="21"/>
              </w:rPr>
              <w:t>²</w:t>
            </w:r>
            <w:r w:rsidRPr="008131DD">
              <w:rPr>
                <w:rFonts w:ascii="仿宋" w:eastAsia="仿宋" w:hAnsi="仿宋" w:cs="仿宋" w:hint="eastAsia"/>
                <w:kern w:val="0"/>
                <w:szCs w:val="21"/>
              </w:rPr>
              <w:t>，屏幕尺寸：宽≥8.32m，高≥3.36m；（需提供具有CMA标识的第三方机构检验报告或技术白皮书或其它材料并加盖原厂公章）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2.单元箱体尺寸：640mm×480mm，整机采用压铸铝合金箱体，保证箱体拼接的平整度和密闭防尘性、防火性能，箱体拉伸强度≥300Mpa，硬度≥80HB；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3.亮度≥800cd/m</w:t>
            </w:r>
            <w:r w:rsidRPr="008131DD">
              <w:rPr>
                <w:rFonts w:ascii="宋体" w:hAnsi="宋体" w:cs="宋体" w:hint="eastAsia"/>
                <w:kern w:val="0"/>
                <w:szCs w:val="21"/>
              </w:rPr>
              <w:t>²</w:t>
            </w:r>
            <w:r w:rsidRPr="008131DD">
              <w:rPr>
                <w:rFonts w:ascii="仿宋" w:eastAsia="仿宋" w:hAnsi="仿宋" w:cs="仿宋" w:hint="eastAsia"/>
                <w:kern w:val="0"/>
                <w:szCs w:val="21"/>
              </w:rPr>
              <w:t>，0-100%任意可调，软件0-255级可调，亮度鉴别等级不低于C级BJ≥20；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4.前维护设计，可在正面拆卸、安装，支持带电维护，热插拔，支持单点维修更换；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5.基色主波长误差满足C级，ΔλD≤5±1nm；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6.色域覆盖率 100% ，YLV(PAL) 色域覆盖率≥170% ，支持 BT.2020、DCI-P3、BT.709、SRGB 等多种色域转换；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7.静态对比度 ≥10000:1，动态对比度≥15000:1；色温≥1000K-15000K 可调，可支持 100%、75%、50%、25%四挡电平白场调节色温温差≤200K；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8.换帧频率：50/60/120/240Hz，支持帧率倍频，刷新帧率倍频；</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9.灯驱合一，支持 PCB 采用沉金工艺，镀金厚度≥2μ，支持机械性能，电性能，耐高湿性能，耐焊接性能，符合 GB/T 4588.3-2002；</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10.峰值功耗：≤400W/m</w:t>
            </w:r>
            <w:r w:rsidRPr="008131DD">
              <w:rPr>
                <w:rFonts w:ascii="宋体" w:hAnsi="宋体" w:cs="宋体" w:hint="eastAsia"/>
                <w:kern w:val="0"/>
                <w:szCs w:val="21"/>
              </w:rPr>
              <w:t>²</w:t>
            </w:r>
            <w:r w:rsidRPr="008131DD">
              <w:rPr>
                <w:rFonts w:ascii="仿宋" w:eastAsia="仿宋" w:hAnsi="仿宋" w:cs="仿宋" w:hint="eastAsia"/>
                <w:kern w:val="0"/>
                <w:szCs w:val="21"/>
              </w:rPr>
              <w:t>，平均功耗：≤120W/m</w:t>
            </w:r>
            <w:r w:rsidRPr="008131DD">
              <w:rPr>
                <w:rFonts w:ascii="宋体" w:hAnsi="宋体" w:cs="宋体" w:hint="eastAsia"/>
                <w:kern w:val="0"/>
                <w:szCs w:val="21"/>
              </w:rPr>
              <w:t>²</w:t>
            </w:r>
            <w:r w:rsidRPr="008131DD">
              <w:rPr>
                <w:rFonts w:ascii="仿宋" w:eastAsia="仿宋" w:hAnsi="仿宋" w:cs="仿宋" w:hint="eastAsia"/>
                <w:kern w:val="0"/>
                <w:szCs w:val="21"/>
              </w:rPr>
              <w:t>，带电黑屏的睡眠功率：≤30W/m</w:t>
            </w:r>
            <w:r w:rsidRPr="008131DD">
              <w:rPr>
                <w:rFonts w:ascii="宋体" w:hAnsi="宋体" w:cs="宋体" w:hint="eastAsia"/>
                <w:kern w:val="0"/>
                <w:szCs w:val="21"/>
              </w:rPr>
              <w:t>²</w:t>
            </w:r>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11.平均无故障运行时间（MTBF）≥150000 小时，平均修复时间（MTTR）≤3 分钟，使用寿命≥150000 小时，像素失控率≤1/1000000；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12.屏体正面为黑色亚光处理，反光率≤1.5%，防眩光，亮度误差值在3%；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13.蓝光危害辐亮度≤5.7W/㎡/sr对人眼无伤害；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14.显示屏电源功率因数 ≥0.95，电源效率≥90%；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15.LED支架结构及边条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1）安装结构具有耐盐雾腐蚀性能和抗氧化性；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2）有防高温、阻燃、防静电防护措施；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3）采用高精度钢结构支架设计；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4）支持前维护安装，镀锌方管焊接；</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5）定制边条。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16.LED大屏供电及控制设备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1）纯硬件设计架构，19英寸标准机架式安装，金属结构机箱;</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2）整机机箱可接入不少于28路信号输入、不少于16路信号输出，输入接口支持单链路和双链路输入模式切换，配置要求不低于16路HDMI信号输入，不低于16路HDMI信号输出；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3）输出板卡支持不少于8个图层，支持图层在输出接口间漫游，可进行图层参数设置;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4）支持双主控卡热备份功能，主备卡实时同步设备固件程序和用户数据，主卡掉线的情况下，备卡自动</w:t>
            </w:r>
            <w:r w:rsidRPr="008131DD">
              <w:rPr>
                <w:rFonts w:ascii="仿宋" w:eastAsia="仿宋" w:hAnsi="仿宋" w:cs="仿宋" w:hint="eastAsia"/>
                <w:kern w:val="0"/>
                <w:szCs w:val="21"/>
              </w:rPr>
              <w:lastRenderedPageBreak/>
              <w:t>接管设备;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5）支持对输入图像画面添加台标，可调整台标文字背景、位置；支持 OSD 文字叠加显示，并可对OSD属性进行调节，包括但不限于字体间距、颜色、透明度等;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6）支持场景设置，支持多场景分组合、场景一键轮巡等;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7）可监测设备温度、电压、 风扇在线状态，可监测板卡信号状态，可上报预警提示信息；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8)系统具备良好的兼容性，拼接器配置软件至少支持windows 、麒麟、IOS、Android 、Linux等操作系统访问设备及交互操作;</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9)满足LED显示屏带载数量的发送盒；</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10)LED专用PLC智能配电箱不低于30kw。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11)控制工作站1台，CPU性能≥6核，硬盘容量≥1T，内存≥8G。</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电子会标</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1.点间距≤2.5mm，像素点≥160000点/m</w:t>
            </w:r>
            <w:r w:rsidRPr="008131DD">
              <w:rPr>
                <w:rFonts w:ascii="宋体" w:hAnsi="宋体" w:cs="宋体" w:hint="eastAsia"/>
                <w:kern w:val="0"/>
                <w:szCs w:val="21"/>
              </w:rPr>
              <w:t>²</w:t>
            </w:r>
            <w:r w:rsidRPr="008131DD">
              <w:rPr>
                <w:rFonts w:ascii="仿宋" w:eastAsia="仿宋" w:hAnsi="仿宋" w:cs="仿宋" w:hint="eastAsia"/>
                <w:kern w:val="0"/>
                <w:szCs w:val="21"/>
              </w:rPr>
              <w:t>，单元尺寸:320mmX160mm；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2.亮度≥800cd/m</w:t>
            </w:r>
            <w:r w:rsidRPr="008131DD">
              <w:rPr>
                <w:rFonts w:ascii="宋体" w:hAnsi="宋体" w:cs="宋体" w:hint="eastAsia"/>
                <w:kern w:val="0"/>
                <w:szCs w:val="21"/>
              </w:rPr>
              <w:t>²</w:t>
            </w:r>
            <w:r w:rsidRPr="008131DD">
              <w:rPr>
                <w:rFonts w:ascii="仿宋" w:eastAsia="仿宋" w:hAnsi="仿宋" w:cs="仿宋" w:hint="eastAsia"/>
                <w:kern w:val="0"/>
                <w:szCs w:val="21"/>
              </w:rPr>
              <w:t>，0-100%任意可调，软件0-255级可调，亮度鉴别等级不低于C级BJ≥20；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3.基色主波长误差满足C级，ΔλD≤5±1nm；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4.静态对比度 ≥10000:1，动态对比度≥15000:1；色温≥1000K-15000K 可调，可支持 100%、75%、50%、25%四挡电平白场调节色温温差≤200K；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5.亮度均匀性≥99%，整屏平整度≤0.05mm，模组间缝隙≤0.1mm，发光点中心距偏差≤0.15%，刷新率≥3840Hz；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6.低亮高灰：100%亮度时，16bit 灰度；50%亮度时，14bit 灰度；20%亮度时，12bit 灰度；</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7.换帧频率：50/60/120/240Hz，支持帧率倍频，刷新帧率倍频；</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8.灯驱合一，支持 PCB 采用沉金工艺，镀金厚度≥2μ，支持机械性能，电性能，耐高湿性能，耐焊接性能，符合 GB/T 4588.3-2002；</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9.峰值功耗：≤400W/m</w:t>
            </w:r>
            <w:r w:rsidRPr="008131DD">
              <w:rPr>
                <w:rFonts w:ascii="宋体" w:hAnsi="宋体" w:cs="宋体" w:hint="eastAsia"/>
                <w:kern w:val="0"/>
                <w:szCs w:val="21"/>
              </w:rPr>
              <w:t>²</w:t>
            </w:r>
            <w:r w:rsidRPr="008131DD">
              <w:rPr>
                <w:rFonts w:ascii="仿宋" w:eastAsia="仿宋" w:hAnsi="仿宋" w:cs="仿宋" w:hint="eastAsia"/>
                <w:kern w:val="0"/>
                <w:szCs w:val="21"/>
              </w:rPr>
              <w:t>，平均功耗：≤120W/m</w:t>
            </w:r>
            <w:r w:rsidRPr="008131DD">
              <w:rPr>
                <w:rFonts w:ascii="宋体" w:hAnsi="宋体" w:cs="宋体" w:hint="eastAsia"/>
                <w:kern w:val="0"/>
                <w:szCs w:val="21"/>
              </w:rPr>
              <w:t>²</w:t>
            </w:r>
            <w:r w:rsidRPr="008131DD">
              <w:rPr>
                <w:rFonts w:ascii="仿宋" w:eastAsia="仿宋" w:hAnsi="仿宋" w:cs="仿宋" w:hint="eastAsia"/>
                <w:kern w:val="0"/>
                <w:szCs w:val="21"/>
              </w:rPr>
              <w:t>，带电黑屏的睡眠功率：≤30W/m</w:t>
            </w:r>
            <w:r w:rsidRPr="008131DD">
              <w:rPr>
                <w:rFonts w:ascii="宋体" w:hAnsi="宋体" w:cs="宋体" w:hint="eastAsia"/>
                <w:kern w:val="0"/>
                <w:szCs w:val="21"/>
              </w:rPr>
              <w:t>²</w:t>
            </w:r>
            <w:r w:rsidRPr="008131DD">
              <w:rPr>
                <w:rFonts w:ascii="仿宋" w:eastAsia="仿宋" w:hAnsi="仿宋" w:cs="仿宋" w:hint="eastAsia"/>
                <w:kern w:val="0"/>
                <w:szCs w:val="21"/>
              </w:rPr>
              <w:t xml:space="preserve">；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10.蓝光危害辐亮度≤5.7W/㎡/sr对人眼无伤害；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11.显示屏电源功率因数 ≥0.95，电源效率≥90%；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支架结构</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1.安装结构具有耐盐雾腐蚀性能和抗氧化性；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2.有防高温、阻燃、防静电防护措施；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3.采用高精度钢结构支架设计；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4.支持前维护安装，镀锌方管焊接；</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固定结构</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1.定制支架，现场定制型材结构;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2.需由原厂商制作和安装钢结构;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控制卡</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1.设备处理器不低于4核心，每个核心处理器不低于1.8GHz；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2.带载宽度不少于4096；</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3.支持主流视频格式：MPG、AVI、MP4、RMVB、MKV、MOV。支持主流图片格式：JPG、PNG、GIF、BMP、JPEG。支持主流文档格式：PDF、PPT、WORD、EXCEL。支持流媒体协议：HLS、RTMP、RTSP;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4.支持4K @60Hz、H265, H264、VP9 视频硬解码播放。支持多路视频开窗，2路4K、6路1080P、10路720P、20路360P;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5.支持USB3.0接口，支持U盘节目导入播放和即插即播两种方式;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6.支持不少于板载1路继电器，可以实现显示屏远程断上电功能。支持不少于2路航空插头，可以定时或者手动调节显示屏亮度;</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7.支持Wifi ap和Wifi sta可以随时切换。支持同步异步双模式，支持外部HDMI输入与内部播放功能；并且支持HDMI 环出功能;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8.HDMI环出输出功能，支持外部HDMI输入的环出也可以切换到内部播放内容的环出;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9.支持千兆以太网通信。支持板载4G模块和5G模块;</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10.支持手动、射频模块、GPS和NTP对时同步播放机制;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11.支持不少于1路3.5mm音频输出接口;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12.支持网页自动浏览刷新等;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13.支持SNMP协议或标准SDK协议;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14.使用环境温度-20—60摄氏度;</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jc w:val="left"/>
              <w:rPr>
                <w:rFonts w:ascii="仿宋" w:eastAsia="仿宋" w:hAnsi="仿宋" w:cs="仿宋"/>
                <w:szCs w:val="21"/>
              </w:rPr>
            </w:pPr>
            <w:r w:rsidRPr="008131DD">
              <w:rPr>
                <w:rFonts w:ascii="仿宋" w:eastAsia="仿宋" w:hAnsi="仿宋" w:cs="仿宋" w:hint="eastAsia"/>
                <w:kern w:val="0"/>
                <w:szCs w:val="21"/>
              </w:rPr>
              <w:t>15.操作系统不低于Android 11</w:t>
            </w:r>
            <w:r w:rsidRPr="008131DD">
              <w:rPr>
                <w:rFonts w:ascii="仿宋" w:eastAsia="仿宋" w:hAnsi="仿宋" w:cs="仿宋"/>
                <w:kern w:val="0"/>
                <w:szCs w:val="21"/>
                <w:lang w:bidi="ar"/>
              </w:rPr>
              <w:t>、HarmonyOS、Linux及以上或同等级操作系统</w:t>
            </w:r>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鹅颈会议话筒</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1.话筒具有LED红色指示灯；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▲2.可采用48V或内置电池或电源适配器供电；（需提供接口截图并加盖原厂公章）；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3.换能方式：电容式；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4.频率响应：≥20Hz-20kHz；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5.指向性：超心型向性；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6.输出阻抗（欧姆）：≥200Ω；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7.灵敏度：-48dB±2dB；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8.最高输入音量：≥118dB声压；</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9.信噪比：≥81dB；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▲10.开关:电子轻触(带LED)（需提供产品实物图片并加盖原厂公章）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无线手持话筒（一拖二）</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发射机功能参数：</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1.管身材质：全铝金属管体；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2.振荡模式：PLL相位锁定频率合成；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频率范围可选470-510MHz，530-598MHz，630-698MHz，807-830MHz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4.谐波幅射：＜55dBc；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5.最大偏移度：±48KHz；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6.音头：动圈式；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7.操作显示：LCD同时显示电池容量，频道；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接收机功能参数：</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8.频率范围可选470-510MHz，530-598MHz，630-698MHz，807-830MHz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9.频率宽度：≥50MHz；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10.综合S/N比：≥102</w:t>
            </w:r>
            <w:r w:rsidRPr="008131DD">
              <w:rPr>
                <w:rFonts w:hint="eastAsia"/>
              </w:rPr>
              <w:t>dB</w:t>
            </w:r>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11.综合T.H.D：＜0.5%@1KHz；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▲12.前面板具有通道选择按键，视窗可显示电量显示和欠压警告，数字音量、频率信道、信号指示和工作状态等信息功能；（需提供面板截图并加盖原厂公章）；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13.配套带有充电底座可支持手持与领夹头戴充电使用；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无线领夹话筒（一拖二）</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发射机功能参数：</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1.管身材质：全铝金属管体；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2.振荡模式：PLL相位锁定频率合成；</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频率范围可选470-510MHz，530-598MHz，630-698MHz，807-830MHz；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4.谐波幅射：＜55dBc；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5.最大偏移度：±48KHz；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6.音头：动圈式；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7.操作显示：LCD同时显示电池容量，频道；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接收机功能参数：</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1.频率范围可选470-510MHz，530-598MHz，630-698MHz，807-830MHz；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2.频率宽度：≥50MHz；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3.综合S/N比：≥102</w:t>
            </w:r>
            <w:r w:rsidRPr="008131DD">
              <w:rPr>
                <w:rFonts w:hint="eastAsia"/>
              </w:rPr>
              <w:t>dB</w:t>
            </w:r>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4.综合T.H.D：＜0.5%@1KHz；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▲5.前面板具有通道选择按键，视窗可显示电量显示和欠压警告，数字音量、频率信道、信号指示和工作状态等信息功能；</w:t>
            </w:r>
            <w:r w:rsidRPr="008131DD">
              <w:rPr>
                <w:rFonts w:ascii="仿宋" w:eastAsia="仿宋" w:hAnsi="仿宋" w:cs="仿宋" w:hint="eastAsia"/>
                <w:kern w:val="0"/>
              </w:rPr>
              <w:t>（需提供具有CMA标识的第三方机构检验报告，并加盖原厂公章）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6.配套带有充电底座可支持手持与领夹头戴充电使用；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天线分配器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1.高频信号输入：≥2路BNC输入；</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2.输入端信号灵敏度：不劣于+32dBm；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3.放大信号输出: ≥8路BNC输出+ ≥2路BNC备用级联输出；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4.系统DC输出：≥4路DC  12V/1A 输出（为接收机供电）；</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5.输出/入阻抗： 50 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有源宽频天线</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1.天线类型：对数周期指向（LPDA）；</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2.频率范围：400-950MHz；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3.输出接口：卡口母座（BNC)；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4.天线阻抗：50 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▲5.内置强波器：+2db,+6db,+8db,+12db（四档可调）（需提供档位截图并加盖原厂公章）；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6.工作状态指示：具有电源与增益量LED指示；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7.指向性：水平≥90°垂直≥60°；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8.指向极性：垂直极化；</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耦合器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1.具备≥2路射频信号集合成1路射频信号功能，具备12V增幅电压传送功能；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2.BNC接口不仅能传输射频信号，也可以传送增幅电压；</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3.頻率范围：450～970MHZ；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4.增益：≥-3dB；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5.输入接口：BNC；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6.输出接口：BNC；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7.阻抗：50Ω；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全频功率放大器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▲1.网络接口：≥2路，前面板具有液晶显示屏，实时查看功放各通道运行状态，通道数据.显示增益.温度等信息（需提供面板截图并加盖原厂公章）；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2.串音衰减(1kHz)：≥70dB；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3.功放具备独立欧姆接口、卡农接口，能够结合项目现场使用环境，适配不同连接方案；</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4.额定功率：≥2×300W/8Ω，≥2×450W/4Ω；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5.频率响应：20Hz～20kHz±1dB；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6.输入灵敏度：0dBu（0.775V）；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7.输入阻抗：平衡20kΩ，非平衡10kΩ；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8.总谐波失真(1kHz)：≤0.1%；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9.信噪比(A计权)：≥100dB；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反馈抑制器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1.具有全自动一键智能反馈技术；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▲2.配备双网口，RS-485，USB接口实现快速配置及远程调试和监控；（需提供接口截图并加盖原厂公章）；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3.具备输入电平检测指示；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4.具备电子平衡输入和输出端口：XLR和TRS；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5.输入通道：≥2通道平衡/非平衡；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6.输出通道：≥2通道平衡/非平衡；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7.频率响应：40HZ-20KHZ；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8.信噪比：≥105DB；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9.陷波器点数：动态自动切换；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10.倍超取样，采样率：48KHZ；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11.谐波失真：＜0.03%；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数字音频处理器1</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1.具备可视化反馈啸叫显示功能，有效抑制更多啸叫点的形成；</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2.内置双DSP芯片；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3.支持PC、中控平台、按键面板、触摸面板等方式进行多重控制；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4.不少于8路平衡式话筒\线路输入，采用凤凰插接口；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5.不少于8路平衡式输出，采用凤凰插接口；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6.内置不少于16通道数字信号输入及16通道数字信号输出的Dante网络音频传输接口；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7.所有Dante输入通道及输出通道的信号处理具有与模拟通道一样的信号处理功能；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8.至少具备以下算法功能：内置信号发生器、自动混</w:t>
            </w:r>
            <w:r w:rsidRPr="008131DD">
              <w:rPr>
                <w:rFonts w:ascii="仿宋" w:eastAsia="仿宋" w:hAnsi="仿宋" w:cs="仿宋" w:hint="eastAsia"/>
                <w:kern w:val="0"/>
                <w:szCs w:val="21"/>
              </w:rPr>
              <w:lastRenderedPageBreak/>
              <w:t>音（AM）、自动增益控制（AGC）、反馈消除（AFC）、回声消除（AEC）、噪声消除（ANC）；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9.输入每通道具备以下功能：前级放大、信号发生器、扩展器、压缩器、31段参量均衡；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10.内置自动摄像跟踪功能，支持场景预设功能，断电自动保护记忆功能；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16路数字调音台</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1.可触摸屏幕尺寸≥10英寸；</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2.支持中文系统；</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3.电动推子≥9个；</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▲4.MIC话筒输入物理接口≥16路</w:t>
            </w:r>
            <w:r w:rsidRPr="008131DD">
              <w:rPr>
                <w:rFonts w:ascii="仿宋" w:eastAsia="仿宋" w:hAnsi="仿宋" w:hint="eastAsia"/>
                <w:szCs w:val="21"/>
              </w:rPr>
              <w:t>（需提供具有CMA标识的第三方机构检验报告，并加盖原厂公章）</w:t>
            </w:r>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 BUS总线输出接口≥6路；主输出接口≥2路，耳机监听接口≥1路，卡农监听接口≥2路；（需提供产品接口图片并加盖原厂公章）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▲6.FBC反馈抑制器≥4路；（需提供产品功能图片并加盖原厂公章）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7.自动混音≥16路;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8.采样率≥96KHz；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9.蓝牙模块≥1个；</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10.OTG内录音频接口≥1个；</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11支持TCP中控协议控制；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12.支持电脑软件安卓、IOS APP无线局域网控制；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32路数字调音台</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1.触屏≥10英寸；</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▲2.MIC话筒输入物理接口≥31路，采样率96KHz设置；</w:t>
            </w:r>
            <w:r w:rsidRPr="008131DD">
              <w:rPr>
                <w:rFonts w:ascii="仿宋" w:eastAsia="仿宋" w:hAnsi="仿宋" w:cs="仿宋" w:hint="eastAsia"/>
                <w:kern w:val="0"/>
              </w:rPr>
              <w:t>（需提供具有CMA标识的第三方机构检验报告，并加盖原厂公章）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▲3.BUS总线输出接口≥16路；主输出接口≥2路，耳机监听接口≥1路，卡农监听接口≥2路；（需提供接口截图并加盖原厂公章）;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▲4.数字矩阵MXT≥8路，User Keys 用户快捷键≥16个，FBC反馈抑制器≥8路，Ducker闪避器≥24路，Group DCA编组≥16组，Group MUTE编组≥8组，TB/OSC（临时信号强切）模组；（需提供产品功能图片并加盖原厂公章）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5.AES立体声输出≥1路；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6.可扩展输入通道≥12路；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7.User Layer 用户层≥4层；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8.带有PINK测试信号≥2种频率；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9.支持中文系统；</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kern w:val="0"/>
                <w:szCs w:val="21"/>
              </w:rPr>
            </w:pPr>
            <w:r w:rsidRPr="008131DD">
              <w:rPr>
                <w:rFonts w:ascii="仿宋" w:eastAsia="仿宋" w:hAnsi="仿宋" w:cs="仿宋"/>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10.带有31段EQ（图示均衡器）模组；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11.Auto Mixer（自动混音）模组≥16路；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12.支持TCP中控协议控制网口≥1路；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13.支持 电脑 软件 安卓、IOS APP无线局域网控制；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数字音频处理器2</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1.具备可视化反馈啸叫显示功能，有效抑制更多啸叫点的形成；</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2.具备内置双DSP芯片；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3.不少于16路平衡式话筒\线路输入，采用凤凰插接口；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4.不少于16路平衡式输出，采用凤凰插接口；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5.内置不少于16通道数字信号输入及不少于16通道数字信号输出的Dante网络音频传输接口；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6.所有Dante输入通道及输出通道的信号处理具有与模拟通道一样的信号处理功能；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7.具备以下主要算法功能：内置信号发生器、自动混音（AM）、自动增益控制（AGC）、反馈消除（AFC）、回声消除（AEC）、噪声消除（ANC）；</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8.输入每通道至少具备以下：前级放大、信号发生器、扩展器、压缩器、5段参量均衡；</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9.具备内置自动摄像跟踪功能，支持场景预设功能；断电自动保护记忆功能；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▲10.RS-232双向串行控制接口；可控制外部其它设备如：视频矩阵、摄像机等RS-232设备，或接收第三方RS-232控制；（需提供具有CMA标识的第三方机构检验报告，并加盖原厂公章）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多合一有源垂直阵列音柱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1.单元类型：MF:≥16×3.5”；HF:≥2×1"；（需提供具有CMA标识的第三方机构检验报告，并加盖原厂公章）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2.频率响应：40-20000Hz；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3.水平指向角度：大于或等于120°；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4.额定功率：不少于800W；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5.最大声压级：不少于136dB；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6.具有多重限幅，过载保护；</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7.多合一有源垂直阵列音柱配套低音扬声器设备;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8.单元类型：LF：2×12"或更优；</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549"/>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强指向性音柱功率放大</w:t>
            </w:r>
            <w:r w:rsidRPr="008131DD">
              <w:rPr>
                <w:rFonts w:ascii="仿宋" w:eastAsia="仿宋" w:hAnsi="仿宋" w:cs="仿宋" w:hint="eastAsia"/>
                <w:kern w:val="0"/>
                <w:szCs w:val="21"/>
              </w:rPr>
              <w:lastRenderedPageBreak/>
              <w:t>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lastRenderedPageBreak/>
              <w:t>▲1.网络通道接口：≥2路（需提供面板截图并加盖原厂公章）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▲2.前面板具有液晶显示屏，实时查看功放各通道运行状态，通道数据、显示增益、温度等信息;（需提供具有CMA标识的第三方机构检验报告，并加盖原厂公章）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3.功放具有独立的欧姆和凤凰端子接口，根据使用环境不同选择链接方式;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 功率：≥8Ω 2×800W/≥4Ω 2×1400W;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6.随动式电压转换;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7.信噪比(A计权)&gt;106dB;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8.频率响应（±0.5dB）20Hz-20kHz;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9.阻尼系数（63Hz）&gt;500;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10.失真（1kHz）&lt;0.03%;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274"/>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强指向性音柱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1.驱动组件: ≥8x4.5"全频单元直射排列;</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2.频率响应: 100Hz-20kHz(±3dB);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3.平均功率: ≥320W;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4.峰值功率: ≥640W;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5.阻抗: ≥8Ω;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6.灵敏度(1W/1M): ≥99dB;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7.输出声压级: ≥126dB;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8.扩散角度(HxV): ≥160° x 10°;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▲9.信号连接件: ≥2xNL4音箱插座，4P凤凰端子;（需提供设备截图并加盖原厂公章）;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FFFFFF"/>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FFFFFF"/>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shd w:val="clear" w:color="auto" w:fill="FFFFFF"/>
              </w:rPr>
              <w:t>壁挂架</w:t>
            </w:r>
          </w:p>
        </w:tc>
        <w:tc>
          <w:tcPr>
            <w:tcW w:w="2904" w:type="pct"/>
            <w:shd w:val="clear" w:color="auto" w:fill="FFFFFF"/>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1.水平方向可调≥45°;</w:t>
            </w:r>
          </w:p>
        </w:tc>
        <w:tc>
          <w:tcPr>
            <w:tcW w:w="867" w:type="pct"/>
            <w:shd w:val="clear" w:color="auto" w:fill="FFFFFF"/>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448"/>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FFFF00"/>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2.垂直方向可调≥30°;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FFFF00"/>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3.载重不小于20KG;</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kern w:val="0"/>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FFFF00"/>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szCs w:val="21"/>
              </w:rPr>
              <w:t>4.采用冷轧钢，静电喷塑工艺，防腐等级大于等于C1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r w:rsidRPr="008131DD">
              <w:rPr>
                <w:rFonts w:ascii="仿宋" w:eastAsia="仿宋" w:hAnsi="仿宋" w:cs="仿宋" w:hint="eastAsia"/>
                <w:szCs w:val="21"/>
              </w:rPr>
              <w:t>150W吸顶音箱功率放大器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1.保护系统：直流、短路、过热、软启动、输出/输入过载保护；</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31"/>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2.冷却系统：智能温控连续变速风扇；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8Ω额定功率RMS：≥4×350W；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4.频率响应：20Hz-20kHz（±0.5dB）；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5.转换速率：≥45V/μs；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6.阻尼系数：&gt;1000；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7.信噪比：≥109dB；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8.分离度：&gt;100dB@8Ω 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9.总谐波失真：≤0.05%@8Ω1KHz；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10.输入连接器：至少具有2个三芯XLR母座/2个三芯XLR公座；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▲11.输出连接器：具有凤凰插/2个NL4FX四芯音箱连接器（需提供接口截图并加盖原厂公章）。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350W吸顶音箱功率放大器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1.保护系统：直流、短路、过热、软启动、输出/输入过载保护；</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2.冷却系统：具备智能温控风扇；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8Ω额定功率RMS：≥4×350W；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4.频率响应：20Hz-20kHz（±0.5dB）；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5.转换速率：≥45V/μs；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6.阻尼系数：&gt;1000；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7.信噪比：≥109dB；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8.分离度：&gt;100dB@8Ω 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9.总谐波失真：≤0.05%@8Ω1KHz；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10.输入连接器：至少具有2个三芯XLR母座/2个三芯XLR公座；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▲11.输出连接器：具有凤凰插/2个NL4FX四芯音箱连接器（需提供接口截图并加盖原厂公章）。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吸顶音箱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1.具备定压定阻多档位旋钮；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2.低音单元: 不低于6.5英寸×1；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3.频率响应(1Watt@1m):65Hz-20kHz(-3dB)；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4.灵敏度:≥96dB；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5.最大声压级:≥113dB；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 标称阻抗：8Ω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▲7.具有功率切换旋钮支持:15W/30W/60w(AES)；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8.支持具备定压定阻两用功能；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数字会议设备主机1</w:t>
            </w: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1.采用数字化处理和传输技术，传输距离不低于250米;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2.具备内置环境噪音消除器、数字均衡电路、自适应反馈抑器等功能;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3.连接方式支持6芯DIN带屏蔽线缆或超六类带屏蔽网线;</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4.系统主机具有双机热备份模式功能，可把主机设为热备份模式级联进行系统备份;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5.触摸屏尺寸不少于4英寸，内嵌式Linux、Android、HarmonyOS控制系统，支持中文操作界面;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▲6.会议模式：自由模式、轮替模式、限制模式、申请模式、计时模式、声控模式、PTT模式、VIP模式;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7.具有1路5V消防联动警报接口;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8.具有USB录播功能，可对会议进行录音，并能播放U盘存储的音频文件;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9.内置不少于4进4出高清摄像跟踪切换模块，无须配置电脑，可脱机进行视频跟踪;</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10.单机具备不少于512个摄像机位置自动跟踪控制点;</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11主机可以集中调节会议单元的输出增益，并可设定设置音频调节锁定;</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12.具有DATA网络控制接口，控制网线可延长至1000米;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13.系统支持接入电容麦克风或动圈麦克风;</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14.不少于4路话筒输出六芯单元每路可接驳至少30个会议发言单元，单台主机可接驳至少120个会议单元。不少于4路话筒输出网线单元每个接口可接驳至少15个会议发言单元，单台主机可接驳至少60个会议单元;</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15.系统主机具备级联多台扩展主机可挂载不少于200席表决单元或不少于4000席发言单元同时进行会议;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16.具有中控接口，PC接口，可实现管理软件、中控、触控屏、手机等设备控制指令;</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17.具备配合电话耦合器可以进行远程电话会议;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tcPr>
          <w:p w:rsidR="00ED4B8C" w:rsidRPr="008131DD" w:rsidRDefault="00ED4B8C" w:rsidP="003E322D">
            <w:pPr>
              <w:widowControl/>
              <w:spacing w:line="276" w:lineRule="auto"/>
              <w:contextualSpacing/>
              <w:jc w:val="left"/>
              <w:textAlignment w:val="top"/>
              <w:rPr>
                <w:rFonts w:ascii="仿宋" w:eastAsia="仿宋" w:hAnsi="仿宋" w:cs="仿宋"/>
                <w:szCs w:val="21"/>
              </w:rPr>
            </w:pPr>
            <w:r w:rsidRPr="008131DD">
              <w:rPr>
                <w:rFonts w:ascii="仿宋" w:eastAsia="仿宋" w:hAnsi="仿宋" w:cs="仿宋" w:hint="eastAsia"/>
                <w:kern w:val="0"/>
                <w:szCs w:val="21"/>
              </w:rPr>
              <w:t>18.具备配合网络会议软件及视频会议终端，可实现远程视频会议;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数字会议发言单元（主席）</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1.内置不小于14mm电容音头，支持麦克风阵列技术；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▲2.内置IPS高清显示屏≥2.8寸，可显示话筒开关状态、ID号、音量大小、当时时间等信息；（需提供具有CMA标识的第三方机构检验报告，并加盖原厂公章）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3.换能方式：电容式；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4.指向性：超心型指向；</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6.灵敏度：≥-35dB±2 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7.供电电压：DC24V；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8.咪管长度：≥240mm；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线阵列音箱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1.支持不小于2x8″全频单元；</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2.频率响应:65Hz-20kHz(-10dB)；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3.覆盖角度(HxV):≥90°x10°；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4.灵敏度:≥101dB；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5.连续声压级：≥129dB；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6.标准阻抗:8Ω；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7.额定功率:≥800W；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noWrap/>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线阵列低音音箱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1.低频单元不低于1x18″;</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2.频率响应:40Hz-1000Hz(-10dB)；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3.连续声压级：≥131dB；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4.峰值压级:≥137dB；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5.标准阻抗:4Ω；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6.额定功率：≥1100w;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配套吊架</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1.吊架壁厚：≥30mm,承载重量：≥1000kg,≥4.2T吊带一套，U型扣一套；采用冷轧钢，静电喷塑工艺，防腐等级大于等于C1；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线阵列音箱功率放大器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1.保护系统：直流、短路、过热、软启动、输出/输入过载保护；</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2.冷却系统：具备智能温控风扇；</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3.功率：8Ω≥4×980W/4Ω≥4×1500W；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4.频率响应：20Hz-20kHz（±0.5dB）；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5.转换速率：≥45V/μs；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6.阻尼系数：&gt;1000；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7.信噪比：≥110dB；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8.分离度：&gt;100dB@8Ω 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9.总谐波失真：≤0.03%@8Ω1KHz；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10.输入连接器：至少具有2个三芯XLR母座/2个三芯XLR公座；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▲11.输出连接器：具有凤凰插/2个NL4FX四芯音箱连接器（需提供接口截图并加盖原厂公章）。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线阵列低音音箱功率放大器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r w:rsidRPr="008131DD">
              <w:rPr>
                <w:rFonts w:ascii="仿宋" w:eastAsia="仿宋" w:hAnsi="仿宋" w:cs="仿宋" w:hint="eastAsia"/>
                <w:kern w:val="0"/>
              </w:rPr>
              <w:t>（需提供具有CMA标识的第三方机构检验报告，并加盖原厂公章）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3.功率≥8Ω2×1100W/4Ω2×1900W；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4.信噪比(A计权)&gt;110dB；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5.频率响应（±0.5dB）20Hz-20kHz；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6.失真（1kHz）&lt;0.03%；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7.输入阻抗平衡20kΩ不平衡10kΩ；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超低音箱1</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1.系统类型：≥双18"超低音；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2.频率范围：40Hz-1000Hz(±3dB)；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3.频率响应：45Hz-150Hz；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4.灵敏度：≥103db half space；</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5.输入阻抗：4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6.额定功率：≥1200W；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7.声压级：≥139dB SPL,144dB SPL Peak；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8.输入接口：≥2x 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超低音箱功率放大器1</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r w:rsidRPr="008131DD">
              <w:rPr>
                <w:rFonts w:ascii="仿宋" w:eastAsia="仿宋" w:hAnsi="仿宋" w:cs="仿宋" w:hint="eastAsia"/>
                <w:kern w:val="0"/>
              </w:rPr>
              <w:t>（需提供具有CMA标识的第三方机构检验报告，并加盖原厂公章）</w:t>
            </w:r>
            <w:r w:rsidRPr="008131DD">
              <w:rPr>
                <w:rFonts w:ascii="仿宋" w:eastAsia="仿宋" w:hAnsi="仿宋" w:cs="仿宋" w:hint="eastAsia"/>
                <w:kern w:val="0"/>
                <w:sz w:val="18"/>
                <w:szCs w:val="21"/>
              </w:rPr>
              <w:t xml:space="preserve">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3.功率：8Ω≥ 2×1400W/4Ω≥2×2400W；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4.信噪比(A计权)&gt;110dB；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5.频率响应（±0.5dB）20Hz-20kHz；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6.阻尼系数（63Hz）&gt;500；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7.失真（1kHz）&lt;0.03%；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8.输入阻抗平衡20kΩ不平衡10kΩ；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拉声像主音箱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 ≥15寸全频音箱；</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2.频率范围：55Hz-20kHz(±3dB)；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3.频率响应：48Hz-20kHz；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 敏 度：≥100db SPL 1w/1m；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5.输入阻抗：8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6.额定功率：≥430W；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7.最大声压级：≥131dB  SPL</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8.声场辐射范围：≥90°x 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9.输入接口：≥2x 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拉声像主音箱功率放大器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r w:rsidRPr="008131DD">
              <w:rPr>
                <w:rFonts w:ascii="仿宋" w:eastAsia="仿宋" w:hAnsi="仿宋" w:cs="仿宋" w:hint="eastAsia"/>
                <w:kern w:val="0"/>
              </w:rPr>
              <w:t>（需提提供具有CMA标识的第三方机构检验报告，并加盖原厂公章）</w:t>
            </w:r>
            <w:r w:rsidRPr="008131DD">
              <w:rPr>
                <w:rFonts w:ascii="仿宋" w:eastAsia="仿宋" w:hAnsi="仿宋" w:cs="仿宋" w:hint="eastAsia"/>
                <w:kern w:val="0"/>
                <w:sz w:val="18"/>
                <w:szCs w:val="21"/>
              </w:rPr>
              <w:t xml:space="preserve">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3.功放具有独立的欧姆和凤凰端子接口，根据使用环境不同选择链接方式；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4.功率：8Ω≥2×800W/4Ω≥2×1400W；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5.信噪比(A计权)&gt;106dB；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6.频率响应（±0.5dB）20Hz-20kHz；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7.阻尼系数（63Hz）&gt;500；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中置音箱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 ≥15寸全频音箱；</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2.频率范围：55Hz-20kHz(±3dB)；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3.频率响应：48Hz-20kHz；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 敏 度：≥100db SPL 1w/1m；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5.输入阻抗：8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6.额定功率：≥430W；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7.最大声压级：≥131dB  SPL；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8.声场辐射范围：≥90°x 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9.输入接口：≥2x 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中置音箱功率放大器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r w:rsidRPr="008131DD">
              <w:rPr>
                <w:rFonts w:ascii="仿宋" w:eastAsia="仿宋" w:hAnsi="仿宋" w:cs="仿宋" w:hint="eastAsia"/>
                <w:kern w:val="0"/>
              </w:rPr>
              <w:t>（需提供具有CMA标识的第三方机构检验报告，并加盖原厂公章）</w:t>
            </w:r>
            <w:r w:rsidRPr="008131DD">
              <w:rPr>
                <w:rFonts w:ascii="仿宋" w:eastAsia="仿宋" w:hAnsi="仿宋" w:cs="仿宋" w:hint="eastAsia"/>
                <w:kern w:val="0"/>
                <w:szCs w:val="21"/>
              </w:rPr>
              <w:t xml:space="preserve">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3.功放具有独立的欧姆和凤凰端子接口，根据使用环境不同选择链接方式；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4.功率：8Ω≥2×800W/4Ω≥2×1400W；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5.信噪比(A计权)&gt;106dB；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6.频率响应（±0.5dB）20Hz-20kHz；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7.阻尼系数（63Hz）&gt;500；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返送音箱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1.系统类型：≥12"全频专业音箱；</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2.频率范围：50Hz-20kHz(±3dB)；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3.输入接口：≥2x 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 敏 度：≥97db  SPL 1w/1m；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5.输入阻抗：8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6.额定功率：≥400W；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7.最大声压级： ≥123dB  SPL,129dB SPL Peak；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8.声场辐射范围：≥90°x 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返送音箱功率放大器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3.功放具有独立的欧姆和卡农接口；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4.功率：8Ω≥4×800W/4Ω≥4×1300W；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5.频率响应：20Hz～20kHz±0.5dB；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6.输入灵敏度：0dBu（0.775V）；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7.输入阻抗：平衡不低于20kΩ，非平衡不低于10kΩ；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8.总谐波失真(1kHz)：≤0.03%；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9.信噪比(A计权)：≥110dB；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10.串音衰减(1kHz)：≥70dB；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台唇音箱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1.系统类型：≥8"喉口压缩单元；</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2.频率范围：65Hz-20kHz(±3dB)；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3.输入接口：≥2x 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4.灵敏度：≥96dB SPL 1w/1m；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5.输入阻抗：8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6.额定功率：≥200 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7.声压级：≥123dB  SPL,129dB SPL Peak；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台唇音箱功率放大器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3.功放具有独立的欧姆和卡农接口；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4.功率：8Ω≥4×300W/4Ω≥4×500W；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5.频率响应：20Hz～20kHz±1dB；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6.输入灵敏度：0dBu（0.775V）；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7.输入阻抗：平衡不低于20kΩ，非平衡不低于10kΩ；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8.总谐波失真(1kHz)：≤0.03%；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9.信噪比(A计权)：≥100dB；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10.串音衰减(1kHz)：≥70dB；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补声音箱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1.系统类型：≥8"全频专业音箱；</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2.频率范围：50Hz-20kHz；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3.输入接口：≥2个Neutrik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 敏 度：≥94db SPL 1w/1m；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5.输入阻抗：8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6.额定功率：≥200W；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7.声压级：≥123dB SPL，峰值压级:129dB；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8.声场辐射范围：≥90°x60°；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补声音箱功</w:t>
            </w:r>
            <w:r w:rsidRPr="008131DD">
              <w:rPr>
                <w:rFonts w:ascii="仿宋" w:eastAsia="仿宋" w:hAnsi="仿宋" w:cs="仿宋" w:hint="eastAsia"/>
                <w:kern w:val="0"/>
                <w:szCs w:val="21"/>
              </w:rPr>
              <w:lastRenderedPageBreak/>
              <w:t>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lastRenderedPageBreak/>
              <w:t>1.网络接口≥2路（需提供接口截图并加盖原厂公</w:t>
            </w:r>
            <w:r w:rsidRPr="008131DD">
              <w:rPr>
                <w:rFonts w:ascii="仿宋" w:eastAsia="仿宋" w:hAnsi="仿宋" w:cs="仿宋" w:hint="eastAsia"/>
                <w:kern w:val="0"/>
                <w:szCs w:val="21"/>
              </w:rPr>
              <w:lastRenderedPageBreak/>
              <w:t>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2.前面板须具备液晶显示屏，实时查看功放各通道运行状态，通道数据、显示增益、温度等信息；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3.功放具有独立的欧姆和卡农接口；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4.功率：8Ω≥4×300W/4Ω≥4×500W；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5.频率响应：20Hz～20kHz±1dB；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6.输入灵敏度：0dBu（0.775V）；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7.输入阻抗：平衡不低于20kΩ，非平衡不低于10kΩ；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8.总谐波失真(1kHz)：≤0.03%；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9.信噪比(A计权)：≥100dB；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10.串音衰减(1kHz)：≥70dB；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专业播放解码器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1.HDMI版本不低于2.0，支持4K分辨率, 不低于4进2出音视频处理能力;</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2.支持音频格式不少于以下格式: PCM、Dolby DIGIT 7.1、Dolby DIGIT DTS 7.1、DTS ES采样率不低于24BIT192K;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3.支持ARC\eARC电视信号回传功能；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4.均衡调节： EQ Input 输入支持不少于 2路的话筒独立10段调节、音乐7段调节、混响回声各4段调节;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5.支持SPDIF/I2S接口功能；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6.支持SSP处理器；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7.内置防啸叫功能；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8.具备通过USB实时连接电脑；</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左、中、右声道音箱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1.单元组成:低音不低于1x12"；</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2.单元组成:高音不低于1x1.25"；</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3.频率响应:55Hz-20kHz(-10dB)；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4.覆盖角度(HxV):不低于90°x60°；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5.灵敏度:不低于97dB；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6.连续声压级：不低于122dB；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7.标准阻抗:8Ω；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8.额定功率:≥300W；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四通道功率放大器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3.功放具有独立的欧姆和卡农接口；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4.功率：8Ω≥4×580W/4Ω≥4×900W;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5.频率响应：20Hz～20kHz±0.5dB；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6.输入灵敏度：0dBu（0.775V）；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7.输入阻抗：平衡不低于20kΩ，非平衡不低于10kΩ；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8.总谐波失真(1kHz)：≤0.03%；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9.信噪比(A计权)：≥100dB；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10.串音衰减(1kHz)：≥70dB；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超低音箱2</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1.单元组成:低音不低于1x18"；</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2.频率响应:40-1000Hz(-10dB)；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3.灵敏度:不低于99dB；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4.连续声压级：不低于127dB；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5.标准阻抗:8Ω；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6.额定功率:≥600W；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超低音箱功率放大器2</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3.功率：8 Ω≥2×1100W/4Ω≥2×1900W；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4.信噪比(A计权)&gt;110dB；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5.频率响应（±0.5dB）20Hz-20kHz；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6.失真（1kHz）&lt;0.03%；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7.输入阻抗：平衡不低于20kΩ不平衡不低于10kΩ；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69"/>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环绕音箱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1.系统类型：≥8"全频专业音箱；</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2.频率范围：≥50Hz-20kHz；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3.频率响应：65Hz-18kHz(±3dB)；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4.灵 敏 度：≥94db SPL 1w/1m；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5.输入阻抗： 8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6.额定功率：≥200W；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7.声压级：≥123dB SPL；</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8.声场辐射范围：≥90°x 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9.输入接口：≥2个Neutrik NL4MP；</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环绕音箱功率放大器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1.网络接口≥2路（需提供接口截图并加盖原厂公章）；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是</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2.前面板具备液晶显示屏，实时查看功放各通道运行状态，通道数据、显示增益、温度等信息；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3.功放具有独立的欧姆和卡农接口；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4.功率：8Ω≥4×300W/4Ω≥4×500W；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5.频率响应：20Hz～20kHz±1dB；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6.输入灵敏度：0dBu（0.775V）；</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7.输入阻抗：平衡不低于20kΩ，非平衡不低于10kΩ；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8.总谐波失真(1kHz)：≤0.03%；</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9.信噪比(A计权)：≥100dB；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10.串音衰减(1kHz)：≥70dB；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升降显示终端</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1.屏幕与升降器一体化设计，屏幕尺寸≥16寸，分辨率≥1920×1200；显示比例16:10，屏幕亮度≥300流明，电容屏，不低于10点触控；电容屏边框（左、上、右）小于等于6.5mm；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2.升降器面板航空铝材材质，面板宽度≤50mm；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3.升降器支持手拉手485、232、遥控、手动，可统一控制也可以任意分组控制升降器上升、暂停、下降等运动状态，升降器面板具备：一键升降循环按键（上升/暂停/下降）、显示信号切换按键和USB接口；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4.升降器支持自动仰角，屏幕升起后，自动后仰角度≥15度，支持手掰调节角度，支持≥0-40度之间角度调节；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5.接口配置不少于2个HDMI、1个220V电源接口、1个环出220V电源接口、2个RJ45控制接口；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含升降式话筒，采用超心型指向的电容话筒，拾声距离不低于50－70CM，灵敏度-47±1dB，可通过手动开启话筒，也可用过声控开启话筒，当话筒拾到声音后，自动开启发言，升降话筒可配合显示屏进行统一升降，无需手动扶正话筒杆，可自动捋直话筒杆并下降隐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数字会议设备主机2</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 满足同时发言人数1－12之间任意设置；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 主机具有多种发言模式：主席模式、讨论模式、自动模式、全开模式、先进先出、后进先出；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 主机具备声控功能，单元具备手动与声控的两种打开方式；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 主机具备设置开机密码；</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 支持视频跟踪发言，配合视频切换器至少可使用6 个摄像机，使用中控系统可使用6 个以上的摄像机；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 多种音频输出方式，不少于平衡输出、6.35mm输</w:t>
            </w:r>
            <w:r w:rsidRPr="008131DD">
              <w:rPr>
                <w:rFonts w:ascii="仿宋" w:eastAsia="仿宋" w:hAnsi="仿宋" w:cs="仿宋" w:hint="eastAsia"/>
                <w:kern w:val="0"/>
                <w:szCs w:val="21"/>
              </w:rPr>
              <w:lastRenderedPageBreak/>
              <w:t>出、两路辅助莲花输入与输出等接口，满足会议录音，需配合更多种扩声设备的连接要求；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 自带不少于一路6.35mm监听耳机接口；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桌面升降显示屏管理主机</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硬件技术需求：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1.硬件配置：国产不低于八核2.3GHz主频处理器、内存不低于16G DDR4、不低于128GB固态硬盘、不低于1T机械硬盘，配套国产操作系统；</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2.前置接口不少于2个USB、1个电源键、1个重启键、1个电源灯、一个硬盘灯；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3.网络不少于2个10/100/1000MbpsLANRJ45；</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4.电源采用：DCATX24+8供电，支持S0、S1、S4、S5，支持国产自主安全固件、国产操作系统、安全可信模块；</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5.支持管理人员通过浏览器远程访问无纸化后台，同时管理多个无纸化会议室；</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6.具备数据库备份及恢复、会议文件、系统日志备份（定时机制、手动备份），系统崩溃后，能够指定恢复到就近备份节点；</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7.设置终端软件具备快捷浮窗按键至少包含以下下功能：开始主讲、返回桌面、快捷批注、数据展板、视频会议、外部信号与会议标语等，具备配置数据展板访问页面、终端打开第三方软件路径；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9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8.快速建会具备如下要求：</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1)后台具备快速建会功能，会务人员登录后台后，只需点击快速建会按键，上传建会文件夹，系统根据用户单位的议程表安排，可自动完成建会，建会时间≤10秒；</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2)建会后，终端能自动生成会议信息，包括但不限于：会议主题、会议地点、会议时间、主持人、参会人员、列席人员、请假人员等会议信息；</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3)建会后，上传后的议题、议程与会议材料会自动根据议程表的会议安排顺序，进行排序及展示，无需人为干预；</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4)建会后，系统自动根据议程表添加参会人员，同时进行座次关联安排，自动分配参会人员会控、阅文、同屏、异步、签到、投票等权限；</w:t>
            </w:r>
          </w:p>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5)建会后，系统根据议程表安排，终端可自动显示议题或议程下的：汇报人、列席人、承办部门、汇报时</w:t>
            </w:r>
            <w:r w:rsidRPr="008131DD">
              <w:rPr>
                <w:rFonts w:ascii="仿宋" w:eastAsia="仿宋" w:hAnsi="仿宋" w:cs="仿宋" w:hint="eastAsia"/>
                <w:kern w:val="0"/>
                <w:szCs w:val="21"/>
              </w:rPr>
              <w:lastRenderedPageBreak/>
              <w:t>间等备注信息，同时具备自定义设置；</w:t>
            </w:r>
          </w:p>
          <w:p w:rsidR="00ED4B8C" w:rsidRPr="008131DD" w:rsidRDefault="00ED4B8C" w:rsidP="003E322D">
            <w:pPr>
              <w:widowControl/>
              <w:spacing w:line="276" w:lineRule="auto"/>
              <w:contextualSpacing/>
              <w:jc w:val="left"/>
              <w:textAlignment w:val="center"/>
              <w:rPr>
                <w:rFonts w:ascii="仿宋" w:eastAsia="仿宋" w:hAnsi="仿宋" w:cs="仿宋"/>
                <w:kern w:val="0"/>
                <w:szCs w:val="21"/>
              </w:rPr>
            </w:pPr>
            <w:r w:rsidRPr="008131DD">
              <w:rPr>
                <w:rFonts w:ascii="仿宋" w:eastAsia="仿宋" w:hAnsi="仿宋" w:cs="仿宋" w:hint="eastAsia"/>
                <w:kern w:val="0"/>
                <w:szCs w:val="21"/>
              </w:rPr>
              <w:t>6)建会后，系统根据议程表系统自动生成投票表决，同时关联到相关议题或议程中；</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kern w:val="0"/>
                <w:szCs w:val="21"/>
              </w:rPr>
            </w:pPr>
            <w:r w:rsidRPr="008131DD">
              <w:rPr>
                <w:rFonts w:ascii="仿宋" w:eastAsia="仿宋" w:hAnsi="仿宋" w:cs="仿宋" w:hint="eastAsia"/>
                <w:kern w:val="0"/>
                <w:szCs w:val="21"/>
              </w:rPr>
              <w:lastRenderedPageBreak/>
              <w:t>否</w:t>
            </w:r>
          </w:p>
        </w:tc>
      </w:tr>
      <w:tr w:rsidR="00ED4B8C" w:rsidRPr="008131DD" w:rsidTr="003E322D">
        <w:trPr>
          <w:trHeight w:val="1452"/>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9.会议归档与查询开发需满足：参会人员会后可通过浏览器登录后台，查看自己参加过的历次会议文件、批注文件、投票表决结果、会议记录与会议纪要，结束过的会议可再次重新启动；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桌面升降终端</w:t>
            </w: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1.硬件技术需求：国产不低于八核2.3GHz主频处理器、内存≥8G、≥128GB固态硬盘，配套国产操作系统；</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2436"/>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kern w:val="0"/>
                <w:szCs w:val="21"/>
              </w:rPr>
            </w:pPr>
            <w:r w:rsidRPr="008131DD">
              <w:rPr>
                <w:rFonts w:ascii="仿宋" w:eastAsia="仿宋" w:hAnsi="仿宋" w:cs="仿宋" w:hint="eastAsia"/>
                <w:kern w:val="0"/>
                <w:szCs w:val="21"/>
              </w:rPr>
              <w:t>2.软件需求：</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1）软件首页显示内容包括但不限于：会议主题、参会人员、警示语、滚动提示语与进入系统按键，同时具备字体、字号与显示位置调整；</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2）具备拖拽快捷浮窗按键，按键中至少包含：发起主讲、返回桌面、快捷批注、数据展板、视频会议、跟踪主讲、外部信号、会议标语功能按键，点击数据展板后可直接打开外部信息；</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3）进入系统后显示内容至少包括：会议信息、议题、议程、会议材料；</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4）具备不少于七种阅文方式：长文件具备目录导航阅文，阅文时可添加收藏，阅文时可输入页码跳转，阅文时可上下翻页，阅文时可通过页码拖动快速翻页，阅文时具备手势放大缩小；阅文时可通过滑动缩略图快速阅文，阅文方式需满足分屏操作；</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5）具备批注功能：可通过鼠标左键进行批注，批注后无需其它操作可通过滚轮直接翻页，多人批注同一份文件，可通过批注颜色对应人名颜色进行快速查找；</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6） 软件具备同屏权限、同步信号、异步权限，软件在任何界面具备一键快速同步功能，会场中任何席位终端都可设置为汇报席，汇报席信号可同步给会场其他终端；</w:t>
            </w:r>
          </w:p>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7） 会议结束后，无需建会也可使用此系统，满足非正式会议场景下的使用要求，可将任何一台升降终端屏幕所有的操作内容进行同步分享到大屏幕或其它会议终端同屏显示；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视频编码器</w:t>
            </w: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1.采用国产处理器、主频≥2.3GHz、内存≥8GDDR4、</w:t>
            </w:r>
            <w:r w:rsidRPr="008131DD">
              <w:rPr>
                <w:rFonts w:ascii="仿宋" w:eastAsia="仿宋" w:hAnsi="仿宋" w:cs="仿宋" w:hint="eastAsia"/>
                <w:kern w:val="0"/>
                <w:szCs w:val="21"/>
              </w:rPr>
              <w:lastRenderedPageBreak/>
              <w:t>固态硬盘≥128GROM，配套国产操作系统；</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2.至少具备以下功能：信号显示，签到实时数据显示，标语显示，投票表决结果统计与显示，评分、测评统计结果显示；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3.具备信号处理模块；</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4.具备编码及解码功能，具备视频信号与网络信号互转功能，需要具有屏幕投屏功能；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textAlignment w:val="center"/>
              <w:rPr>
                <w:rFonts w:ascii="仿宋" w:eastAsia="仿宋" w:hAnsi="仿宋" w:cs="仿宋"/>
                <w:szCs w:val="21"/>
              </w:rPr>
            </w:pPr>
            <w:r w:rsidRPr="008131DD">
              <w:rPr>
                <w:rFonts w:ascii="仿宋" w:eastAsia="仿宋" w:hAnsi="仿宋" w:cs="仿宋" w:hint="eastAsia"/>
                <w:kern w:val="0"/>
                <w:szCs w:val="21"/>
              </w:rPr>
              <w:t>5.具备不少于1路3.5mm音频输入接口与不少于1路3.5mm音频输出接口，实现音视频同步输入输出，外部笔记本在播放带有音频的文件时，声音可以通过此设备解码音频信号并完成输出到会议音响设备进行扩声；</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LED聚光灯</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1.光源不小于200W，寿命不少于50000小时；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2.额定功率不小于320W；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3.色温可调节，范围不小于3200-5600K任意调整；</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4.显色指数Ra不小于95；</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5.调光不小于0～100% 线性调节；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6.操作界面LCD液晶显示，恒流驱动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7.出光角度不小于10°～65°范围手动调节  ；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8.不少于6CH；</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LED染色灯</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1.光源不少于18颗15w 四合一大功率 LED灯珠；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2.功率不小于280w；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3.寿命不少于50000小时 ，光束角度25°/45°（可选）；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4.色温不小于5600K；</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5.0-100%电子调光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6.RGBW线性混色，颜色可达到16.7万种以上；</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7.四位数码管显示功能菜单；</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8.控制通道不少于8通道；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noWrap/>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LED数字平板柔光灯</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1.电压AC90-250V，50/60Hz；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2.功率不小于230W；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3.光源不少于432颗x0.5w 高亮度贴片LED灯珠；</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4.显色指数Ra不小于95；</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5.色温可调节，范围不小于3200-5600K任意调整；</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 xml:space="preserve">6.LED 寿命不小于50000 小时；  </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7.调光不小于0～100% 线性调节 ，控制模式：DMX512,主从模式，自走模式；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8.散热系统无风扇自然散热；</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9.不少于3CH/4CH两种通道模式任意选择，防水等级:IP20；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noWrap/>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电脑摇头灯</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1.电压AC90-250V 50/60Hz；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2.光源不小于350W；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3.平均寿命不少于2000H；</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4.颜色不少于13种颜色+白光，带有半色功能；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5.固定图案不少于13个金属图案+白光；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6.旋转图案不少于9个玻璃图案+白光，图案片能自由拔插更换；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7.双片式频闪，不少于0-13次/秒, 带随机频闪 ，不少于2个棱镜，一个8排镜+一个8棱镜，可双向旋转带定位功能；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8.柔光效果：可调节柔光的光斑角度，线性等雾化调节功能；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9.调焦：电子调焦，可线性放大调节；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10.光束角度不小于 3°-30°三级光束调节；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11.不小于0-100%线性调节；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noWrap/>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12.控制方式：主从模式，自走模式，LCD液晶显示屏；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调光台</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1.不小于128G固态硬盘，不小于8G内存；</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2.支持中文菜单显示，且内置多国语言；</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3.内置一个不小于15寸触摸屏，并可扩展一个触摸屏；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4.不少于12个DMX输出端口；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5.支持Artnet,并可扩展至不少于20个DMX输出口，10240个通道；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6.不少于10个宏按键，可编辑任何程序；</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7.不少于20个重放推杆，支持不少于1000个虚拟重放；</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8.不少于2个以太网接口；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9.不少于4个USB接口；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10.支持Art-Net，sACN灯光协议；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8路放大器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1.电源AC100V-240V / 50-60Hz；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2.一路DMX512数码输入，一路DMX512直接输出；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3.输入/输出支持光电隔离；</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4.不少于8路独立放大驱动输出；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5.信号放大整形功能，延长信号传输距离；</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6.增强数据总线接入设备数量的能力；</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7.保护灯光控制台DMX512输出接口，故障现场隔离；</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w:t>
            </w:r>
            <w:r w:rsidRPr="008131DD">
              <w:rPr>
                <w:rFonts w:ascii="仿宋" w:eastAsia="仿宋" w:hAnsi="仿宋" w:hint="eastAsia"/>
                <w:szCs w:val="21"/>
              </w:rPr>
              <w:t>应</w:t>
            </w:r>
            <w:r w:rsidRPr="008131DD">
              <w:rPr>
                <w:rFonts w:ascii="仿宋" w:eastAsia="仿宋" w:hAnsi="仿宋" w:cs="仿宋" w:hint="eastAsia"/>
                <w:kern w:val="0"/>
                <w:szCs w:val="21"/>
              </w:rPr>
              <w:t>具有数字式灯光控制系统的安全运行可靠性；</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解码控制器</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1.支持多台串联扩展通道；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2.支持以太网连接；</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3.支持ArtNet、DMX512、RDM协议；</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4.支持扩展控制台的DMX输出口；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 不少于8个DMX端口都可以配置为输入或输出；</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6.所有DMX端口需配备不少于3芯NeutrikXLR卡侬插；</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7.支持所有输入/输出口之间100％的电气隔离：支持1个端口上有问题不会影响其他端口；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8.支持TFT液晶彩屏可显示各种参数；</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9.支持每路输入输出需带LED指示灯；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10.支持宽电压输</w:t>
            </w:r>
            <w:r w:rsidRPr="008131DD">
              <w:rPr>
                <w:rFonts w:hint="eastAsia"/>
              </w:rPr>
              <w:t>入</w:t>
            </w:r>
            <w:r w:rsidRPr="008131DD">
              <w:rPr>
                <w:rFonts w:ascii="仿宋" w:eastAsia="仿宋" w:hAnsi="仿宋" w:cs="仿宋" w:hint="eastAsia"/>
                <w:kern w:val="0"/>
                <w:szCs w:val="21"/>
              </w:rPr>
              <w:t>；</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12路直通柜</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1.供电：三相五线制AC380V±10%，频率50Hz±5%，额定功率不少于12路x4KW；可适用于任何负载；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2.支持每路带独立指示灯；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3.支持过载与短路双重保护，高分断空气开关；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4.支持160A输入，电流电压表直观显示输出电压电流；</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追光灯</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1.光源：LED模组；</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2.色温：3200K/5600K/8000K可选；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3.平均寿命：≥50000小时；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06"/>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4.显色指数：CRI＞72；</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5.光通量：≥74000lm；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6.光斑角度：不小于4°~12°；</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7.透镜：非球面透镜；</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8.输入电压：AC100-240V/50/60Hz；</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9.调光：手动电子调光0-100%线性调光；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10.冷却：冷却传导方式采用导热管散热或内置风扇散热；</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灯杆</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结合现场需求定制；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匀速拉幕机(底幕)</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1.拉幕机牵引力：≥400N；</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2.对开额定速度：不低于0.5m/s（对开）匀速；</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3.对开行程：不少于14m（单边行程）；</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4.重复定位精度：对开：≤±10mm；</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5.运行噪音：≤45dB；</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6.须配套电动升降党徽系统 1 套，设备外形、升降高度、驱动方式、安装结构可结合现场安装条件定制调整，满足现场实际使用需求；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幕布轨道</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1.规格:不低于40*40角钢+100槽钢；</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2.配件：100滑轮、限位，钢丝绳，挂钩；</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3.其他:稳定结构轨道，钢缆与框架之间通过挂钩扣连接低噪音导轨，用于对开幕布的悬挂、开闭运动轨道；</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固定灯光吊杆杆体</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1.吊杆:不低于φ50双管桁架结构，分上、下两层，中间采用不低于40*20方管连接，防锈底漆、黑色面漆；</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固定幕布吊杆杆体</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1.吊杆:不低于φ50双管桁架结构，分上、下两层，中间采用不低于40*20方管连接，防锈底漆、黑色面漆；</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钢丝绳</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1.选用不低于φ5.1mm，符合GB/T8918-2006重要用途钢丝绳规定的无油镀锌航空钢丝绳；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2.钢丝绳结构型式：不低于6×19+FC线接触纤维芯钢丝绳；</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3.钢丝绳的安全系数：不低于10；需符合WH/T28-2007《辅助机械设备台上设备安全》规范关于钢丝绳的安全系数必须等于或大于10的规定；</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主席台电动控制箱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1.支持辅助机械设备控制台规格，支持可以控制吊杆上升或下降，支持可以控制对开幕的开、闭及自动限位等功能，模拟控制，支持具有点控、急停控制保护等功能，设有电锁，电源指示、相序保护器等设施；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会标杆体</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1.吊杆；不低于φ50双管桁架结构，分上、下两层，中间采用不低于40*20方管连接，防锈底漆、黑色面漆；</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滑轮固定装置</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1.定制，与顶面钢结构平台焊接固定；</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极限开关</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1.支持舞台限位开关需由接触点、传动机构、机壳和固定支架等部分组成，当电动舞台或灯光设备移动到达限位位置时，机械传动机构会将接触点闭合，触发限位开关，切断电源，停止设备的继续移动；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主席台葡萄架</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1.整个吊顶采用钢架焊接，满足灯光承重要求，钢结构件应设计合理，强度、刚度及稳定性能均符合要求，同时满足舞美设计需求；</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机械辅助机</w:t>
            </w:r>
            <w:r w:rsidRPr="008131DD">
              <w:rPr>
                <w:rFonts w:ascii="仿宋" w:eastAsia="仿宋" w:hAnsi="仿宋" w:cs="仿宋" w:hint="eastAsia"/>
                <w:kern w:val="0"/>
                <w:szCs w:val="21"/>
              </w:rPr>
              <w:lastRenderedPageBreak/>
              <w:t>构</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lastRenderedPageBreak/>
              <w:t>1.含金属桥架、五金配件、焊条油漆、切割片、打磨</w:t>
            </w:r>
            <w:r w:rsidRPr="008131DD">
              <w:rPr>
                <w:rFonts w:ascii="仿宋" w:eastAsia="仿宋" w:hAnsi="仿宋" w:cs="仿宋" w:hint="eastAsia"/>
                <w:kern w:val="0"/>
                <w:szCs w:val="21"/>
              </w:rPr>
              <w:lastRenderedPageBreak/>
              <w:t>片、钢丝绳卡子等、滑轮、复合滑轮、灯笼、极限开关、收线框等；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lastRenderedPageBreak/>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底幕</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采用防火阻燃处理，万里绒，垂直法达到防火不低于B1级；缝纫轨迹要均、直、牢固，缝纫接针要套正，缝到边口处必须打加针，垂直燃烧损毁长度≤150mm，续燃时间≤5s，阴燃时间≤15s，燃烧滴落物未引起脱脂棉燃烧或阴燃幕布整体倒顺光顺向一致。褶间距应均匀。主席台幕布防火要求不低于B1级。折比不低于1比3；色牢度：不低于2级；（宽8m*高7m*3折2块）；</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沿幕</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采用麻绒，采用防火阻燃处理，垂直法达到防火不低于B1级；缝纫轨迹要均、直、牢固，缝纫接针要套正，缝到边口处必须打加针。垂直燃烧损毁长度≤150mm，续燃时间≤5s，阴燃时间≤15s，燃烧滴落物未引起脱脂棉燃烧或阴燃！幕布整体倒顺光顺向一致。褶间距应均匀。主席台幕布防火要求达到不低于B1级。折比不低于1比3；色牢度：不低于2级；（宽14m*高2m*3折1块）</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12U机柜</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1.采用冷轧钢材，负载不少于1000kg，不少于8口PDU国标电源插排×1，固定板部件×3,风扇×2,2"重型脚轮×4，M12支脚×4，M6方螺母螺钉×40，内六角扳手×1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37U机柜</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1.采用冷轧钢材，负载不少于1000kg，不少于8口PDU国标电源插排×1，固定板部件×3,风扇×2,2"重型脚轮×4，M12支脚×4，M6方螺母螺钉×40，内六角扳手×1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47U机柜</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1.采用冷轧钢材，负载不少于1000kg，不少于8口PDU国标电源插排×1，固定板部件×3,风扇×4,2"重型脚轮×4，M12支脚×4，M6方螺母螺钉×40，内六角扳手×1</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48口交换机</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1.千兆电口≥48个，万兆光口≥4个；</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2.交换容量≥336Gbps/3.36Tbps，包转发率≥120Mpps；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16口交换机</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1.端口：≥16x10/100/1000MbpsRJ45端口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2.背板带宽：≥32Gbps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3.包转发率：≥24Mpps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4.交换方式：存储-转发</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5.供电：非POE(外部电源适配器)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多媒体桌插</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1.接口至少具备HDMI/VGA等；</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2.输出：1路HDBaseT信号、1路解嵌音频信号，可组合安装功能模块，同时具备发射和接收。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监听音箱</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1.两分频有源监听扬声器；</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2.中低音单元尺寸≥5.25英寸，带电磁屏蔽；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3.高音单元尺寸≥1英寸，带电磁屏蔽；</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4.输入口：具有卡侬式的平衡口，大三芯的平衡/非平衡口；</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5.功率：≥70W；输出功率（低音）：≥40W；输出功率（高音）：≥30W；</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6.信噪比：≥90dB，全输出20kHz频宽时；</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7.前面板具有电源开关指示灯；</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8.输入阻抗：平衡口不低于20k ohms，非平衡口不低于10k ohms；</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val="restart"/>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val="restar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55寸信息展示终端4（液晶电视）</w:t>
            </w:r>
          </w:p>
        </w:tc>
        <w:tc>
          <w:tcPr>
            <w:tcW w:w="2904" w:type="pct"/>
            <w:shd w:val="clear" w:color="auto" w:fill="auto"/>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1.显示尺寸≥55";</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noWrap/>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2.亮度（nit）≥500；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noWrap/>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3.显示比例16:9；</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r w:rsidR="00ED4B8C" w:rsidRPr="008131DD" w:rsidTr="003E322D">
        <w:trPr>
          <w:trHeight w:val="320"/>
        </w:trPr>
        <w:tc>
          <w:tcPr>
            <w:tcW w:w="478" w:type="pct"/>
            <w:vMerge/>
            <w:shd w:val="clear" w:color="auto" w:fill="auto"/>
            <w:vAlign w:val="center"/>
          </w:tcPr>
          <w:p w:rsidR="00ED4B8C" w:rsidRPr="008131DD" w:rsidRDefault="00ED4B8C" w:rsidP="002A30A0">
            <w:pPr>
              <w:widowControl/>
              <w:numPr>
                <w:ilvl w:val="0"/>
                <w:numId w:val="70"/>
              </w:numPr>
              <w:spacing w:line="276" w:lineRule="auto"/>
              <w:contextualSpacing/>
              <w:jc w:val="center"/>
              <w:textAlignment w:val="center"/>
              <w:rPr>
                <w:rFonts w:ascii="仿宋" w:eastAsia="仿宋" w:hAnsi="仿宋" w:cs="仿宋"/>
                <w:szCs w:val="21"/>
              </w:rPr>
            </w:pPr>
          </w:p>
        </w:tc>
        <w:tc>
          <w:tcPr>
            <w:tcW w:w="749" w:type="pct"/>
            <w:vMerge/>
            <w:shd w:val="clear" w:color="auto" w:fill="auto"/>
            <w:vAlign w:val="center"/>
          </w:tcPr>
          <w:p w:rsidR="00ED4B8C" w:rsidRPr="008131DD" w:rsidRDefault="00ED4B8C" w:rsidP="003E322D">
            <w:pPr>
              <w:spacing w:line="276" w:lineRule="auto"/>
              <w:contextualSpacing/>
              <w:jc w:val="center"/>
              <w:rPr>
                <w:rFonts w:ascii="仿宋" w:eastAsia="仿宋" w:hAnsi="仿宋" w:cs="仿宋"/>
                <w:szCs w:val="21"/>
              </w:rPr>
            </w:pPr>
          </w:p>
        </w:tc>
        <w:tc>
          <w:tcPr>
            <w:tcW w:w="2904" w:type="pct"/>
            <w:shd w:val="clear" w:color="auto" w:fill="auto"/>
            <w:noWrap/>
            <w:vAlign w:val="center"/>
          </w:tcPr>
          <w:p w:rsidR="00ED4B8C" w:rsidRPr="008131DD" w:rsidRDefault="00ED4B8C" w:rsidP="003E322D">
            <w:pPr>
              <w:widowControl/>
              <w:spacing w:line="276" w:lineRule="auto"/>
              <w:contextualSpacing/>
              <w:jc w:val="left"/>
              <w:textAlignment w:val="center"/>
              <w:rPr>
                <w:rFonts w:ascii="仿宋" w:eastAsia="仿宋" w:hAnsi="仿宋" w:cs="仿宋"/>
                <w:szCs w:val="21"/>
              </w:rPr>
            </w:pPr>
            <w:r w:rsidRPr="008131DD">
              <w:rPr>
                <w:rFonts w:ascii="仿宋" w:eastAsia="仿宋" w:hAnsi="仿宋" w:cs="仿宋" w:hint="eastAsia"/>
                <w:kern w:val="0"/>
                <w:szCs w:val="21"/>
              </w:rPr>
              <w:t>4.分辨率≥3840*2160；</w:t>
            </w:r>
          </w:p>
        </w:tc>
        <w:tc>
          <w:tcPr>
            <w:tcW w:w="867" w:type="pct"/>
            <w:shd w:val="clear" w:color="auto" w:fill="auto"/>
            <w:vAlign w:val="center"/>
          </w:tcPr>
          <w:p w:rsidR="00ED4B8C" w:rsidRPr="008131DD" w:rsidRDefault="00ED4B8C" w:rsidP="003E322D">
            <w:pPr>
              <w:widowControl/>
              <w:spacing w:line="276" w:lineRule="auto"/>
              <w:contextualSpacing/>
              <w:jc w:val="center"/>
              <w:textAlignment w:val="center"/>
              <w:rPr>
                <w:rFonts w:ascii="仿宋" w:eastAsia="仿宋" w:hAnsi="仿宋" w:cs="仿宋"/>
                <w:szCs w:val="21"/>
              </w:rPr>
            </w:pPr>
            <w:r w:rsidRPr="008131DD">
              <w:rPr>
                <w:rFonts w:ascii="仿宋" w:eastAsia="仿宋" w:hAnsi="仿宋" w:cs="仿宋" w:hint="eastAsia"/>
                <w:kern w:val="0"/>
                <w:szCs w:val="21"/>
              </w:rPr>
              <w:t>否</w:t>
            </w:r>
          </w:p>
        </w:tc>
      </w:tr>
    </w:tbl>
    <w:bookmarkEnd w:id="10"/>
    <w:bookmarkEnd w:id="11"/>
    <w:p w:rsidR="00ED4B8C" w:rsidRPr="008131DD" w:rsidRDefault="00ED4B8C" w:rsidP="00ED4B8C">
      <w:pPr>
        <w:pStyle w:val="af9"/>
        <w:spacing w:line="360" w:lineRule="auto"/>
        <w:contextualSpacing/>
        <w:rPr>
          <w:rFonts w:ascii="仿宋" w:eastAsia="仿宋" w:hAnsi="仿宋" w:cs="仿宋"/>
          <w:bCs/>
        </w:rPr>
      </w:pPr>
      <w:r w:rsidRPr="008131DD">
        <w:rPr>
          <w:rFonts w:ascii="仿宋" w:eastAsia="仿宋" w:hAnsi="仿宋" w:cs="仿宋"/>
          <w:bCs/>
        </w:rPr>
        <w:t>三、实施要求</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851"/>
        <w:gridCol w:w="6893"/>
      </w:tblGrid>
      <w:tr w:rsidR="00ED4B8C" w:rsidRPr="008131DD" w:rsidTr="003E322D">
        <w:trPr>
          <w:trHeight w:val="40"/>
        </w:trPr>
        <w:tc>
          <w:tcPr>
            <w:tcW w:w="572" w:type="dxa"/>
            <w:vAlign w:val="center"/>
          </w:tcPr>
          <w:p w:rsidR="00ED4B8C" w:rsidRPr="008131DD" w:rsidRDefault="00ED4B8C" w:rsidP="003E322D">
            <w:pPr>
              <w:pStyle w:val="TableText"/>
              <w:snapToGrid/>
              <w:spacing w:line="276" w:lineRule="auto"/>
              <w:contextualSpacing/>
              <w:jc w:val="center"/>
              <w:rPr>
                <w:rFonts w:ascii="仿宋" w:eastAsia="仿宋" w:hAnsi="仿宋" w:cs="仿宋"/>
                <w:b/>
                <w:color w:val="auto"/>
                <w:sz w:val="21"/>
                <w:szCs w:val="21"/>
              </w:rPr>
            </w:pPr>
            <w:r w:rsidRPr="008131DD">
              <w:rPr>
                <w:rFonts w:ascii="仿宋" w:eastAsia="仿宋" w:hAnsi="仿宋" w:cs="仿宋" w:hint="eastAsia"/>
                <w:b/>
                <w:color w:val="auto"/>
                <w:sz w:val="21"/>
                <w:szCs w:val="21"/>
              </w:rPr>
              <w:t>序号</w:t>
            </w:r>
          </w:p>
        </w:tc>
        <w:tc>
          <w:tcPr>
            <w:tcW w:w="851" w:type="dxa"/>
            <w:vAlign w:val="center"/>
          </w:tcPr>
          <w:p w:rsidR="00ED4B8C" w:rsidRPr="008131DD" w:rsidRDefault="00ED4B8C" w:rsidP="003E322D">
            <w:pPr>
              <w:pStyle w:val="TableText"/>
              <w:snapToGrid/>
              <w:spacing w:line="276" w:lineRule="auto"/>
              <w:contextualSpacing/>
              <w:jc w:val="center"/>
              <w:rPr>
                <w:rFonts w:ascii="仿宋" w:eastAsia="仿宋" w:hAnsi="仿宋" w:cs="仿宋"/>
                <w:b/>
                <w:color w:val="auto"/>
                <w:sz w:val="21"/>
                <w:szCs w:val="21"/>
              </w:rPr>
            </w:pPr>
            <w:r w:rsidRPr="008131DD">
              <w:rPr>
                <w:rFonts w:ascii="仿宋" w:eastAsia="仿宋" w:hAnsi="仿宋" w:cs="仿宋" w:hint="eastAsia"/>
                <w:b/>
                <w:color w:val="auto"/>
                <w:sz w:val="21"/>
                <w:szCs w:val="21"/>
              </w:rPr>
              <w:t>内容</w:t>
            </w:r>
          </w:p>
        </w:tc>
        <w:tc>
          <w:tcPr>
            <w:tcW w:w="6893" w:type="dxa"/>
            <w:vAlign w:val="center"/>
          </w:tcPr>
          <w:p w:rsidR="00ED4B8C" w:rsidRPr="008131DD" w:rsidRDefault="00ED4B8C" w:rsidP="003E322D">
            <w:pPr>
              <w:pStyle w:val="TableText"/>
              <w:snapToGrid/>
              <w:spacing w:line="276" w:lineRule="auto"/>
              <w:contextualSpacing/>
              <w:jc w:val="center"/>
              <w:rPr>
                <w:rFonts w:ascii="仿宋" w:eastAsia="仿宋" w:hAnsi="仿宋" w:cs="仿宋"/>
                <w:b/>
                <w:color w:val="auto"/>
                <w:sz w:val="21"/>
                <w:szCs w:val="21"/>
              </w:rPr>
            </w:pPr>
            <w:r w:rsidRPr="008131DD">
              <w:rPr>
                <w:rFonts w:ascii="仿宋" w:eastAsia="仿宋" w:hAnsi="仿宋" w:cs="仿宋" w:hint="eastAsia"/>
                <w:b/>
                <w:color w:val="auto"/>
                <w:sz w:val="21"/>
                <w:szCs w:val="21"/>
              </w:rPr>
              <w:t>实施标准</w:t>
            </w:r>
          </w:p>
        </w:tc>
      </w:tr>
      <w:tr w:rsidR="00ED4B8C" w:rsidRPr="008131DD" w:rsidTr="003E322D">
        <w:trPr>
          <w:trHeight w:val="126"/>
        </w:trPr>
        <w:tc>
          <w:tcPr>
            <w:tcW w:w="572" w:type="dxa"/>
            <w:vAlign w:val="center"/>
          </w:tcPr>
          <w:p w:rsidR="00ED4B8C" w:rsidRPr="008131DD" w:rsidRDefault="00ED4B8C" w:rsidP="002A30A0">
            <w:pPr>
              <w:pStyle w:val="TableText"/>
              <w:numPr>
                <w:ilvl w:val="0"/>
                <w:numId w:val="72"/>
              </w:numPr>
              <w:snapToGrid/>
              <w:spacing w:line="276" w:lineRule="auto"/>
              <w:ind w:firstLine="459"/>
              <w:contextualSpacing/>
              <w:jc w:val="center"/>
              <w:rPr>
                <w:rFonts w:ascii="仿宋" w:eastAsia="仿宋" w:hAnsi="仿宋" w:cs="仿宋"/>
                <w:color w:val="auto"/>
                <w:sz w:val="21"/>
                <w:szCs w:val="21"/>
              </w:rPr>
            </w:pPr>
          </w:p>
        </w:tc>
        <w:tc>
          <w:tcPr>
            <w:tcW w:w="851"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rPr>
            </w:pPr>
            <w:r w:rsidRPr="008131DD">
              <w:rPr>
                <w:rFonts w:ascii="仿宋" w:eastAsia="仿宋" w:hAnsi="仿宋" w:cs="仿宋" w:hint="eastAsia"/>
                <w:color w:val="auto"/>
                <w:sz w:val="21"/>
                <w:szCs w:val="21"/>
              </w:rPr>
              <w:t>项目实施过程控制</w:t>
            </w:r>
          </w:p>
        </w:tc>
        <w:tc>
          <w:tcPr>
            <w:tcW w:w="6893"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具有完整严格的项目实施过程控制计划表，设备安装前应根据货物类别、数量及使用需求进行配套深化设计，图纸经确认后进行设备采购。进度控制依据：项目进度表、项目进展报告、变更请求等。进度控制的结果：项目时间表更新、补救的行动、总结等。</w:t>
            </w:r>
          </w:p>
        </w:tc>
      </w:tr>
      <w:tr w:rsidR="00ED4B8C" w:rsidRPr="008131DD" w:rsidTr="003E322D">
        <w:trPr>
          <w:trHeight w:val="40"/>
        </w:trPr>
        <w:tc>
          <w:tcPr>
            <w:tcW w:w="572" w:type="dxa"/>
            <w:vAlign w:val="center"/>
          </w:tcPr>
          <w:p w:rsidR="00ED4B8C" w:rsidRPr="008131DD" w:rsidRDefault="00ED4B8C" w:rsidP="002A30A0">
            <w:pPr>
              <w:pStyle w:val="TableText"/>
              <w:numPr>
                <w:ilvl w:val="0"/>
                <w:numId w:val="72"/>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项目实施过程文档管理</w:t>
            </w:r>
          </w:p>
        </w:tc>
        <w:tc>
          <w:tcPr>
            <w:tcW w:w="6893"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对文档进行明确分类，包括但不限于技术类文档、安装计划类文档、配置计划类文档、手册类文档、测试类文档、试运行类文档及验收类文档等。及时地、分阶段地提交文档，以保证项目文档的完整性和实时性。终验后，投标人负责全部建设文档的归档工作，内部资料由采购人负责整理。</w:t>
            </w:r>
          </w:p>
        </w:tc>
      </w:tr>
      <w:tr w:rsidR="00ED4B8C" w:rsidRPr="008131DD" w:rsidTr="003E322D">
        <w:trPr>
          <w:trHeight w:val="40"/>
        </w:trPr>
        <w:tc>
          <w:tcPr>
            <w:tcW w:w="572" w:type="dxa"/>
            <w:vAlign w:val="center"/>
          </w:tcPr>
          <w:p w:rsidR="00ED4B8C" w:rsidRPr="008131DD" w:rsidRDefault="00ED4B8C" w:rsidP="002A30A0">
            <w:pPr>
              <w:pStyle w:val="TableText"/>
              <w:numPr>
                <w:ilvl w:val="0"/>
                <w:numId w:val="72"/>
              </w:numPr>
              <w:snapToGrid/>
              <w:spacing w:line="276" w:lineRule="auto"/>
              <w:ind w:firstLine="459"/>
              <w:contextualSpacing/>
              <w:jc w:val="both"/>
              <w:rPr>
                <w:rFonts w:ascii="仿宋" w:eastAsia="仿宋" w:hAnsi="仿宋" w:cs="仿宋"/>
                <w:color w:val="auto"/>
                <w:sz w:val="21"/>
                <w:szCs w:val="21"/>
                <w:lang w:eastAsia="zh-CN"/>
              </w:rPr>
            </w:pPr>
          </w:p>
        </w:tc>
        <w:tc>
          <w:tcPr>
            <w:tcW w:w="851"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rPr>
            </w:pPr>
            <w:r w:rsidRPr="008131DD">
              <w:rPr>
                <w:rFonts w:ascii="仿宋" w:eastAsia="仿宋" w:hAnsi="仿宋" w:cs="仿宋" w:hint="eastAsia"/>
                <w:color w:val="auto"/>
                <w:sz w:val="21"/>
                <w:szCs w:val="21"/>
              </w:rPr>
              <w:t>项目实施组织架构</w:t>
            </w:r>
          </w:p>
        </w:tc>
        <w:tc>
          <w:tcPr>
            <w:tcW w:w="6893"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投标人应针对本项目建立完整的、行之有效的组织体系，明确各职能组的人员、职责和组间关系，保证项目组协调运行，以便顺利完成任务。</w:t>
            </w:r>
          </w:p>
        </w:tc>
      </w:tr>
      <w:tr w:rsidR="00ED4B8C" w:rsidRPr="008131DD" w:rsidTr="003E322D">
        <w:trPr>
          <w:trHeight w:val="40"/>
        </w:trPr>
        <w:tc>
          <w:tcPr>
            <w:tcW w:w="572" w:type="dxa"/>
            <w:vAlign w:val="center"/>
          </w:tcPr>
          <w:p w:rsidR="00ED4B8C" w:rsidRPr="008131DD" w:rsidRDefault="00ED4B8C" w:rsidP="002A30A0">
            <w:pPr>
              <w:pStyle w:val="TableText"/>
              <w:numPr>
                <w:ilvl w:val="0"/>
                <w:numId w:val="72"/>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rPr>
            </w:pPr>
            <w:r w:rsidRPr="008131DD">
              <w:rPr>
                <w:rFonts w:ascii="仿宋" w:eastAsia="仿宋" w:hAnsi="仿宋" w:cs="仿宋" w:hint="eastAsia"/>
                <w:color w:val="auto"/>
                <w:sz w:val="21"/>
                <w:szCs w:val="21"/>
              </w:rPr>
              <w:t>项目实施进度安排</w:t>
            </w:r>
          </w:p>
        </w:tc>
        <w:tc>
          <w:tcPr>
            <w:tcW w:w="6893"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投标人应按照结合实际情况制订全面详尽切实可行的进度计划，并经采购人确认。投标人应采取必要和适当的措施来保证整体项目按照批准的进度计划或按照经过修订并批准的进度计划进行建设实施。在整体项目实施过程中，投标人应定期检查各相关工作配合方的实施进度，有责任督促各工作任务负责方（货物制造商、需求方）按照计划进行系统实施。若对项目推进过程中的实施进度要求、多方配合机制有疑问，应及时以书面形式通报采购人相关管理部门，并与采购人相关管理部门一起协调处理。</w:t>
            </w:r>
          </w:p>
        </w:tc>
      </w:tr>
      <w:tr w:rsidR="00ED4B8C" w:rsidRPr="008131DD" w:rsidTr="003E322D">
        <w:trPr>
          <w:trHeight w:val="719"/>
        </w:trPr>
        <w:tc>
          <w:tcPr>
            <w:tcW w:w="572" w:type="dxa"/>
            <w:vAlign w:val="center"/>
          </w:tcPr>
          <w:p w:rsidR="00ED4B8C" w:rsidRPr="008131DD" w:rsidRDefault="00ED4B8C" w:rsidP="002A30A0">
            <w:pPr>
              <w:pStyle w:val="TableText"/>
              <w:numPr>
                <w:ilvl w:val="0"/>
                <w:numId w:val="72"/>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rPr>
            </w:pPr>
            <w:r w:rsidRPr="008131DD">
              <w:rPr>
                <w:rFonts w:ascii="仿宋" w:eastAsia="仿宋" w:hAnsi="仿宋" w:cs="仿宋" w:hint="eastAsia"/>
                <w:color w:val="auto"/>
                <w:sz w:val="21"/>
                <w:szCs w:val="21"/>
              </w:rPr>
              <w:t>项目验收安排</w:t>
            </w:r>
          </w:p>
        </w:tc>
        <w:tc>
          <w:tcPr>
            <w:tcW w:w="6893"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制订完备的验收方案和验收计划、严格按照验收计划执行验收过程，提交准确完整的验收报告，同时保存好验收相关文档。</w:t>
            </w:r>
          </w:p>
        </w:tc>
      </w:tr>
      <w:tr w:rsidR="00ED4B8C" w:rsidRPr="008131DD" w:rsidTr="003E322D">
        <w:trPr>
          <w:trHeight w:val="90"/>
        </w:trPr>
        <w:tc>
          <w:tcPr>
            <w:tcW w:w="572" w:type="dxa"/>
            <w:vAlign w:val="center"/>
          </w:tcPr>
          <w:p w:rsidR="00ED4B8C" w:rsidRPr="008131DD" w:rsidRDefault="00ED4B8C" w:rsidP="002A30A0">
            <w:pPr>
              <w:pStyle w:val="TableText"/>
              <w:numPr>
                <w:ilvl w:val="0"/>
                <w:numId w:val="72"/>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rPr>
            </w:pPr>
            <w:r w:rsidRPr="008131DD">
              <w:rPr>
                <w:rFonts w:ascii="仿宋" w:eastAsia="仿宋" w:hAnsi="仿宋" w:cs="仿宋" w:hint="eastAsia"/>
                <w:color w:val="auto"/>
                <w:sz w:val="21"/>
                <w:szCs w:val="21"/>
              </w:rPr>
              <w:t>项目培训安排</w:t>
            </w:r>
          </w:p>
        </w:tc>
        <w:tc>
          <w:tcPr>
            <w:tcW w:w="6893" w:type="dxa"/>
            <w:vAlign w:val="center"/>
          </w:tcPr>
          <w:p w:rsidR="00ED4B8C" w:rsidRPr="008131DD" w:rsidRDefault="00ED4B8C" w:rsidP="003E322D">
            <w:pPr>
              <w:pStyle w:val="TableText"/>
              <w:snapToGrid/>
              <w:spacing w:line="276" w:lineRule="auto"/>
              <w:contextualSpacing/>
              <w:rPr>
                <w:rFonts w:ascii="仿宋" w:eastAsia="仿宋" w:hAnsi="仿宋" w:cs="仿宋"/>
                <w:color w:val="auto"/>
                <w:sz w:val="21"/>
                <w:szCs w:val="21"/>
                <w:lang w:eastAsia="zh-CN"/>
              </w:rPr>
            </w:pPr>
            <w:r w:rsidRPr="008131DD">
              <w:rPr>
                <w:rFonts w:ascii="仿宋" w:eastAsia="仿宋" w:hAnsi="仿宋" w:cs="仿宋" w:hint="eastAsia"/>
                <w:color w:val="auto"/>
                <w:sz w:val="21"/>
                <w:szCs w:val="21"/>
                <w:lang w:eastAsia="zh-CN"/>
              </w:rPr>
              <w:t>投标人需制定系统的培训方案，并为所培训人员提供培训资料。</w:t>
            </w:r>
          </w:p>
        </w:tc>
      </w:tr>
    </w:tbl>
    <w:p w:rsidR="00ED4B8C" w:rsidRPr="008131DD" w:rsidRDefault="00ED4B8C" w:rsidP="00ED4B8C">
      <w:pPr>
        <w:pStyle w:val="af9"/>
        <w:spacing w:line="360" w:lineRule="auto"/>
        <w:contextualSpacing/>
        <w:rPr>
          <w:rFonts w:ascii="仿宋" w:eastAsia="仿宋" w:hAnsi="仿宋" w:cs="仿宋"/>
          <w:bCs/>
        </w:rPr>
      </w:pPr>
    </w:p>
    <w:p w:rsidR="00ED4B8C" w:rsidRPr="008131DD" w:rsidRDefault="00ED4B8C" w:rsidP="00ED4B8C">
      <w:p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2、采购标的需满足的服务标准、期限、效率等要求；</w:t>
      </w:r>
    </w:p>
    <w:p w:rsidR="00ED4B8C" w:rsidRPr="008131DD" w:rsidRDefault="00ED4B8C" w:rsidP="00ED4B8C">
      <w:pPr>
        <w:spacing w:line="360" w:lineRule="auto"/>
        <w:ind w:firstLineChars="200" w:firstLine="482"/>
        <w:contextualSpacing/>
        <w:rPr>
          <w:rFonts w:ascii="仿宋" w:eastAsia="仿宋" w:hAnsi="仿宋"/>
          <w:b/>
          <w:sz w:val="24"/>
        </w:rPr>
      </w:pPr>
      <w:r w:rsidRPr="008131DD">
        <w:rPr>
          <w:rFonts w:ascii="仿宋" w:eastAsia="仿宋" w:hAnsi="仿宋" w:hint="eastAsia"/>
          <w:b/>
          <w:sz w:val="24"/>
        </w:rPr>
        <w:t>2.1、采购标的需满足的服务标准、效率要求</w:t>
      </w:r>
    </w:p>
    <w:p w:rsidR="00ED4B8C" w:rsidRPr="008131DD" w:rsidRDefault="00ED4B8C" w:rsidP="00ED4B8C">
      <w:pPr>
        <w:spacing w:line="360" w:lineRule="auto"/>
        <w:ind w:firstLineChars="200" w:firstLine="480"/>
        <w:contextualSpacing/>
        <w:rPr>
          <w:rFonts w:ascii="仿宋" w:eastAsia="仿宋" w:hAnsi="仿宋" w:cs="仿宋"/>
          <w:bCs/>
          <w:sz w:val="24"/>
        </w:rPr>
      </w:pPr>
      <w:bookmarkStart w:id="20" w:name="OLE_LINK76"/>
      <w:r w:rsidRPr="008131DD">
        <w:rPr>
          <w:rFonts w:ascii="仿宋" w:eastAsia="仿宋" w:hAnsi="仿宋" w:cs="仿宋" w:hint="eastAsia"/>
          <w:bCs/>
          <w:sz w:val="24"/>
        </w:rPr>
        <w:t>2.2.1由于会议系统重要性高且使用要求严格，投标人需承诺为本项目所有设备及系统软件提供以下（1）-（3）服务内容</w:t>
      </w:r>
      <w:r w:rsidRPr="008131DD">
        <w:rPr>
          <w:rFonts w:ascii="仿宋" w:eastAsia="仿宋" w:hAnsi="仿宋" w:cs="仿宋" w:hint="eastAsia"/>
          <w:b/>
          <w:bCs/>
          <w:sz w:val="24"/>
        </w:rPr>
        <w:t>（提供承诺函，格式自拟）</w:t>
      </w:r>
      <w:r w:rsidRPr="008131DD">
        <w:rPr>
          <w:rFonts w:ascii="仿宋" w:eastAsia="仿宋" w:hAnsi="仿宋" w:cs="仿宋" w:hint="eastAsia"/>
          <w:bCs/>
          <w:sz w:val="24"/>
        </w:rPr>
        <w:t>：</w:t>
      </w:r>
    </w:p>
    <w:p w:rsidR="00ED4B8C" w:rsidRPr="008131DD" w:rsidRDefault="00ED4B8C" w:rsidP="00ED4B8C">
      <w:pPr>
        <w:spacing w:line="360" w:lineRule="auto"/>
        <w:ind w:left="420"/>
        <w:contextualSpacing/>
        <w:rPr>
          <w:rFonts w:ascii="仿宋" w:eastAsia="仿宋" w:hAnsi="仿宋" w:cs="仿宋"/>
          <w:bCs/>
          <w:sz w:val="24"/>
        </w:rPr>
      </w:pPr>
      <w:r w:rsidRPr="008131DD">
        <w:rPr>
          <w:rFonts w:ascii="仿宋" w:eastAsia="仿宋" w:hAnsi="仿宋" w:cs="仿宋" w:hint="eastAsia"/>
          <w:bCs/>
          <w:sz w:val="24"/>
        </w:rPr>
        <w:t>（1）提供不少于3年质保服务；</w:t>
      </w:r>
    </w:p>
    <w:p w:rsidR="00ED4B8C" w:rsidRPr="008131DD" w:rsidRDefault="00ED4B8C" w:rsidP="00ED4B8C">
      <w:pPr>
        <w:spacing w:line="360" w:lineRule="auto"/>
        <w:ind w:left="420"/>
        <w:contextualSpacing/>
        <w:rPr>
          <w:rFonts w:ascii="仿宋" w:eastAsia="仿宋" w:hAnsi="仿宋" w:cs="仿宋"/>
          <w:sz w:val="24"/>
        </w:rPr>
      </w:pPr>
      <w:r w:rsidRPr="008131DD">
        <w:rPr>
          <w:rFonts w:ascii="仿宋" w:eastAsia="仿宋" w:hAnsi="仿宋" w:cs="仿宋" w:hint="eastAsia"/>
          <w:bCs/>
          <w:sz w:val="24"/>
        </w:rPr>
        <w:t>（2）提供每周7×24小时技术服务；</w:t>
      </w:r>
    </w:p>
    <w:p w:rsidR="00ED4B8C" w:rsidRPr="008131DD" w:rsidRDefault="00ED4B8C" w:rsidP="00ED4B8C">
      <w:pPr>
        <w:tabs>
          <w:tab w:val="left" w:pos="900"/>
        </w:tabs>
        <w:adjustRightInd w:val="0"/>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（3）质保期内若发生故障，工程师10分钟内响应，4小时内到达现场，12小时内排除故障；</w:t>
      </w:r>
      <w:bookmarkEnd w:id="20"/>
    </w:p>
    <w:p w:rsidR="00ED4B8C" w:rsidRPr="008131DD" w:rsidRDefault="00ED4B8C" w:rsidP="00ED4B8C">
      <w:pPr>
        <w:pStyle w:val="af9"/>
        <w:spacing w:line="360" w:lineRule="auto"/>
        <w:rPr>
          <w:rFonts w:ascii="仿宋" w:eastAsia="仿宋" w:hAnsi="仿宋" w:cs="仿宋"/>
          <w:bCs/>
        </w:rPr>
      </w:pPr>
      <w:r w:rsidRPr="008131DD">
        <w:rPr>
          <w:rFonts w:ascii="仿宋" w:eastAsia="仿宋" w:hAnsi="仿宋" w:cs="仿宋" w:hint="eastAsia"/>
          <w:bCs/>
        </w:rPr>
        <w:t>（4）投标人需提供售后服务方案，方案内容包括但不限于：1.售后服务范围与内容、2.售后服务方式、3.售后服务响应计划、4.故障处理与保障等详细售后服务。</w:t>
      </w:r>
    </w:p>
    <w:p w:rsidR="00ED4B8C" w:rsidRPr="008131DD" w:rsidRDefault="00ED4B8C" w:rsidP="00ED4B8C">
      <w:pPr>
        <w:tabs>
          <w:tab w:val="left" w:pos="900"/>
        </w:tabs>
        <w:spacing w:line="360" w:lineRule="auto"/>
        <w:ind w:firstLineChars="200" w:firstLine="480"/>
        <w:contextualSpacing/>
        <w:rPr>
          <w:rFonts w:ascii="仿宋" w:eastAsia="仿宋" w:hAnsi="仿宋"/>
          <w:sz w:val="24"/>
        </w:rPr>
      </w:pPr>
      <w:r w:rsidRPr="008131DD">
        <w:rPr>
          <w:rFonts w:ascii="仿宋" w:eastAsia="仿宋" w:hAnsi="仿宋" w:hint="eastAsia"/>
          <w:sz w:val="24"/>
        </w:rPr>
        <w:t>2.2.2、其他要求：</w:t>
      </w:r>
    </w:p>
    <w:p w:rsidR="00ED4B8C" w:rsidRPr="008131DD" w:rsidRDefault="00ED4B8C" w:rsidP="00ED4B8C">
      <w:pPr>
        <w:tabs>
          <w:tab w:val="left" w:pos="900"/>
        </w:tabs>
        <w:spacing w:line="360" w:lineRule="auto"/>
        <w:ind w:firstLineChars="200" w:firstLine="480"/>
        <w:contextualSpacing/>
        <w:rPr>
          <w:rFonts w:ascii="仿宋" w:eastAsia="仿宋" w:hAnsi="仿宋"/>
          <w:sz w:val="24"/>
        </w:rPr>
      </w:pPr>
      <w:r w:rsidRPr="008131DD">
        <w:rPr>
          <w:rFonts w:ascii="仿宋" w:eastAsia="仿宋" w:hAnsi="仿宋" w:cs="宋体" w:hint="eastAsia"/>
          <w:sz w:val="24"/>
        </w:rPr>
        <w:t>2.2.2.1、实施人员：拟投入项目经理同时具有高级信息系统项目管理师和IT服务项目经理证书。其他项目成员具有音视频设计工程师专业技术证书。</w:t>
      </w:r>
    </w:p>
    <w:p w:rsidR="00ED4B8C" w:rsidRPr="008131DD" w:rsidRDefault="00ED4B8C" w:rsidP="00ED4B8C">
      <w:pPr>
        <w:pStyle w:val="af9"/>
        <w:spacing w:line="360" w:lineRule="auto"/>
        <w:contextualSpacing/>
        <w:rPr>
          <w:rFonts w:ascii="仿宋" w:eastAsia="仿宋" w:hAnsi="仿宋" w:cs="宋体"/>
        </w:rPr>
      </w:pPr>
      <w:r w:rsidRPr="008131DD">
        <w:rPr>
          <w:rFonts w:ascii="仿宋" w:eastAsia="仿宋" w:hAnsi="仿宋" w:cs="宋体" w:hint="eastAsia"/>
        </w:rPr>
        <w:t>2.2.2.2、投标人需对采购人需求有正确全面的理解，了解系统建设现状，能够理解本项目的背景、目标、原则。</w:t>
      </w:r>
    </w:p>
    <w:p w:rsidR="00ED4B8C" w:rsidRPr="008131DD" w:rsidRDefault="00ED4B8C" w:rsidP="00ED4B8C">
      <w:pPr>
        <w:pStyle w:val="af9"/>
        <w:spacing w:line="360" w:lineRule="auto"/>
        <w:contextualSpacing/>
        <w:rPr>
          <w:rFonts w:ascii="仿宋" w:eastAsia="仿宋" w:hAnsi="仿宋" w:cs="宋体"/>
          <w:bCs/>
          <w:kern w:val="0"/>
          <w:szCs w:val="21"/>
        </w:rPr>
      </w:pPr>
      <w:r w:rsidRPr="008131DD">
        <w:rPr>
          <w:rFonts w:ascii="仿宋" w:eastAsia="仿宋" w:hAnsi="仿宋" w:cs="宋体" w:hint="eastAsia"/>
        </w:rPr>
        <w:t>2.2.2.3、投标人需提供项目实施方案，</w:t>
      </w:r>
      <w:r w:rsidRPr="008131DD">
        <w:rPr>
          <w:rFonts w:ascii="仿宋" w:eastAsia="仿宋" w:hAnsi="仿宋" w:cs="宋体" w:hint="eastAsia"/>
          <w:bCs/>
          <w:kern w:val="0"/>
          <w:szCs w:val="21"/>
        </w:rPr>
        <w:t>方案须包含以下5项内容：①针对本项目制定的设计方案；②针对本项目的实施进度计划；③针对本项目实施保障措施详细阐述；④实施过程中的质量控制方案；⑤项目应急及相关风险控制措施详细阐述。</w:t>
      </w:r>
    </w:p>
    <w:p w:rsidR="00ED4B8C" w:rsidRPr="008131DD" w:rsidRDefault="00ED4B8C" w:rsidP="00ED4B8C">
      <w:pPr>
        <w:pStyle w:val="af9"/>
        <w:spacing w:line="360" w:lineRule="auto"/>
        <w:contextualSpacing/>
        <w:rPr>
          <w:rFonts w:ascii="仿宋" w:eastAsia="仿宋" w:hAnsi="仿宋" w:cs="宋体"/>
          <w:bCs/>
          <w:kern w:val="0"/>
          <w:szCs w:val="21"/>
        </w:rPr>
      </w:pPr>
      <w:r w:rsidRPr="008131DD">
        <w:rPr>
          <w:rFonts w:ascii="仿宋" w:eastAsia="仿宋" w:hAnsi="仿宋" w:cs="宋体" w:hint="eastAsia"/>
          <w:bCs/>
          <w:kern w:val="0"/>
          <w:szCs w:val="21"/>
        </w:rPr>
        <w:t>2.2.2.4、投标人需提供会议系统集成方案，能够与利旧多媒体设备进行集成、对接、联调和统一纳管工作。</w:t>
      </w:r>
    </w:p>
    <w:p w:rsidR="00ED4B8C" w:rsidRPr="008131DD" w:rsidRDefault="00ED4B8C" w:rsidP="00ED4B8C">
      <w:pPr>
        <w:spacing w:line="360" w:lineRule="auto"/>
        <w:ind w:firstLineChars="200" w:firstLine="480"/>
        <w:contextualSpacing/>
        <w:rPr>
          <w:rFonts w:ascii="仿宋" w:eastAsia="仿宋" w:hAnsi="仿宋" w:cs="仿宋"/>
          <w:bCs/>
          <w:sz w:val="24"/>
        </w:rPr>
      </w:pP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3、为落实政府采购政策需满足的要求；</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3.1、促进中小企业发展政策：根据《政府采购促进中小企业发展管理办法》规定，本项目采购货物为小型或微型企业制造的，投标人应出具招标文件要求的</w:t>
      </w:r>
      <w:r w:rsidRPr="008131DD">
        <w:rPr>
          <w:rFonts w:ascii="仿宋" w:eastAsia="仿宋" w:hAnsi="仿宋" w:cs="仿宋" w:hint="eastAsia"/>
          <w:bCs/>
          <w:sz w:val="24"/>
        </w:rPr>
        <w:lastRenderedPageBreak/>
        <w:t>《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ED4B8C" w:rsidRPr="008131DD" w:rsidRDefault="00ED4B8C" w:rsidP="00ED4B8C">
      <w:pPr>
        <w:snapToGrid w:val="0"/>
        <w:spacing w:line="360" w:lineRule="auto"/>
        <w:ind w:firstLineChars="200" w:firstLine="480"/>
        <w:rPr>
          <w:rFonts w:ascii="仿宋" w:eastAsia="仿宋" w:hAnsi="仿宋" w:cs="仿宋"/>
          <w:bCs/>
          <w:sz w:val="24"/>
        </w:rPr>
      </w:pPr>
      <w:bookmarkStart w:id="21" w:name="OLE_LINK113"/>
      <w:r w:rsidRPr="008131DD">
        <w:rPr>
          <w:rFonts w:ascii="仿宋" w:eastAsia="仿宋" w:hAnsi="仿宋" w:cs="仿宋" w:hint="eastAsia"/>
          <w:bCs/>
          <w:sz w:val="24"/>
        </w:rPr>
        <w:t>3.6、实施本国产品标准及相关政策：依据《国务院办公厅关于在政府采购</w:t>
      </w:r>
      <w:r w:rsidRPr="008131DD">
        <w:rPr>
          <w:rFonts w:ascii="仿宋" w:eastAsia="仿宋" w:hAnsi="仿宋" w:cs="仿宋" w:hint="eastAsia"/>
          <w:bCs/>
          <w:sz w:val="24"/>
        </w:rPr>
        <w:lastRenderedPageBreak/>
        <w:t>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2" w:name="OLE_LINK55"/>
      <w:bookmarkStart w:id="23" w:name="OLE_LINK56"/>
      <w:r w:rsidRPr="008131DD">
        <w:rPr>
          <w:rFonts w:ascii="仿宋" w:eastAsia="仿宋" w:hAnsi="仿宋" w:cs="仿宋" w:hint="eastAsia"/>
          <w:b/>
          <w:bCs/>
          <w:sz w:val="24"/>
        </w:rPr>
        <w:t>投标人</w:t>
      </w:r>
      <w:bookmarkEnd w:id="22"/>
      <w:bookmarkEnd w:id="23"/>
      <w:r w:rsidRPr="008131DD">
        <w:rPr>
          <w:rFonts w:ascii="仿宋" w:eastAsia="仿宋" w:hAnsi="仿宋" w:cs="仿宋" w:hint="eastAsia"/>
          <w:b/>
          <w:bCs/>
          <w:sz w:val="24"/>
        </w:rPr>
        <w:t>应出具招标文件要求的证明材料给予证明，否则评标时不予认可。投标人应对提交的证明材料真实性负责，</w:t>
      </w:r>
      <w:r w:rsidRPr="008131DD">
        <w:rPr>
          <w:rFonts w:ascii="仿宋" w:eastAsia="仿宋" w:hAnsi="仿宋" w:cs="仿宋" w:hint="eastAsia"/>
          <w:bCs/>
          <w:sz w:val="24"/>
        </w:rPr>
        <w:t>提交证明材料不真实的，应承担相应的法律责任。</w:t>
      </w:r>
      <w:bookmarkEnd w:id="21"/>
    </w:p>
    <w:p w:rsidR="00ED4B8C" w:rsidRPr="008131DD" w:rsidRDefault="00ED4B8C" w:rsidP="00ED4B8C">
      <w:pPr>
        <w:pStyle w:val="af9"/>
      </w:pP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4、采购标的的其他技术、服务等要求；</w:t>
      </w:r>
    </w:p>
    <w:p w:rsidR="00ED4B8C" w:rsidRPr="008131DD" w:rsidRDefault="00ED4B8C" w:rsidP="00ED4B8C">
      <w:pPr>
        <w:snapToGrid w:val="0"/>
        <w:spacing w:line="360" w:lineRule="auto"/>
        <w:ind w:firstLineChars="200" w:firstLine="480"/>
        <w:rPr>
          <w:rFonts w:ascii="仿宋" w:eastAsia="仿宋" w:hAnsi="仿宋" w:cs="仿宋"/>
          <w:bCs/>
          <w:sz w:val="24"/>
        </w:rPr>
      </w:pPr>
      <w:bookmarkStart w:id="24" w:name="OLE_LINK200"/>
      <w:bookmarkStart w:id="25" w:name="OLE_LINK201"/>
      <w:r w:rsidRPr="008131DD">
        <w:rPr>
          <w:rFonts w:ascii="仿宋" w:eastAsia="仿宋" w:hAnsi="仿宋" w:cs="仿宋" w:hint="eastAsia"/>
          <w:bCs/>
          <w:sz w:val="24"/>
        </w:rPr>
        <w:t>4.</w:t>
      </w:r>
      <w:bookmarkEnd w:id="24"/>
      <w:bookmarkEnd w:id="25"/>
      <w:r w:rsidRPr="008131DD">
        <w:rPr>
          <w:rFonts w:ascii="仿宋" w:eastAsia="仿宋" w:hAnsi="仿宋" w:cs="仿宋" w:hint="eastAsia"/>
          <w:bCs/>
          <w:sz w:val="24"/>
        </w:rPr>
        <w:t>1、对于技术规格中标注“★”号的技术参数代表实质性指标，不满足该指标项将直接导致投标被拒绝。</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4.2、技术参数中</w:t>
      </w:r>
      <w:r w:rsidRPr="008131DD">
        <w:rPr>
          <w:rFonts w:ascii="仿宋" w:eastAsia="仿宋" w:hAnsi="仿宋" w:cs="仿宋" w:hint="eastAsia"/>
          <w:sz w:val="24"/>
        </w:rPr>
        <w:t>“证明材料要求”项可填“是”和“否”。填“是”的，投标人/</w:t>
      </w:r>
      <w:r w:rsidRPr="008131DD">
        <w:rPr>
          <w:rFonts w:ascii="仿宋" w:eastAsia="仿宋" w:hAnsi="仿宋" w:cs="仿宋"/>
          <w:sz w:val="24"/>
        </w:rPr>
        <w:t>响应人须提供包含相关指标项的证明材料，证明材料</w:t>
      </w:r>
      <w:r w:rsidRPr="008131DD">
        <w:rPr>
          <w:rFonts w:ascii="仿宋" w:eastAsia="仿宋" w:hAnsi="仿宋" w:cs="仿宋" w:hint="eastAsia"/>
          <w:sz w:val="24"/>
        </w:rPr>
        <w:t>按对应条款说明提供</w:t>
      </w:r>
      <w:r w:rsidRPr="008131DD">
        <w:rPr>
          <w:rFonts w:ascii="仿宋" w:eastAsia="仿宋" w:hAnsi="仿宋" w:cs="仿宋"/>
          <w:sz w:val="24"/>
        </w:rPr>
        <w:t>，未提供有效证明材料或证明材料中内容与所填报指标不一致的，该指标按不满足处理。</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4.3、供货及安装要求</w:t>
      </w:r>
    </w:p>
    <w:p w:rsidR="00ED4B8C" w:rsidRPr="008131DD" w:rsidRDefault="00ED4B8C" w:rsidP="00ED4B8C">
      <w:pPr>
        <w:snapToGrid w:val="0"/>
        <w:spacing w:line="360" w:lineRule="auto"/>
        <w:ind w:firstLineChars="200" w:firstLine="480"/>
        <w:rPr>
          <w:rFonts w:ascii="仿宋" w:eastAsia="仿宋" w:hAnsi="仿宋" w:cs="仿宋"/>
          <w:bCs/>
          <w:sz w:val="24"/>
        </w:rPr>
      </w:pPr>
      <w:bookmarkStart w:id="26" w:name="OLE_LINK202"/>
      <w:bookmarkStart w:id="27" w:name="OLE_LINK203"/>
      <w:r w:rsidRPr="008131DD">
        <w:rPr>
          <w:rFonts w:ascii="仿宋" w:eastAsia="仿宋" w:hAnsi="仿宋" w:cs="仿宋" w:hint="eastAsia"/>
          <w:bCs/>
          <w:sz w:val="24"/>
        </w:rPr>
        <w:t>4.3.1、</w:t>
      </w:r>
      <w:bookmarkEnd w:id="26"/>
      <w:bookmarkEnd w:id="27"/>
      <w:r w:rsidRPr="008131DD">
        <w:rPr>
          <w:rFonts w:ascii="仿宋" w:eastAsia="仿宋" w:hAnsi="仿宋" w:cs="仿宋" w:hint="eastAsia"/>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4.3.2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4.3.3、投标人所提供的部件之间及设备之间的连线或接插件均视为设备内部部件，应包含在相应的配置中。</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4.3.4、工作条件：除了在技术规格中另有规定外，投标人提供的一切仪器、设备和系统，应符合下列条件：</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1）仪器设备的插头要符合中国电工标准。如不符合，则应提供适合仪器插头的插座，必须要有接地。</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lastRenderedPageBreak/>
        <w:t>2）如果仪器设备需特殊的工作条件（如：水、电源、磁场强度、特殊温度、湿度、震动强度等），投标人应在有关投标文件中加以说明。</w:t>
      </w: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4.4、培训要求：</w:t>
      </w:r>
    </w:p>
    <w:p w:rsidR="00ED4B8C" w:rsidRPr="008131DD" w:rsidRDefault="00ED4B8C" w:rsidP="00ED4B8C">
      <w:pPr>
        <w:snapToGrid w:val="0"/>
        <w:spacing w:line="360" w:lineRule="auto"/>
        <w:ind w:firstLineChars="200" w:firstLine="480"/>
      </w:pPr>
      <w:r w:rsidRPr="008131DD">
        <w:rPr>
          <w:rFonts w:ascii="仿宋" w:eastAsia="仿宋" w:hAnsi="仿宋" w:cs="仿宋" w:hint="eastAsia"/>
          <w:bCs/>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培训教员的差旅费、食宿费、培训教材等费用，应计入投标报价。（以各包技术规格中要求为准，如技术规格中无要求，则以本款要求为准。）</w:t>
      </w:r>
    </w:p>
    <w:p w:rsidR="00ED4B8C" w:rsidRPr="008131DD" w:rsidRDefault="00ED4B8C" w:rsidP="00ED4B8C">
      <w:pPr>
        <w:pStyle w:val="af9"/>
      </w:pPr>
    </w:p>
    <w:p w:rsidR="00ED4B8C" w:rsidRPr="008131DD" w:rsidRDefault="00ED4B8C" w:rsidP="00ED4B8C">
      <w:pPr>
        <w:snapToGrid w:val="0"/>
        <w:spacing w:line="360" w:lineRule="auto"/>
        <w:ind w:firstLineChars="200" w:firstLine="480"/>
        <w:rPr>
          <w:rFonts w:ascii="仿宋" w:eastAsia="仿宋" w:hAnsi="仿宋" w:cs="仿宋"/>
          <w:bCs/>
          <w:sz w:val="24"/>
        </w:rPr>
      </w:pPr>
      <w:r w:rsidRPr="008131DD">
        <w:rPr>
          <w:rFonts w:ascii="仿宋" w:eastAsia="仿宋" w:hAnsi="仿宋" w:cs="仿宋" w:hint="eastAsia"/>
          <w:bCs/>
          <w:sz w:val="24"/>
        </w:rPr>
        <w:t>5、需由投标人提供设计方案、解决方案或者组织方案的采购项目，应当说明采购标的的功能、应用场景、目标等基本要求</w:t>
      </w:r>
    </w:p>
    <w:p w:rsidR="00ED4B8C" w:rsidRPr="008131DD" w:rsidRDefault="00ED4B8C" w:rsidP="00ED4B8C">
      <w:pPr>
        <w:snapToGrid w:val="0"/>
        <w:spacing w:line="360" w:lineRule="auto"/>
        <w:ind w:firstLineChars="200" w:firstLine="480"/>
        <w:rPr>
          <w:rFonts w:ascii="仿宋" w:eastAsia="仿宋" w:hAnsi="仿宋"/>
        </w:rPr>
      </w:pPr>
      <w:r w:rsidRPr="008131DD">
        <w:rPr>
          <w:rFonts w:ascii="仿宋" w:eastAsia="仿宋" w:hAnsi="仿宋" w:cs="仿宋" w:hint="eastAsia"/>
          <w:bCs/>
          <w:sz w:val="24"/>
        </w:rPr>
        <w:t>无。</w:t>
      </w:r>
    </w:p>
    <w:p w:rsidR="00ED4B8C" w:rsidRPr="008131DD" w:rsidRDefault="00ED4B8C" w:rsidP="00ED4B8C">
      <w:pPr>
        <w:spacing w:line="360" w:lineRule="auto"/>
        <w:ind w:firstLineChars="200" w:firstLine="482"/>
        <w:contextualSpacing/>
        <w:rPr>
          <w:rFonts w:ascii="仿宋" w:eastAsia="仿宋" w:hAnsi="仿宋" w:cs="仿宋"/>
          <w:b/>
          <w:bCs/>
          <w:sz w:val="24"/>
        </w:rPr>
      </w:pPr>
      <w:r w:rsidRPr="008131DD">
        <w:rPr>
          <w:rFonts w:ascii="仿宋" w:eastAsia="仿宋" w:hAnsi="仿宋" w:cs="仿宋" w:hint="eastAsia"/>
          <w:b/>
          <w:bCs/>
          <w:sz w:val="24"/>
        </w:rPr>
        <w:t>（三）验收标准</w:t>
      </w:r>
    </w:p>
    <w:p w:rsidR="00ED4B8C" w:rsidRPr="008131DD" w:rsidRDefault="00ED4B8C" w:rsidP="00ED4B8C">
      <w:pPr>
        <w:tabs>
          <w:tab w:val="left" w:pos="900"/>
        </w:tabs>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sz w:val="24"/>
        </w:rPr>
        <w:t>项目验收按照招标文件、合同执行，验收包含到货查验、安装分项、系统试运行、竣工终验四阶段，覆盖所有设备、管线、软件及集成功能，到货核对型号资质，安装检查施工工艺，试运行测试等全部功能，验收不合格由中标单位免费整改并承担全部费用，未通过终验采购人可暂缓付款，完整移交全套竣工资料后方可完成验收。</w:t>
      </w:r>
    </w:p>
    <w:p w:rsidR="00ED4B8C" w:rsidRPr="008131DD" w:rsidRDefault="00ED4B8C" w:rsidP="00ED4B8C">
      <w:pPr>
        <w:numPr>
          <w:ilvl w:val="255"/>
          <w:numId w:val="0"/>
        </w:numPr>
        <w:spacing w:line="360" w:lineRule="auto"/>
        <w:ind w:firstLineChars="200" w:firstLine="482"/>
        <w:contextualSpacing/>
        <w:rPr>
          <w:rFonts w:ascii="仿宋" w:eastAsia="仿宋" w:hAnsi="仿宋" w:cs="仿宋"/>
          <w:b/>
          <w:bCs/>
          <w:sz w:val="24"/>
        </w:rPr>
      </w:pPr>
    </w:p>
    <w:p w:rsidR="00ED4B8C" w:rsidRPr="008131DD" w:rsidRDefault="00ED4B8C" w:rsidP="00ED4B8C">
      <w:pPr>
        <w:numPr>
          <w:ilvl w:val="255"/>
          <w:numId w:val="0"/>
        </w:numPr>
        <w:spacing w:line="360" w:lineRule="auto"/>
        <w:ind w:firstLineChars="200" w:firstLine="482"/>
        <w:contextualSpacing/>
        <w:rPr>
          <w:rFonts w:ascii="仿宋" w:eastAsia="仿宋" w:hAnsi="仿宋" w:cs="仿宋"/>
          <w:b/>
          <w:bCs/>
          <w:sz w:val="24"/>
        </w:rPr>
      </w:pPr>
      <w:r w:rsidRPr="008131DD">
        <w:rPr>
          <w:rFonts w:ascii="仿宋" w:eastAsia="仿宋" w:hAnsi="仿宋" w:cs="仿宋" w:hint="eastAsia"/>
          <w:b/>
          <w:bCs/>
          <w:sz w:val="24"/>
        </w:rPr>
        <w:t>（四）其他要求</w:t>
      </w:r>
    </w:p>
    <w:p w:rsidR="00ED4B8C" w:rsidRPr="008131DD" w:rsidRDefault="00ED4B8C" w:rsidP="00ED4B8C">
      <w:pPr>
        <w:numPr>
          <w:ilvl w:val="255"/>
          <w:numId w:val="0"/>
        </w:numPr>
        <w:spacing w:line="360" w:lineRule="auto"/>
        <w:ind w:firstLineChars="200" w:firstLine="480"/>
        <w:contextualSpacing/>
        <w:rPr>
          <w:rFonts w:ascii="仿宋" w:eastAsia="仿宋" w:hAnsi="仿宋" w:cs="仿宋"/>
          <w:bCs/>
          <w:sz w:val="24"/>
        </w:rPr>
      </w:pPr>
      <w:r w:rsidRPr="008131DD">
        <w:rPr>
          <w:rFonts w:ascii="仿宋" w:eastAsia="仿宋" w:hAnsi="仿宋" w:cs="仿宋" w:hint="eastAsia"/>
          <w:bCs/>
          <w:sz w:val="24"/>
        </w:rPr>
        <w:t>无。</w:t>
      </w:r>
    </w:p>
    <w:p w:rsidR="005A67C2" w:rsidRPr="007338C8" w:rsidRDefault="002A30A0" w:rsidP="007338C8">
      <w:bookmarkStart w:id="28" w:name="_GoBack"/>
      <w:bookmarkEnd w:id="1"/>
      <w:bookmarkEnd w:id="28"/>
    </w:p>
    <w:sectPr w:rsidR="005A67C2" w:rsidRPr="007338C8" w:rsidSect="00504DC9">
      <w:footerReference w:type="even" r:id="rId8"/>
      <w:footerReference w:type="default" r:id="rId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0A0" w:rsidRDefault="002A30A0" w:rsidP="00066D7B">
      <w:r>
        <w:separator/>
      </w:r>
    </w:p>
  </w:endnote>
  <w:endnote w:type="continuationSeparator" w:id="0">
    <w:p w:rsidR="002A30A0" w:rsidRDefault="002A30A0"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0" w:usb1="00000000" w:usb2="00000000" w:usb3="00000000" w:csb0="00040000" w:csb1="00000000"/>
  </w:font>
  <w:font w:name="ˎ̥">
    <w:altName w:val="Segoe Print"/>
    <w:charset w:val="00"/>
    <w:family w:val="auto"/>
    <w:pitch w:val="default"/>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sig w:usb0="00000000" w:usb1="00000000" w:usb2="00000010" w:usb3="00000000" w:csb0="00000000"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PingFang SC">
    <w:altName w:val="宋体"/>
    <w:charset w:val="86"/>
    <w:family w:val="auto"/>
    <w:pitch w:val="default"/>
    <w:sig w:usb0="00000000" w:usb1="00000000"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Segoe Print"/>
    <w:charset w:val="00"/>
    <w:family w:val="auto"/>
    <w:pitch w:val="default"/>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font>
  <w:font w:name="黑体g">
    <w:altName w:val="黑体"/>
    <w:charset w:val="00"/>
    <w:family w:val="auto"/>
    <w:pitch w:val="default"/>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4384" behindDoc="1" locked="0" layoutInCell="1" allowOverlap="1" wp14:anchorId="6D0E1940" wp14:editId="50EB9BE4">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2336" behindDoc="1" locked="0" layoutInCell="1" allowOverlap="1" wp14:anchorId="79C86C64" wp14:editId="18F32E1E">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ED4B8C">
                            <w:rPr>
                              <w:noProof/>
                              <w:sz w:val="18"/>
                            </w:rPr>
                            <w:t>46</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ED4B8C">
                      <w:rPr>
                        <w:noProof/>
                        <w:sz w:val="18"/>
                      </w:rPr>
                      <w:t>46</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43CFD0E" wp14:editId="72C4D8DA">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80134E" w:rsidRDefault="0080134E">
                          <w:pPr>
                            <w:spacing w:line="280" w:lineRule="exact"/>
                            <w:ind w:left="20"/>
                            <w:jc w:val="left"/>
                            <w:rPr>
                              <w:rFonts w:ascii="宋体"/>
                              <w:sz w:val="24"/>
                            </w:rPr>
                          </w:pPr>
                        </w:p>
                      </w:txbxContent>
                    </wps:txbx>
                    <wps:bodyPr lIns="0" tIns="0" rIns="0" bIns="0" upright="1"/>
                  </wps:wsp>
                </a:graphicData>
              </a:graphic>
            </wp:anchor>
          </w:drawing>
        </mc:Choice>
        <mc:Fallback>
          <w:pict>
            <v:shape id="文本框 5" o:spid="_x0000_s1028"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US2RSKUBAAAqAwAADgAAAAAAAAAAAAAAAAAuAgAAZHJzL2Uyb0RvYy54bWxQSwECLQAUAAYA&#10;CAAAACEAfttfnt4AAAANAQAADwAAAAAAAAAAAAAAAAD/AwAAZHJzL2Rvd25yZXYueG1sUEsFBgAA&#10;AAAEAAQA8wAAAAoFAAAAAA==&#10;" filled="f" stroked="f">
              <v:textbox inset="0,0,0,0">
                <w:txbxContent>
                  <w:p w:rsidR="0080134E" w:rsidRDefault="0080134E">
                    <w:pPr>
                      <w:spacing w:line="280" w:lineRule="exact"/>
                      <w:ind w:left="20"/>
                      <w:jc w:val="left"/>
                      <w:rPr>
                        <w:rFonts w:ascii="宋体"/>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0A0" w:rsidRDefault="002A30A0" w:rsidP="00066D7B">
      <w:r>
        <w:separator/>
      </w:r>
    </w:p>
  </w:footnote>
  <w:footnote w:type="continuationSeparator" w:id="0">
    <w:p w:rsidR="002A30A0" w:rsidRDefault="002A30A0" w:rsidP="00066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01"/>
    <w:multiLevelType w:val="singleLevel"/>
    <w:tmpl w:val="00000001"/>
    <w:lvl w:ilvl="0">
      <w:start w:val="1"/>
      <w:numFmt w:val="bullet"/>
      <w:lvlText w:val=""/>
      <w:lvlJc w:val="left"/>
      <w:pPr>
        <w:ind w:left="420" w:hanging="420"/>
      </w:pPr>
      <w:rPr>
        <w:rFonts w:ascii="Wingdings" w:hAnsi="Wingdings" w:hint="default"/>
      </w:rPr>
    </w:lvl>
  </w:abstractNum>
  <w:abstractNum w:abstractNumId="4">
    <w:nsid w:val="00000002"/>
    <w:multiLevelType w:val="singleLevel"/>
    <w:tmpl w:val="00000002"/>
    <w:lvl w:ilvl="0">
      <w:start w:val="1"/>
      <w:numFmt w:val="chineseCounting"/>
      <w:suff w:val="nothing"/>
      <w:lvlText w:val="（%1）"/>
      <w:lvlJc w:val="left"/>
      <w:pPr>
        <w:ind w:left="0" w:firstLine="420"/>
      </w:pPr>
      <w:rPr>
        <w:rFonts w:hint="eastAsia"/>
      </w:rPr>
    </w:lvl>
  </w:abstractNum>
  <w:abstractNum w:abstractNumId="5">
    <w:nsid w:val="00000003"/>
    <w:multiLevelType w:val="singleLevel"/>
    <w:tmpl w:val="00000003"/>
    <w:lvl w:ilvl="0">
      <w:start w:val="1"/>
      <w:numFmt w:val="bullet"/>
      <w:lvlText w:val=""/>
      <w:lvlJc w:val="left"/>
      <w:pPr>
        <w:ind w:left="420" w:hanging="420"/>
      </w:pPr>
      <w:rPr>
        <w:rFonts w:ascii="Wingdings" w:hAnsi="Wingdings" w:hint="default"/>
      </w:rPr>
    </w:lvl>
  </w:abstractNum>
  <w:abstractNum w:abstractNumId="6">
    <w:nsid w:val="00000004"/>
    <w:multiLevelType w:val="singleLevel"/>
    <w:tmpl w:val="00000004"/>
    <w:lvl w:ilvl="0">
      <w:start w:val="1"/>
      <w:numFmt w:val="decimal"/>
      <w:lvlText w:val="%1."/>
      <w:lvlJc w:val="left"/>
      <w:pPr>
        <w:ind w:left="635" w:hanging="425"/>
      </w:pPr>
      <w:rPr>
        <w:rFonts w:hint="default"/>
      </w:rPr>
    </w:lvl>
  </w:abstractNum>
  <w:abstractNum w:abstractNumId="7">
    <w:nsid w:val="00000005"/>
    <w:multiLevelType w:val="singleLevel"/>
    <w:tmpl w:val="00000005"/>
    <w:lvl w:ilvl="0">
      <w:start w:val="1"/>
      <w:numFmt w:val="bullet"/>
      <w:lvlText w:val=""/>
      <w:lvlJc w:val="left"/>
      <w:pPr>
        <w:ind w:left="420" w:hanging="420"/>
      </w:pPr>
      <w:rPr>
        <w:rFonts w:ascii="Wingdings" w:hAnsi="Wingdings" w:hint="default"/>
      </w:rPr>
    </w:lvl>
  </w:abstractNum>
  <w:abstractNum w:abstractNumId="8">
    <w:nsid w:val="00000006"/>
    <w:multiLevelType w:val="singleLevel"/>
    <w:tmpl w:val="00000006"/>
    <w:lvl w:ilvl="0">
      <w:start w:val="1"/>
      <w:numFmt w:val="decimal"/>
      <w:suff w:val="nothing"/>
      <w:lvlText w:val="%1．"/>
      <w:lvlJc w:val="left"/>
      <w:pPr>
        <w:ind w:left="-272" w:firstLine="400"/>
      </w:pPr>
      <w:rPr>
        <w:rFonts w:hint="default"/>
      </w:rPr>
    </w:lvl>
  </w:abstractNum>
  <w:abstractNum w:abstractNumId="9">
    <w:nsid w:val="00000007"/>
    <w:multiLevelType w:val="singleLevel"/>
    <w:tmpl w:val="00000007"/>
    <w:lvl w:ilvl="0">
      <w:start w:val="1"/>
      <w:numFmt w:val="bullet"/>
      <w:lvlText w:val=""/>
      <w:lvlJc w:val="left"/>
      <w:pPr>
        <w:ind w:left="420" w:hanging="420"/>
      </w:pPr>
      <w:rPr>
        <w:rFonts w:ascii="Wingdings" w:hAnsi="Wingdings" w:hint="default"/>
      </w:rPr>
    </w:lvl>
  </w:abstractNum>
  <w:abstractNum w:abstractNumId="10">
    <w:nsid w:val="00000008"/>
    <w:multiLevelType w:val="singleLevel"/>
    <w:tmpl w:val="00000008"/>
    <w:lvl w:ilvl="0">
      <w:start w:val="13"/>
      <w:numFmt w:val="decimal"/>
      <w:suff w:val="space"/>
      <w:lvlText w:val="%1."/>
      <w:lvlJc w:val="left"/>
    </w:lvl>
  </w:abstractNum>
  <w:abstractNum w:abstractNumId="1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4">
    <w:nsid w:val="0000001A"/>
    <w:multiLevelType w:val="multilevel"/>
    <w:tmpl w:val="0000001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6">
    <w:nsid w:val="00000021"/>
    <w:multiLevelType w:val="singleLevel"/>
    <w:tmpl w:val="00000021"/>
    <w:lvl w:ilvl="0">
      <w:start w:val="1"/>
      <w:numFmt w:val="decimal"/>
      <w:suff w:val="nothing"/>
      <w:lvlText w:val="%1．"/>
      <w:lvlJc w:val="left"/>
      <w:pPr>
        <w:ind w:left="-210" w:firstLine="400"/>
      </w:pPr>
      <w:rPr>
        <w:rFonts w:hint="default"/>
      </w:rPr>
    </w:lvl>
  </w:abstractNum>
  <w:abstractNum w:abstractNumId="17">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8">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9">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0">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21">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04B95D63"/>
    <w:multiLevelType w:val="multilevel"/>
    <w:tmpl w:val="04B95D63"/>
    <w:lvl w:ilvl="0">
      <w:start w:val="1"/>
      <w:numFmt w:val="decimal"/>
      <w:pStyle w:val="1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5">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26">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9">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127D7D27"/>
    <w:multiLevelType w:val="multilevel"/>
    <w:tmpl w:val="127D7D27"/>
    <w:lvl w:ilvl="0">
      <w:start w:val="1"/>
      <w:numFmt w:val="decimal"/>
      <w:pStyle w:val="13"/>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155E6A8F"/>
    <w:multiLevelType w:val="multilevel"/>
    <w:tmpl w:val="155E6A8F"/>
    <w:lvl w:ilvl="0">
      <w:start w:val="1"/>
      <w:numFmt w:val="decimal"/>
      <w:pStyle w:val="30"/>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33">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4">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35">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36">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7">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40">
    <w:nsid w:val="2EF34F86"/>
    <w:multiLevelType w:val="multilevel"/>
    <w:tmpl w:val="2EF34F86"/>
    <w:lvl w:ilvl="0">
      <w:start w:val="1"/>
      <w:numFmt w:val="japaneseCounting"/>
      <w:pStyle w:val="14"/>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41">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2">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4">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5">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47">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8">
    <w:nsid w:val="4CA75A52"/>
    <w:multiLevelType w:val="multilevel"/>
    <w:tmpl w:val="4CA75A52"/>
    <w:lvl w:ilvl="0">
      <w:start w:val="1"/>
      <w:numFmt w:val="decimal"/>
      <w:pStyle w:val="15"/>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49">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0">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51">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5">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56">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57">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8">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9">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0">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61">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nsid w:val="6539752F"/>
    <w:multiLevelType w:val="multilevel"/>
    <w:tmpl w:val="6539752F"/>
    <w:lvl w:ilvl="0">
      <w:start w:val="1"/>
      <w:numFmt w:val="decimal"/>
      <w:pStyle w:val="31"/>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65">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66">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68">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9">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71">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7"/>
  </w:num>
  <w:num w:numId="2">
    <w:abstractNumId w:val="13"/>
  </w:num>
  <w:num w:numId="3">
    <w:abstractNumId w:val="28"/>
  </w:num>
  <w:num w:numId="4">
    <w:abstractNumId w:val="11"/>
  </w:num>
  <w:num w:numId="5">
    <w:abstractNumId w:val="18"/>
  </w:num>
  <w:num w:numId="6">
    <w:abstractNumId w:val="12"/>
  </w:num>
  <w:num w:numId="7">
    <w:abstractNumId w:val="60"/>
  </w:num>
  <w:num w:numId="8">
    <w:abstractNumId w:val="0"/>
  </w:num>
  <w:num w:numId="9">
    <w:abstractNumId w:val="35"/>
  </w:num>
  <w:num w:numId="10">
    <w:abstractNumId w:val="36"/>
  </w:num>
  <w:num w:numId="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9"/>
  </w:num>
  <w:num w:numId="16">
    <w:abstractNumId w:val="24"/>
  </w:num>
  <w:num w:numId="17">
    <w:abstractNumId w:val="29"/>
  </w:num>
  <w:num w:numId="18">
    <w:abstractNumId w:val="19"/>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num>
  <w:num w:numId="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num>
  <w:num w:numId="28">
    <w:abstractNumId w:val="40"/>
  </w:num>
  <w:num w:numId="29">
    <w:abstractNumId w:val="1"/>
  </w:num>
  <w:num w:numId="30">
    <w:abstractNumId w:val="7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2"/>
  </w:num>
  <w:num w:numId="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15"/>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num>
  <w:num w:numId="46">
    <w:abstractNumId w:val="56"/>
  </w:num>
  <w:num w:numId="47">
    <w:abstractNumId w:val="25"/>
  </w:num>
  <w:num w:numId="48">
    <w:abstractNumId w:val="66"/>
  </w:num>
  <w:num w:numId="49">
    <w:abstractNumId w:val="43"/>
  </w:num>
  <w:num w:numId="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num>
  <w:num w:numId="63">
    <w:abstractNumId w:val="3"/>
  </w:num>
  <w:num w:numId="64">
    <w:abstractNumId w:val="4"/>
  </w:num>
  <w:num w:numId="65">
    <w:abstractNumId w:val="14"/>
  </w:num>
  <w:num w:numId="66">
    <w:abstractNumId w:val="8"/>
  </w:num>
  <w:num w:numId="67">
    <w:abstractNumId w:val="7"/>
  </w:num>
  <w:num w:numId="68">
    <w:abstractNumId w:val="9"/>
  </w:num>
  <w:num w:numId="69">
    <w:abstractNumId w:val="5"/>
  </w:num>
  <w:num w:numId="70">
    <w:abstractNumId w:val="6"/>
  </w:num>
  <w:num w:numId="71">
    <w:abstractNumId w:val="10"/>
  </w:num>
  <w:num w:numId="72">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103186"/>
    <w:rsid w:val="001333FE"/>
    <w:rsid w:val="001C575B"/>
    <w:rsid w:val="00223806"/>
    <w:rsid w:val="00293290"/>
    <w:rsid w:val="002A26C1"/>
    <w:rsid w:val="002A30A0"/>
    <w:rsid w:val="002C5EC4"/>
    <w:rsid w:val="003574A8"/>
    <w:rsid w:val="003D3221"/>
    <w:rsid w:val="003E3476"/>
    <w:rsid w:val="00467D74"/>
    <w:rsid w:val="004E55A3"/>
    <w:rsid w:val="004F51FC"/>
    <w:rsid w:val="004F644E"/>
    <w:rsid w:val="00504DC9"/>
    <w:rsid w:val="00515BAC"/>
    <w:rsid w:val="005A637F"/>
    <w:rsid w:val="005C39D6"/>
    <w:rsid w:val="00627FB1"/>
    <w:rsid w:val="00642188"/>
    <w:rsid w:val="00660C12"/>
    <w:rsid w:val="006F7B9A"/>
    <w:rsid w:val="00722DFE"/>
    <w:rsid w:val="007338C8"/>
    <w:rsid w:val="007A21C4"/>
    <w:rsid w:val="0080134E"/>
    <w:rsid w:val="00811362"/>
    <w:rsid w:val="009D0FEA"/>
    <w:rsid w:val="00BE2292"/>
    <w:rsid w:val="00D734D5"/>
    <w:rsid w:val="00D8520B"/>
    <w:rsid w:val="00DF5ADA"/>
    <w:rsid w:val="00ED4B8C"/>
    <w:rsid w:val="00F3391C"/>
    <w:rsid w:val="00F92E61"/>
    <w:rsid w:val="00FD0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uiPriority w:val="99"/>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iPriority w:val="99"/>
    <w:unhideWhenUsed/>
    <w:qFormat/>
    <w:rsid w:val="007A21C4"/>
    <w:pPr>
      <w:spacing w:after="120"/>
      <w:ind w:leftChars="200" w:left="420"/>
    </w:pPr>
  </w:style>
  <w:style w:type="character" w:customStyle="1" w:styleId="Char3">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uiPriority w:val="99"/>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uiPriority w:val="99"/>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qFormat/>
    <w:locked/>
    <w:rsid w:val="004E55A3"/>
    <w:rPr>
      <w:rFonts w:ascii="宋体" w:hAnsi="宋体"/>
      <w:sz w:val="24"/>
      <w:szCs w:val="24"/>
    </w:rPr>
  </w:style>
  <w:style w:type="paragraph" w:customStyle="1" w:styleId="afffffff9">
    <w:name w:val="_正文段落"/>
    <w:basedOn w:val="af8"/>
    <w:link w:val="Charff8"/>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qFormat/>
    <w:locked/>
    <w:rsid w:val="004E55A3"/>
    <w:pPr>
      <w:numPr>
        <w:numId w:val="20"/>
      </w:numPr>
      <w:ind w:left="1984" w:hanging="708"/>
    </w:pPr>
  </w:style>
  <w:style w:type="paragraph" w:customStyle="1" w:styleId="4-6">
    <w:name w:val="标题4-6"/>
    <w:basedOn w:val="4-1"/>
    <w:link w:val="4-6Char"/>
    <w:uiPriority w:val="99"/>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qFormat/>
    <w:locked/>
    <w:rsid w:val="004E55A3"/>
    <w:rPr>
      <w:rFonts w:ascii="Cambria" w:hAnsi="Cambria"/>
      <w:b/>
      <w:bCs/>
      <w:sz w:val="32"/>
      <w:szCs w:val="32"/>
    </w:rPr>
  </w:style>
  <w:style w:type="paragraph" w:customStyle="1" w:styleId="MMTitle">
    <w:name w:val="MM Title"/>
    <w:basedOn w:val="aff0"/>
    <w:link w:val="MMTitleChar"/>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qFormat/>
    <w:locked/>
    <w:rsid w:val="004E55A3"/>
    <w:rPr>
      <w:rFonts w:ascii="微软雅黑" w:eastAsia="微软雅黑" w:hAnsi="微软雅黑" w:cs="微软雅黑"/>
      <w:b/>
      <w:bCs/>
      <w:sz w:val="28"/>
      <w:szCs w:val="32"/>
    </w:rPr>
  </w:style>
  <w:style w:type="character" w:customStyle="1" w:styleId="4-4Char">
    <w:name w:val="标题4-4 Char"/>
    <w:link w:val="4-4"/>
    <w:uiPriority w:val="99"/>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qFormat/>
    <w:locked/>
    <w:rsid w:val="004E55A3"/>
    <w:rPr>
      <w:rFonts w:ascii="宋体" w:hAnsi="宋体"/>
      <w:lang w:bidi="he-IL"/>
    </w:rPr>
  </w:style>
  <w:style w:type="paragraph" w:customStyle="1" w:styleId="11-">
    <w:name w:val="11-正文"/>
    <w:basedOn w:val="af8"/>
    <w:link w:val="11-Char"/>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qFormat/>
    <w:locked/>
    <w:rsid w:val="004E55A3"/>
    <w:rPr>
      <w:rFonts w:ascii="Trebuchet MS" w:eastAsia="Times New Roman" w:hAnsi="FuturaA Bk BT"/>
      <w:sz w:val="24"/>
      <w:szCs w:val="21"/>
    </w:rPr>
  </w:style>
  <w:style w:type="paragraph" w:customStyle="1" w:styleId="ZX-">
    <w:name w:val="ZX-正文"/>
    <w:link w:val="ZX-Char"/>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qFormat/>
    <w:locked/>
    <w:rsid w:val="004E55A3"/>
    <w:rPr>
      <w:i/>
      <w:iCs/>
      <w:color w:val="0000FF"/>
      <w:szCs w:val="21"/>
    </w:rPr>
  </w:style>
  <w:style w:type="paragraph" w:customStyle="1" w:styleId="affffffffc">
    <w:name w:val="编写建议"/>
    <w:basedOn w:val="af8"/>
    <w:link w:val="Charffff0"/>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link w:val="CharCharChar0"/>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 w:type="paragraph" w:styleId="affffffffffd">
    <w:name w:val="envelope return"/>
    <w:basedOn w:val="af8"/>
    <w:qFormat/>
    <w:rsid w:val="00722DFE"/>
    <w:pPr>
      <w:snapToGrid w:val="0"/>
    </w:pPr>
    <w:rPr>
      <w:rFonts w:ascii="Arial" w:hAnsi="Arial"/>
      <w:szCs w:val="24"/>
    </w:rPr>
  </w:style>
  <w:style w:type="character" w:customStyle="1" w:styleId="cf01">
    <w:name w:val="cf01"/>
    <w:basedOn w:val="afa"/>
    <w:qFormat/>
    <w:rsid w:val="00722DFE"/>
    <w:rPr>
      <w:rFonts w:ascii="Microsoft YaHei UI" w:eastAsia="Microsoft YaHei UI" w:hAnsi="Microsoft YaHei UI" w:hint="eastAsia"/>
      <w:sz w:val="18"/>
      <w:szCs w:val="18"/>
    </w:rPr>
  </w:style>
  <w:style w:type="character" w:customStyle="1" w:styleId="cf21">
    <w:name w:val="cf21"/>
    <w:basedOn w:val="afa"/>
    <w:qFormat/>
    <w:rsid w:val="00722DFE"/>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722DFE"/>
    <w:rPr>
      <w:rFonts w:ascii="Microsoft YaHei UI" w:eastAsia="Microsoft YaHei UI" w:hAnsi="Microsoft YaHei UI" w:hint="eastAsia"/>
      <w:sz w:val="18"/>
      <w:szCs w:val="18"/>
    </w:rPr>
  </w:style>
  <w:style w:type="paragraph" w:customStyle="1" w:styleId="-22">
    <w:name w:val="正文-首缩2字符"/>
    <w:basedOn w:val="af8"/>
    <w:uiPriority w:val="99"/>
    <w:qFormat/>
    <w:rsid w:val="00722DFE"/>
    <w:pPr>
      <w:ind w:firstLineChars="200" w:firstLine="200"/>
      <w:jc w:val="left"/>
    </w:pPr>
    <w:rPr>
      <w:rFonts w:hAnsi="宋体" w:cs="宋体"/>
      <w:szCs w:val="24"/>
    </w:rPr>
  </w:style>
  <w:style w:type="paragraph" w:customStyle="1" w:styleId="21e">
    <w:name w:val="正文首行缩进 21"/>
    <w:basedOn w:val="1d"/>
    <w:qFormat/>
    <w:rsid w:val="00722DFE"/>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f">
    <w:name w:val="正文文本首行缩进 21"/>
    <w:basedOn w:val="aff1"/>
    <w:qFormat/>
    <w:rsid w:val="00722DFE"/>
    <w:pPr>
      <w:ind w:firstLine="420"/>
    </w:pPr>
    <w:rPr>
      <w:rFonts w:ascii="Calibri" w:hAnsi="Calibri"/>
      <w:sz w:val="24"/>
      <w:szCs w:val="24"/>
    </w:rPr>
  </w:style>
  <w:style w:type="paragraph" w:customStyle="1" w:styleId="222">
    <w:name w:val="正文首行缩进 22"/>
    <w:basedOn w:val="aff1"/>
    <w:qFormat/>
    <w:rsid w:val="00722DFE"/>
    <w:pPr>
      <w:spacing w:after="0" w:line="360" w:lineRule="auto"/>
      <w:ind w:leftChars="0" w:left="0" w:firstLineChars="200" w:firstLine="420"/>
    </w:pPr>
    <w:rPr>
      <w:rFonts w:ascii="Calibri" w:hAnsi="Calibri"/>
      <w:sz w:val="24"/>
      <w:szCs w:val="24"/>
    </w:rPr>
  </w:style>
  <w:style w:type="paragraph" w:customStyle="1" w:styleId="2110">
    <w:name w:val="修订211"/>
    <w:uiPriority w:val="99"/>
    <w:qFormat/>
    <w:rsid w:val="00722DFE"/>
    <w:rPr>
      <w:rFonts w:ascii="Times New Roman" w:eastAsia="宋体" w:hAnsi="Times New Roman" w:cs="Times New Roman"/>
      <w:szCs w:val="21"/>
    </w:rPr>
  </w:style>
  <w:style w:type="paragraph" w:customStyle="1" w:styleId="73">
    <w:name w:val="修订7"/>
    <w:uiPriority w:val="99"/>
    <w:qFormat/>
    <w:rsid w:val="00722DFE"/>
    <w:rPr>
      <w:rFonts w:ascii="Calibri" w:eastAsia="宋体" w:hAnsi="Calibri" w:cs="Times New Roman"/>
      <w:szCs w:val="24"/>
    </w:rPr>
  </w:style>
  <w:style w:type="paragraph" w:customStyle="1" w:styleId="84">
    <w:name w:val="修订8"/>
    <w:uiPriority w:val="99"/>
    <w:qFormat/>
    <w:rsid w:val="00722DFE"/>
    <w:rPr>
      <w:rFonts w:ascii="Calibri" w:eastAsia="宋体" w:hAnsi="Calibri" w:cs="Times New Roman"/>
      <w:szCs w:val="24"/>
    </w:rPr>
  </w:style>
  <w:style w:type="paragraph" w:customStyle="1" w:styleId="93">
    <w:name w:val="修订9"/>
    <w:uiPriority w:val="99"/>
    <w:qFormat/>
    <w:rsid w:val="00722DFE"/>
    <w:rPr>
      <w:rFonts w:ascii="Calibri" w:eastAsia="宋体" w:hAnsi="Calibri" w:cs="Times New Roman"/>
      <w:szCs w:val="24"/>
    </w:rPr>
  </w:style>
  <w:style w:type="paragraph" w:customStyle="1" w:styleId="1-11">
    <w:name w:val="中等深浅底纹 1 - 强调文字颜色 11"/>
    <w:uiPriority w:val="1"/>
    <w:qFormat/>
    <w:rsid w:val="00722DFE"/>
    <w:rPr>
      <w:rFonts w:ascii="Calibri" w:eastAsia="宋体" w:hAnsi="Calibri" w:cs="Times New Roman"/>
      <w:kern w:val="0"/>
      <w:sz w:val="22"/>
    </w:rPr>
  </w:style>
  <w:style w:type="paragraph" w:customStyle="1" w:styleId="NormalIndent">
    <w:name w:val="NormalIndent"/>
    <w:basedOn w:val="af8"/>
    <w:qFormat/>
    <w:rsid w:val="00722DFE"/>
    <w:pPr>
      <w:ind w:firstLineChars="200" w:firstLine="420"/>
      <w:textAlignment w:val="baseline"/>
    </w:pPr>
    <w:rPr>
      <w:rFonts w:ascii="Calibri" w:hAnsi="Calibri"/>
      <w:szCs w:val="24"/>
    </w:rPr>
  </w:style>
  <w:style w:type="paragraph" w:customStyle="1" w:styleId="100">
    <w:name w:val="修订10"/>
    <w:uiPriority w:val="99"/>
    <w:qFormat/>
    <w:rsid w:val="00722DFE"/>
    <w:rPr>
      <w:rFonts w:ascii="Calibri" w:eastAsia="宋体" w:hAnsi="Calibri" w:cs="Times New Roman"/>
      <w:szCs w:val="24"/>
    </w:rPr>
  </w:style>
  <w:style w:type="character" w:customStyle="1" w:styleId="101">
    <w:name w:val="10"/>
    <w:basedOn w:val="afa"/>
    <w:qFormat/>
    <w:rsid w:val="00722DFE"/>
    <w:rPr>
      <w:rFonts w:ascii="Calibri" w:hAnsi="Calibri" w:cs="Calibri" w:hint="default"/>
    </w:rPr>
  </w:style>
  <w:style w:type="table" w:customStyle="1" w:styleId="2ffe">
    <w:name w:val="网格型2"/>
    <w:basedOn w:val="afb"/>
    <w:uiPriority w:val="99"/>
    <w:qFormat/>
    <w:rsid w:val="00722DFE"/>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fb"/>
    <w:qFormat/>
    <w:rsid w:val="00722DFE"/>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rsid w:val="00722DFE"/>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Web0">
    <w:name w:val="普通(Web)"/>
    <w:qFormat/>
    <w:rsid w:val="00722DFE"/>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722DFE"/>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722DFE"/>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722DFE"/>
    <w:rPr>
      <w:szCs w:val="24"/>
    </w:rPr>
  </w:style>
  <w:style w:type="paragraph" w:customStyle="1" w:styleId="affffffffffe">
    <w:name w:val="标准文本"/>
    <w:basedOn w:val="af8"/>
    <w:uiPriority w:val="99"/>
    <w:qFormat/>
    <w:rsid w:val="00722DFE"/>
    <w:pPr>
      <w:spacing w:line="360" w:lineRule="auto"/>
      <w:ind w:firstLine="420"/>
      <w:jc w:val="left"/>
    </w:pPr>
    <w:rPr>
      <w:rFonts w:cs="宋体"/>
      <w:kern w:val="0"/>
      <w:sz w:val="24"/>
      <w:szCs w:val="24"/>
    </w:rPr>
  </w:style>
  <w:style w:type="character" w:customStyle="1" w:styleId="CharCharChar0">
    <w:name w:val="方案正文 Char Char Char"/>
    <w:link w:val="ac"/>
    <w:qFormat/>
    <w:rsid w:val="00722DFE"/>
    <w:rPr>
      <w:rFonts w:ascii="宋体" w:eastAsia="宋体" w:hAnsi="宋体" w:cs="Arial"/>
      <w:snapToGrid w:val="0"/>
      <w:kern w:val="0"/>
      <w:sz w:val="24"/>
      <w:szCs w:val="21"/>
    </w:rPr>
  </w:style>
  <w:style w:type="paragraph" w:customStyle="1" w:styleId="122">
    <w:name w:val="修订12"/>
    <w:uiPriority w:val="99"/>
    <w:qFormat/>
    <w:rsid w:val="00722DFE"/>
    <w:rPr>
      <w:rFonts w:ascii="Times New Roman" w:eastAsia="宋体" w:hAnsi="Times New Roman" w:cs="Times New Roman"/>
      <w:szCs w:val="24"/>
    </w:rPr>
  </w:style>
  <w:style w:type="paragraph" w:customStyle="1" w:styleId="p">
    <w:name w:val="p"/>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f8"/>
    <w:qFormat/>
    <w:rsid w:val="00722DFE"/>
    <w:pPr>
      <w:widowControl/>
      <w:pBdr>
        <w:top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09">
    <w:name w:val="xl109"/>
    <w:basedOn w:val="af8"/>
    <w:qFormat/>
    <w:rsid w:val="00722DFE"/>
    <w:pPr>
      <w:widowControl/>
      <w:pBdr>
        <w:top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0">
    <w:name w:val="xl110"/>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1">
    <w:name w:val="xl111"/>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2">
    <w:name w:val="xl112"/>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3">
    <w:name w:val="xl113"/>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4">
    <w:name w:val="xl11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5">
    <w:name w:val="xl115"/>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6">
    <w:name w:val="xl116"/>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7">
    <w:name w:val="xl117"/>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8">
    <w:name w:val="xl118"/>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9">
    <w:name w:val="xl11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0">
    <w:name w:val="xl12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1">
    <w:name w:val="xl121"/>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22">
    <w:name w:val="xl122"/>
    <w:basedOn w:val="af8"/>
    <w:qFormat/>
    <w:rsid w:val="00722DFE"/>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3">
    <w:name w:val="xl123"/>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24">
    <w:name w:val="xl124"/>
    <w:basedOn w:val="af8"/>
    <w:qFormat/>
    <w:rsid w:val="00722DFE"/>
    <w:pPr>
      <w:widowControl/>
      <w:pBdr>
        <w:left w:val="single" w:sz="4" w:space="0" w:color="auto"/>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5">
    <w:name w:val="xl125"/>
    <w:basedOn w:val="af8"/>
    <w:qFormat/>
    <w:rsid w:val="00722DFE"/>
    <w:pPr>
      <w:widowControl/>
      <w:pBdr>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6">
    <w:name w:val="xl126"/>
    <w:basedOn w:val="af8"/>
    <w:qFormat/>
    <w:rsid w:val="00722DFE"/>
    <w:pPr>
      <w:widowControl/>
      <w:pBdr>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7">
    <w:name w:val="xl12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rPr>
  </w:style>
  <w:style w:type="paragraph" w:customStyle="1" w:styleId="xl128">
    <w:name w:val="xl12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29">
    <w:name w:val="xl12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0">
    <w:name w:val="xl130"/>
    <w:basedOn w:val="af8"/>
    <w:qFormat/>
    <w:rsid w:val="00722DFE"/>
    <w:pPr>
      <w:widowControl/>
      <w:pBdr>
        <w:top w:val="single" w:sz="4" w:space="0" w:color="auto"/>
        <w:left w:val="single" w:sz="4" w:space="0" w:color="auto"/>
        <w:bottom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1">
    <w:name w:val="xl131"/>
    <w:basedOn w:val="af8"/>
    <w:qFormat/>
    <w:rsid w:val="00722DFE"/>
    <w:pPr>
      <w:widowControl/>
      <w:pBdr>
        <w:top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2">
    <w:name w:val="xl13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3">
    <w:name w:val="xl13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4">
    <w:name w:val="xl13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5">
    <w:name w:val="xl135"/>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6">
    <w:name w:val="xl13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7">
    <w:name w:val="xl13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8">
    <w:name w:val="xl13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9">
    <w:name w:val="xl139"/>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0">
    <w:name w:val="xl14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1">
    <w:name w:val="xl141"/>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2">
    <w:name w:val="xl142"/>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3">
    <w:name w:val="xl143"/>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4">
    <w:name w:val="xl14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45">
    <w:name w:val="xl145"/>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6">
    <w:name w:val="xl14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7">
    <w:name w:val="xl147"/>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8">
    <w:name w:val="xl148"/>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9">
    <w:name w:val="xl149"/>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0">
    <w:name w:val="xl150"/>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FF0000"/>
      <w:kern w:val="0"/>
      <w:sz w:val="20"/>
    </w:rPr>
  </w:style>
  <w:style w:type="paragraph" w:customStyle="1" w:styleId="xl151">
    <w:name w:val="xl151"/>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2">
    <w:name w:val="xl152"/>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3">
    <w:name w:val="xl15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4">
    <w:name w:val="xl15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5">
    <w:name w:val="xl155"/>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6">
    <w:name w:val="xl15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57">
    <w:name w:val="xl157"/>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58">
    <w:name w:val="xl158"/>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9">
    <w:name w:val="xl15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0">
    <w:name w:val="xl16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1">
    <w:name w:val="xl161"/>
    <w:basedOn w:val="af8"/>
    <w:qFormat/>
    <w:rsid w:val="00722DFE"/>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2">
    <w:name w:val="xl162"/>
    <w:basedOn w:val="af8"/>
    <w:qFormat/>
    <w:rsid w:val="00722DFE"/>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3">
    <w:name w:val="xl163"/>
    <w:basedOn w:val="af8"/>
    <w:qFormat/>
    <w:rsid w:val="00722DFE"/>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4">
    <w:name w:val="xl16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6">
    <w:name w:val="xl166"/>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7">
    <w:name w:val="xl167"/>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68">
    <w:name w:val="xl168"/>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9">
    <w:name w:val="xl16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0">
    <w:name w:val="xl17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1">
    <w:name w:val="xl171"/>
    <w:basedOn w:val="af8"/>
    <w:qFormat/>
    <w:rsid w:val="00722DFE"/>
    <w:pPr>
      <w:widowControl/>
      <w:pBdr>
        <w:top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2">
    <w:name w:val="xl172"/>
    <w:basedOn w:val="af8"/>
    <w:qFormat/>
    <w:rsid w:val="00722DFE"/>
    <w:pPr>
      <w:widowControl/>
      <w:pBdr>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3">
    <w:name w:val="xl173"/>
    <w:basedOn w:val="af8"/>
    <w:qFormat/>
    <w:rsid w:val="00722DFE"/>
    <w:pPr>
      <w:widowControl/>
      <w:pBdr>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4">
    <w:name w:val="xl174"/>
    <w:basedOn w:val="af8"/>
    <w:qFormat/>
    <w:rsid w:val="00722DFE"/>
    <w:pPr>
      <w:widowControl/>
      <w:pBdr>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5">
    <w:name w:val="xl175"/>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6">
    <w:name w:val="xl176"/>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7">
    <w:name w:val="xl177"/>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8">
    <w:name w:val="xl178"/>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9">
    <w:name w:val="xl17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0">
    <w:name w:val="xl180"/>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1">
    <w:name w:val="xl181"/>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82">
    <w:name w:val="xl18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83">
    <w:name w:val="xl183"/>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4">
    <w:name w:val="xl18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85">
    <w:name w:val="xl185"/>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6">
    <w:name w:val="xl18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1013">
    <w:name w:val="样式 10 磅13"/>
    <w:uiPriority w:val="99"/>
    <w:qFormat/>
    <w:rsid w:val="00722DFE"/>
    <w:pPr>
      <w:widowControl w:val="0"/>
      <w:spacing w:after="160" w:line="276" w:lineRule="auto"/>
      <w:jc w:val="both"/>
    </w:pPr>
    <w:rPr>
      <w:rFonts w:ascii="Times New Roman" w:eastAsia="宋体" w:hAnsi="Times New Roman" w:cs="Times New Roman"/>
      <w:szCs w:val="24"/>
    </w:rPr>
  </w:style>
  <w:style w:type="paragraph" w:customStyle="1" w:styleId="BECC">
    <w:name w:val="!BECC正文"/>
    <w:basedOn w:val="af8"/>
    <w:link w:val="BECCChar"/>
    <w:qFormat/>
    <w:rsid w:val="00722DFE"/>
    <w:pPr>
      <w:widowControl/>
      <w:tabs>
        <w:tab w:val="left" w:pos="0"/>
      </w:tabs>
      <w:spacing w:after="160" w:line="360" w:lineRule="auto"/>
      <w:ind w:firstLineChars="200" w:firstLine="200"/>
      <w:contextualSpacing/>
      <w:jc w:val="left"/>
    </w:pPr>
    <w:rPr>
      <w:rFonts w:ascii="Calibri" w:hAnsi="Calibri"/>
      <w:szCs w:val="24"/>
      <w:lang w:val="zh-CN"/>
    </w:rPr>
  </w:style>
  <w:style w:type="character" w:customStyle="1" w:styleId="font112">
    <w:name w:val="font112"/>
    <w:basedOn w:val="afa"/>
    <w:qFormat/>
    <w:rsid w:val="00722DFE"/>
    <w:rPr>
      <w:rFonts w:ascii="宋体" w:eastAsia="宋体" w:hAnsi="宋体" w:cs="宋体" w:hint="eastAsia"/>
      <w:color w:val="000000"/>
      <w:sz w:val="20"/>
      <w:szCs w:val="20"/>
      <w:u w:val="none"/>
    </w:rPr>
  </w:style>
  <w:style w:type="paragraph" w:customStyle="1" w:styleId="Revision28716dda-cb4a-44e3-be78-33d35a55d4a0">
    <w:name w:val="Revision_28716dda-cb4a-44e3-be78-33d35a55d4a0"/>
    <w:uiPriority w:val="99"/>
    <w:qFormat/>
    <w:rsid w:val="00722DFE"/>
    <w:rPr>
      <w:rFonts w:ascii="Calibri" w:eastAsia="宋体" w:hAnsi="Calibri" w:cs="Times New Roman"/>
      <w:szCs w:val="24"/>
    </w:rPr>
  </w:style>
  <w:style w:type="paragraph" w:customStyle="1" w:styleId="223">
    <w:name w:val="修订22"/>
    <w:uiPriority w:val="99"/>
    <w:qFormat/>
    <w:rsid w:val="00722DFE"/>
    <w:rPr>
      <w:rFonts w:ascii="Times New Roman" w:eastAsia="宋体" w:hAnsi="Times New Roman" w:cs="Times New Roman"/>
      <w:szCs w:val="21"/>
    </w:rPr>
  </w:style>
  <w:style w:type="paragraph" w:customStyle="1" w:styleId="Style377">
    <w:name w:val="_Style 377"/>
    <w:basedOn w:val="af8"/>
    <w:next w:val="afff6"/>
    <w:uiPriority w:val="1"/>
    <w:qFormat/>
    <w:rsid w:val="00722DFE"/>
    <w:pPr>
      <w:spacing w:before="43" w:after="160" w:line="278" w:lineRule="auto"/>
      <w:ind w:left="386" w:hanging="266"/>
    </w:pPr>
    <w:rPr>
      <w:rFonts w:ascii="宋体" w:hAnsi="宋体" w:cs="宋体"/>
      <w:szCs w:val="22"/>
      <w:lang w:val="zh-CN" w:bidi="zh-CN"/>
    </w:rPr>
  </w:style>
  <w:style w:type="character" w:customStyle="1" w:styleId="2fff">
    <w:name w:val="正文文本缩进 2 字符"/>
    <w:qFormat/>
    <w:rsid w:val="00722DFE"/>
    <w:rPr>
      <w:rFonts w:ascii="宋体" w:hAnsi="宋体"/>
      <w:kern w:val="2"/>
      <w:sz w:val="30"/>
      <w:szCs w:val="24"/>
    </w:rPr>
  </w:style>
  <w:style w:type="character" w:customStyle="1" w:styleId="afffffffffff">
    <w:name w:val="正文文本 字符"/>
    <w:qFormat/>
    <w:rsid w:val="00722DFE"/>
    <w:rPr>
      <w:kern w:val="2"/>
      <w:sz w:val="21"/>
      <w:szCs w:val="24"/>
    </w:rPr>
  </w:style>
  <w:style w:type="paragraph" w:customStyle="1" w:styleId="Style386">
    <w:name w:val="_Style 386"/>
    <w:basedOn w:val="af8"/>
    <w:next w:val="afff6"/>
    <w:uiPriority w:val="34"/>
    <w:qFormat/>
    <w:rsid w:val="00722DFE"/>
    <w:pPr>
      <w:spacing w:after="160" w:line="278" w:lineRule="auto"/>
      <w:ind w:firstLineChars="200" w:firstLine="420"/>
    </w:pPr>
    <w:rPr>
      <w:rFonts w:ascii="Calibri" w:hAnsi="Calibri"/>
      <w:szCs w:val="24"/>
    </w:rPr>
  </w:style>
  <w:style w:type="paragraph" w:customStyle="1" w:styleId="3f4">
    <w:name w:val="正文3"/>
    <w:uiPriority w:val="99"/>
    <w:qFormat/>
    <w:rsid w:val="00722DFE"/>
    <w:pPr>
      <w:spacing w:after="160" w:line="278" w:lineRule="auto"/>
      <w:jc w:val="both"/>
    </w:pPr>
    <w:rPr>
      <w:rFonts w:ascii="Calibri" w:eastAsia="宋体" w:hAnsi="Calibri" w:cs="Calibri"/>
      <w:szCs w:val="21"/>
    </w:rPr>
  </w:style>
  <w:style w:type="paragraph" w:customStyle="1" w:styleId="Style389">
    <w:name w:val="_Style 389"/>
    <w:basedOn w:val="af8"/>
    <w:next w:val="afff6"/>
    <w:uiPriority w:val="34"/>
    <w:qFormat/>
    <w:rsid w:val="00722DFE"/>
    <w:pPr>
      <w:spacing w:after="160" w:line="278" w:lineRule="auto"/>
      <w:ind w:firstLineChars="200" w:firstLine="420"/>
    </w:pPr>
    <w:rPr>
      <w:rFonts w:ascii="Calibri" w:hAnsi="Calibri"/>
      <w:szCs w:val="24"/>
    </w:rPr>
  </w:style>
  <w:style w:type="character" w:customStyle="1" w:styleId="HTMLChar0">
    <w:name w:val="HTML 预先格式化 Char"/>
    <w:link w:val="HTML3"/>
    <w:qFormat/>
    <w:rsid w:val="00722DFE"/>
    <w:rPr>
      <w:rFonts w:ascii="黑体" w:eastAsia="黑体" w:hAnsi="Courier New"/>
    </w:rPr>
  </w:style>
  <w:style w:type="paragraph" w:customStyle="1" w:styleId="HTML3">
    <w:name w:val="HTML 预先格式化"/>
    <w:basedOn w:val="af8"/>
    <w:link w:val="HTMLChar0"/>
    <w:qFormat/>
    <w:rsid w:val="00722D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8" w:lineRule="auto"/>
      <w:jc w:val="left"/>
    </w:pPr>
    <w:rPr>
      <w:rFonts w:ascii="黑体" w:eastAsia="黑体" w:hAnsi="Courier New" w:cstheme="minorBidi"/>
      <w:szCs w:val="22"/>
    </w:rPr>
  </w:style>
  <w:style w:type="character" w:customStyle="1" w:styleId="BECCChar">
    <w:name w:val="!BECC正文 Char"/>
    <w:link w:val="BECC"/>
    <w:qFormat/>
    <w:rsid w:val="00722DFE"/>
    <w:rPr>
      <w:rFonts w:ascii="Calibri" w:eastAsia="宋体" w:hAnsi="Calibri" w:cs="Times New Roman"/>
      <w:szCs w:val="24"/>
      <w:lang w:val="zh-CN"/>
    </w:rPr>
  </w:style>
  <w:style w:type="character" w:customStyle="1" w:styleId="085Char">
    <w:name w:val="首行缩进:  0.85 厘米 Char"/>
    <w:link w:val="085"/>
    <w:qFormat/>
    <w:rsid w:val="00722DFE"/>
    <w:rPr>
      <w:rFonts w:cs="宋体"/>
      <w:sz w:val="24"/>
      <w:lang w:eastAsia="en-US" w:bidi="en-US"/>
    </w:rPr>
  </w:style>
  <w:style w:type="paragraph" w:customStyle="1" w:styleId="085">
    <w:name w:val="首行缩进:  0.85 厘米"/>
    <w:basedOn w:val="af8"/>
    <w:link w:val="085Char"/>
    <w:qFormat/>
    <w:rsid w:val="00722DFE"/>
    <w:pPr>
      <w:widowControl/>
      <w:spacing w:after="100" w:line="360" w:lineRule="auto"/>
      <w:ind w:firstLine="482"/>
      <w:jc w:val="left"/>
    </w:pPr>
    <w:rPr>
      <w:rFonts w:asciiTheme="minorHAnsi" w:eastAsiaTheme="minorEastAsia" w:hAnsiTheme="minorHAnsi" w:cs="宋体"/>
      <w:sz w:val="24"/>
      <w:szCs w:val="22"/>
      <w:lang w:eastAsia="en-US" w:bidi="en-US"/>
    </w:rPr>
  </w:style>
  <w:style w:type="paragraph" w:customStyle="1" w:styleId="afffffffffff0">
    <w:name w:val="左对齐的表内文字"/>
    <w:basedOn w:val="af8"/>
    <w:qFormat/>
    <w:rsid w:val="00722DFE"/>
    <w:pPr>
      <w:widowControl/>
      <w:spacing w:after="200" w:line="276" w:lineRule="auto"/>
      <w:jc w:val="left"/>
    </w:pPr>
    <w:rPr>
      <w:rFonts w:ascii="Calibri" w:eastAsia="仿宋_GB2312" w:hAnsi="Calibri" w:cs="宋体"/>
      <w:kern w:val="0"/>
      <w:sz w:val="22"/>
      <w:szCs w:val="24"/>
    </w:rPr>
  </w:style>
  <w:style w:type="table" w:customStyle="1" w:styleId="3f5">
    <w:name w:val="网格型3"/>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网格型4"/>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网格型6"/>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网格型7"/>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三级标题"/>
    <w:basedOn w:val="afffffffe"/>
    <w:qFormat/>
    <w:rsid w:val="00722DFE"/>
    <w:pPr>
      <w:keepLines w:val="0"/>
      <w:spacing w:beforeLines="100" w:afterLines="100" w:after="160"/>
      <w:contextualSpacing w:val="0"/>
      <w:jc w:val="left"/>
      <w:outlineLvl w:val="2"/>
    </w:pPr>
    <w:rPr>
      <w:rFonts w:ascii="Times New Roman" w:hAnsi="Times New Roman" w:cs="Times New Roman"/>
      <w:b/>
      <w:sz w:val="24"/>
      <w:szCs w:val="24"/>
    </w:rPr>
  </w:style>
  <w:style w:type="paragraph" w:customStyle="1" w:styleId="afffffffffff2">
    <w:name w:val="五级标题"/>
    <w:basedOn w:val="affffffff"/>
    <w:qFormat/>
    <w:rsid w:val="00722DFE"/>
    <w:pPr>
      <w:widowControl w:val="0"/>
      <w:tabs>
        <w:tab w:val="clear" w:pos="432"/>
        <w:tab w:val="clear" w:pos="720"/>
        <w:tab w:val="clear" w:pos="851"/>
      </w:tabs>
      <w:spacing w:beforeLines="100" w:afterLines="100" w:after="160" w:line="360" w:lineRule="auto"/>
      <w:ind w:rightChars="0" w:right="0"/>
      <w:outlineLvl w:val="4"/>
    </w:pPr>
    <w:rPr>
      <w:rFonts w:ascii="Times New Roman" w:eastAsia="黑体" w:hAnsi="Times New Roman" w:cs="Times New Roman"/>
      <w:bCs w:val="0"/>
      <w:sz w:val="24"/>
      <w:szCs w:val="24"/>
    </w:rPr>
  </w:style>
  <w:style w:type="paragraph" w:customStyle="1" w:styleId="afffffffffff3">
    <w:name w:val="六级标题"/>
    <w:basedOn w:val="afffffffffff2"/>
    <w:qFormat/>
    <w:rsid w:val="00722DFE"/>
    <w:pPr>
      <w:outlineLvl w:val="5"/>
    </w:pPr>
  </w:style>
  <w:style w:type="paragraph" w:customStyle="1" w:styleId="Revisionedd2a0bf-085b-4d36-ad3c-b3f7770a2063">
    <w:name w:val="Revision_edd2a0bf-085b-4d36-ad3c-b3f7770a2063"/>
    <w:uiPriority w:val="99"/>
    <w:qFormat/>
    <w:rsid w:val="00722DFE"/>
    <w:rPr>
      <w:rFonts w:ascii="Calibri" w:eastAsia="宋体" w:hAnsi="Calibri" w:cs="Times New Roman"/>
      <w:szCs w:val="24"/>
    </w:rPr>
  </w:style>
  <w:style w:type="paragraph" w:customStyle="1" w:styleId="1210">
    <w:name w:val="修订121"/>
    <w:uiPriority w:val="99"/>
    <w:qFormat/>
    <w:rsid w:val="00722DFE"/>
    <w:rPr>
      <w:rFonts w:ascii="Times New Roman" w:eastAsia="宋体" w:hAnsi="Times New Roman" w:cs="Times New Roman"/>
      <w:szCs w:val="24"/>
    </w:rPr>
  </w:style>
  <w:style w:type="paragraph" w:customStyle="1" w:styleId="131">
    <w:name w:val="修订13"/>
    <w:uiPriority w:val="99"/>
    <w:qFormat/>
    <w:rsid w:val="00722DFE"/>
    <w:rPr>
      <w:rFonts w:ascii="Times New Roman" w:eastAsia="宋体" w:hAnsi="Times New Roman" w:cs="Times New Roman"/>
      <w:szCs w:val="24"/>
    </w:rPr>
  </w:style>
  <w:style w:type="paragraph" w:customStyle="1" w:styleId="141">
    <w:name w:val="修订14"/>
    <w:uiPriority w:val="99"/>
    <w:qFormat/>
    <w:rsid w:val="00722DFE"/>
    <w:rPr>
      <w:rFonts w:ascii="Times New Roman" w:eastAsia="宋体" w:hAnsi="Times New Roman" w:cs="Times New Roman"/>
      <w:szCs w:val="24"/>
    </w:rPr>
  </w:style>
  <w:style w:type="paragraph" w:customStyle="1" w:styleId="152">
    <w:name w:val="修订15"/>
    <w:uiPriority w:val="99"/>
    <w:rsid w:val="00722DFE"/>
    <w:rPr>
      <w:rFonts w:ascii="Times New Roman" w:eastAsia="宋体" w:hAnsi="Times New Roman" w:cs="Times New Roman"/>
      <w:szCs w:val="24"/>
    </w:rPr>
  </w:style>
  <w:style w:type="paragraph" w:customStyle="1" w:styleId="161">
    <w:name w:val="修订16"/>
    <w:hidden/>
    <w:uiPriority w:val="99"/>
    <w:unhideWhenUsed/>
    <w:rsid w:val="00722DFE"/>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uiPriority w:val="99"/>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iPriority w:val="99"/>
    <w:unhideWhenUsed/>
    <w:qFormat/>
    <w:rsid w:val="007A21C4"/>
    <w:pPr>
      <w:spacing w:after="120"/>
      <w:ind w:leftChars="200" w:left="420"/>
    </w:pPr>
  </w:style>
  <w:style w:type="character" w:customStyle="1" w:styleId="Char3">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uiPriority w:val="99"/>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uiPriority w:val="99"/>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qFormat/>
    <w:locked/>
    <w:rsid w:val="004E55A3"/>
    <w:rPr>
      <w:rFonts w:ascii="宋体" w:hAnsi="宋体"/>
      <w:sz w:val="24"/>
      <w:szCs w:val="24"/>
    </w:rPr>
  </w:style>
  <w:style w:type="paragraph" w:customStyle="1" w:styleId="afffffff9">
    <w:name w:val="_正文段落"/>
    <w:basedOn w:val="af8"/>
    <w:link w:val="Charff8"/>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qFormat/>
    <w:locked/>
    <w:rsid w:val="004E55A3"/>
    <w:pPr>
      <w:numPr>
        <w:numId w:val="20"/>
      </w:numPr>
      <w:ind w:left="1984" w:hanging="708"/>
    </w:pPr>
  </w:style>
  <w:style w:type="paragraph" w:customStyle="1" w:styleId="4-6">
    <w:name w:val="标题4-6"/>
    <w:basedOn w:val="4-1"/>
    <w:link w:val="4-6Char"/>
    <w:uiPriority w:val="99"/>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qFormat/>
    <w:locked/>
    <w:rsid w:val="004E55A3"/>
    <w:rPr>
      <w:rFonts w:ascii="Cambria" w:hAnsi="Cambria"/>
      <w:b/>
      <w:bCs/>
      <w:sz w:val="32"/>
      <w:szCs w:val="32"/>
    </w:rPr>
  </w:style>
  <w:style w:type="paragraph" w:customStyle="1" w:styleId="MMTitle">
    <w:name w:val="MM Title"/>
    <w:basedOn w:val="aff0"/>
    <w:link w:val="MMTitleChar"/>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qFormat/>
    <w:locked/>
    <w:rsid w:val="004E55A3"/>
    <w:rPr>
      <w:rFonts w:ascii="微软雅黑" w:eastAsia="微软雅黑" w:hAnsi="微软雅黑" w:cs="微软雅黑"/>
      <w:b/>
      <w:bCs/>
      <w:sz w:val="28"/>
      <w:szCs w:val="32"/>
    </w:rPr>
  </w:style>
  <w:style w:type="character" w:customStyle="1" w:styleId="4-4Char">
    <w:name w:val="标题4-4 Char"/>
    <w:link w:val="4-4"/>
    <w:uiPriority w:val="99"/>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qFormat/>
    <w:locked/>
    <w:rsid w:val="004E55A3"/>
    <w:rPr>
      <w:rFonts w:ascii="宋体" w:hAnsi="宋体"/>
      <w:lang w:bidi="he-IL"/>
    </w:rPr>
  </w:style>
  <w:style w:type="paragraph" w:customStyle="1" w:styleId="11-">
    <w:name w:val="11-正文"/>
    <w:basedOn w:val="af8"/>
    <w:link w:val="11-Char"/>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qFormat/>
    <w:locked/>
    <w:rsid w:val="004E55A3"/>
    <w:rPr>
      <w:rFonts w:ascii="Trebuchet MS" w:eastAsia="Times New Roman" w:hAnsi="FuturaA Bk BT"/>
      <w:sz w:val="24"/>
      <w:szCs w:val="21"/>
    </w:rPr>
  </w:style>
  <w:style w:type="paragraph" w:customStyle="1" w:styleId="ZX-">
    <w:name w:val="ZX-正文"/>
    <w:link w:val="ZX-Char"/>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qFormat/>
    <w:locked/>
    <w:rsid w:val="004E55A3"/>
    <w:rPr>
      <w:i/>
      <w:iCs/>
      <w:color w:val="0000FF"/>
      <w:szCs w:val="21"/>
    </w:rPr>
  </w:style>
  <w:style w:type="paragraph" w:customStyle="1" w:styleId="affffffffc">
    <w:name w:val="编写建议"/>
    <w:basedOn w:val="af8"/>
    <w:link w:val="Charffff0"/>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link w:val="CharCharChar0"/>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 w:type="paragraph" w:styleId="affffffffffd">
    <w:name w:val="envelope return"/>
    <w:basedOn w:val="af8"/>
    <w:qFormat/>
    <w:rsid w:val="00722DFE"/>
    <w:pPr>
      <w:snapToGrid w:val="0"/>
    </w:pPr>
    <w:rPr>
      <w:rFonts w:ascii="Arial" w:hAnsi="Arial"/>
      <w:szCs w:val="24"/>
    </w:rPr>
  </w:style>
  <w:style w:type="character" w:customStyle="1" w:styleId="cf01">
    <w:name w:val="cf01"/>
    <w:basedOn w:val="afa"/>
    <w:qFormat/>
    <w:rsid w:val="00722DFE"/>
    <w:rPr>
      <w:rFonts w:ascii="Microsoft YaHei UI" w:eastAsia="Microsoft YaHei UI" w:hAnsi="Microsoft YaHei UI" w:hint="eastAsia"/>
      <w:sz w:val="18"/>
      <w:szCs w:val="18"/>
    </w:rPr>
  </w:style>
  <w:style w:type="character" w:customStyle="1" w:styleId="cf21">
    <w:name w:val="cf21"/>
    <w:basedOn w:val="afa"/>
    <w:qFormat/>
    <w:rsid w:val="00722DFE"/>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722DFE"/>
    <w:rPr>
      <w:rFonts w:ascii="Microsoft YaHei UI" w:eastAsia="Microsoft YaHei UI" w:hAnsi="Microsoft YaHei UI" w:hint="eastAsia"/>
      <w:sz w:val="18"/>
      <w:szCs w:val="18"/>
    </w:rPr>
  </w:style>
  <w:style w:type="paragraph" w:customStyle="1" w:styleId="-22">
    <w:name w:val="正文-首缩2字符"/>
    <w:basedOn w:val="af8"/>
    <w:uiPriority w:val="99"/>
    <w:qFormat/>
    <w:rsid w:val="00722DFE"/>
    <w:pPr>
      <w:ind w:firstLineChars="200" w:firstLine="200"/>
      <w:jc w:val="left"/>
    </w:pPr>
    <w:rPr>
      <w:rFonts w:hAnsi="宋体" w:cs="宋体"/>
      <w:szCs w:val="24"/>
    </w:rPr>
  </w:style>
  <w:style w:type="paragraph" w:customStyle="1" w:styleId="21e">
    <w:name w:val="正文首行缩进 21"/>
    <w:basedOn w:val="1d"/>
    <w:qFormat/>
    <w:rsid w:val="00722DFE"/>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f">
    <w:name w:val="正文文本首行缩进 21"/>
    <w:basedOn w:val="aff1"/>
    <w:qFormat/>
    <w:rsid w:val="00722DFE"/>
    <w:pPr>
      <w:ind w:firstLine="420"/>
    </w:pPr>
    <w:rPr>
      <w:rFonts w:ascii="Calibri" w:hAnsi="Calibri"/>
      <w:sz w:val="24"/>
      <w:szCs w:val="24"/>
    </w:rPr>
  </w:style>
  <w:style w:type="paragraph" w:customStyle="1" w:styleId="222">
    <w:name w:val="正文首行缩进 22"/>
    <w:basedOn w:val="aff1"/>
    <w:qFormat/>
    <w:rsid w:val="00722DFE"/>
    <w:pPr>
      <w:spacing w:after="0" w:line="360" w:lineRule="auto"/>
      <w:ind w:leftChars="0" w:left="0" w:firstLineChars="200" w:firstLine="420"/>
    </w:pPr>
    <w:rPr>
      <w:rFonts w:ascii="Calibri" w:hAnsi="Calibri"/>
      <w:sz w:val="24"/>
      <w:szCs w:val="24"/>
    </w:rPr>
  </w:style>
  <w:style w:type="paragraph" w:customStyle="1" w:styleId="2110">
    <w:name w:val="修订211"/>
    <w:uiPriority w:val="99"/>
    <w:qFormat/>
    <w:rsid w:val="00722DFE"/>
    <w:rPr>
      <w:rFonts w:ascii="Times New Roman" w:eastAsia="宋体" w:hAnsi="Times New Roman" w:cs="Times New Roman"/>
      <w:szCs w:val="21"/>
    </w:rPr>
  </w:style>
  <w:style w:type="paragraph" w:customStyle="1" w:styleId="73">
    <w:name w:val="修订7"/>
    <w:uiPriority w:val="99"/>
    <w:qFormat/>
    <w:rsid w:val="00722DFE"/>
    <w:rPr>
      <w:rFonts w:ascii="Calibri" w:eastAsia="宋体" w:hAnsi="Calibri" w:cs="Times New Roman"/>
      <w:szCs w:val="24"/>
    </w:rPr>
  </w:style>
  <w:style w:type="paragraph" w:customStyle="1" w:styleId="84">
    <w:name w:val="修订8"/>
    <w:uiPriority w:val="99"/>
    <w:qFormat/>
    <w:rsid w:val="00722DFE"/>
    <w:rPr>
      <w:rFonts w:ascii="Calibri" w:eastAsia="宋体" w:hAnsi="Calibri" w:cs="Times New Roman"/>
      <w:szCs w:val="24"/>
    </w:rPr>
  </w:style>
  <w:style w:type="paragraph" w:customStyle="1" w:styleId="93">
    <w:name w:val="修订9"/>
    <w:uiPriority w:val="99"/>
    <w:qFormat/>
    <w:rsid w:val="00722DFE"/>
    <w:rPr>
      <w:rFonts w:ascii="Calibri" w:eastAsia="宋体" w:hAnsi="Calibri" w:cs="Times New Roman"/>
      <w:szCs w:val="24"/>
    </w:rPr>
  </w:style>
  <w:style w:type="paragraph" w:customStyle="1" w:styleId="1-11">
    <w:name w:val="中等深浅底纹 1 - 强调文字颜色 11"/>
    <w:uiPriority w:val="1"/>
    <w:qFormat/>
    <w:rsid w:val="00722DFE"/>
    <w:rPr>
      <w:rFonts w:ascii="Calibri" w:eastAsia="宋体" w:hAnsi="Calibri" w:cs="Times New Roman"/>
      <w:kern w:val="0"/>
      <w:sz w:val="22"/>
    </w:rPr>
  </w:style>
  <w:style w:type="paragraph" w:customStyle="1" w:styleId="NormalIndent">
    <w:name w:val="NormalIndent"/>
    <w:basedOn w:val="af8"/>
    <w:qFormat/>
    <w:rsid w:val="00722DFE"/>
    <w:pPr>
      <w:ind w:firstLineChars="200" w:firstLine="420"/>
      <w:textAlignment w:val="baseline"/>
    </w:pPr>
    <w:rPr>
      <w:rFonts w:ascii="Calibri" w:hAnsi="Calibri"/>
      <w:szCs w:val="24"/>
    </w:rPr>
  </w:style>
  <w:style w:type="paragraph" w:customStyle="1" w:styleId="100">
    <w:name w:val="修订10"/>
    <w:uiPriority w:val="99"/>
    <w:qFormat/>
    <w:rsid w:val="00722DFE"/>
    <w:rPr>
      <w:rFonts w:ascii="Calibri" w:eastAsia="宋体" w:hAnsi="Calibri" w:cs="Times New Roman"/>
      <w:szCs w:val="24"/>
    </w:rPr>
  </w:style>
  <w:style w:type="character" w:customStyle="1" w:styleId="101">
    <w:name w:val="10"/>
    <w:basedOn w:val="afa"/>
    <w:qFormat/>
    <w:rsid w:val="00722DFE"/>
    <w:rPr>
      <w:rFonts w:ascii="Calibri" w:hAnsi="Calibri" w:cs="Calibri" w:hint="default"/>
    </w:rPr>
  </w:style>
  <w:style w:type="table" w:customStyle="1" w:styleId="2ffe">
    <w:name w:val="网格型2"/>
    <w:basedOn w:val="afb"/>
    <w:uiPriority w:val="99"/>
    <w:qFormat/>
    <w:rsid w:val="00722DFE"/>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fb"/>
    <w:qFormat/>
    <w:rsid w:val="00722DFE"/>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rsid w:val="00722DFE"/>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Web0">
    <w:name w:val="普通(Web)"/>
    <w:qFormat/>
    <w:rsid w:val="00722DFE"/>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722DFE"/>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722DFE"/>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722DFE"/>
    <w:rPr>
      <w:szCs w:val="24"/>
    </w:rPr>
  </w:style>
  <w:style w:type="paragraph" w:customStyle="1" w:styleId="affffffffffe">
    <w:name w:val="标准文本"/>
    <w:basedOn w:val="af8"/>
    <w:uiPriority w:val="99"/>
    <w:qFormat/>
    <w:rsid w:val="00722DFE"/>
    <w:pPr>
      <w:spacing w:line="360" w:lineRule="auto"/>
      <w:ind w:firstLine="420"/>
      <w:jc w:val="left"/>
    </w:pPr>
    <w:rPr>
      <w:rFonts w:cs="宋体"/>
      <w:kern w:val="0"/>
      <w:sz w:val="24"/>
      <w:szCs w:val="24"/>
    </w:rPr>
  </w:style>
  <w:style w:type="character" w:customStyle="1" w:styleId="CharCharChar0">
    <w:name w:val="方案正文 Char Char Char"/>
    <w:link w:val="ac"/>
    <w:qFormat/>
    <w:rsid w:val="00722DFE"/>
    <w:rPr>
      <w:rFonts w:ascii="宋体" w:eastAsia="宋体" w:hAnsi="宋体" w:cs="Arial"/>
      <w:snapToGrid w:val="0"/>
      <w:kern w:val="0"/>
      <w:sz w:val="24"/>
      <w:szCs w:val="21"/>
    </w:rPr>
  </w:style>
  <w:style w:type="paragraph" w:customStyle="1" w:styleId="122">
    <w:name w:val="修订12"/>
    <w:uiPriority w:val="99"/>
    <w:qFormat/>
    <w:rsid w:val="00722DFE"/>
    <w:rPr>
      <w:rFonts w:ascii="Times New Roman" w:eastAsia="宋体" w:hAnsi="Times New Roman" w:cs="Times New Roman"/>
      <w:szCs w:val="24"/>
    </w:rPr>
  </w:style>
  <w:style w:type="paragraph" w:customStyle="1" w:styleId="p">
    <w:name w:val="p"/>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f8"/>
    <w:qFormat/>
    <w:rsid w:val="00722DFE"/>
    <w:pPr>
      <w:widowControl/>
      <w:pBdr>
        <w:top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09">
    <w:name w:val="xl109"/>
    <w:basedOn w:val="af8"/>
    <w:qFormat/>
    <w:rsid w:val="00722DFE"/>
    <w:pPr>
      <w:widowControl/>
      <w:pBdr>
        <w:top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0">
    <w:name w:val="xl110"/>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1">
    <w:name w:val="xl111"/>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2">
    <w:name w:val="xl112"/>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3">
    <w:name w:val="xl113"/>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4">
    <w:name w:val="xl11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5">
    <w:name w:val="xl115"/>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6">
    <w:name w:val="xl116"/>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7">
    <w:name w:val="xl117"/>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8">
    <w:name w:val="xl118"/>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9">
    <w:name w:val="xl11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0">
    <w:name w:val="xl12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1">
    <w:name w:val="xl121"/>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22">
    <w:name w:val="xl122"/>
    <w:basedOn w:val="af8"/>
    <w:qFormat/>
    <w:rsid w:val="00722DFE"/>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3">
    <w:name w:val="xl123"/>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24">
    <w:name w:val="xl124"/>
    <w:basedOn w:val="af8"/>
    <w:qFormat/>
    <w:rsid w:val="00722DFE"/>
    <w:pPr>
      <w:widowControl/>
      <w:pBdr>
        <w:left w:val="single" w:sz="4" w:space="0" w:color="auto"/>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5">
    <w:name w:val="xl125"/>
    <w:basedOn w:val="af8"/>
    <w:qFormat/>
    <w:rsid w:val="00722DFE"/>
    <w:pPr>
      <w:widowControl/>
      <w:pBdr>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6">
    <w:name w:val="xl126"/>
    <w:basedOn w:val="af8"/>
    <w:qFormat/>
    <w:rsid w:val="00722DFE"/>
    <w:pPr>
      <w:widowControl/>
      <w:pBdr>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7">
    <w:name w:val="xl12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rPr>
  </w:style>
  <w:style w:type="paragraph" w:customStyle="1" w:styleId="xl128">
    <w:name w:val="xl12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29">
    <w:name w:val="xl12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0">
    <w:name w:val="xl130"/>
    <w:basedOn w:val="af8"/>
    <w:qFormat/>
    <w:rsid w:val="00722DFE"/>
    <w:pPr>
      <w:widowControl/>
      <w:pBdr>
        <w:top w:val="single" w:sz="4" w:space="0" w:color="auto"/>
        <w:left w:val="single" w:sz="4" w:space="0" w:color="auto"/>
        <w:bottom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1">
    <w:name w:val="xl131"/>
    <w:basedOn w:val="af8"/>
    <w:qFormat/>
    <w:rsid w:val="00722DFE"/>
    <w:pPr>
      <w:widowControl/>
      <w:pBdr>
        <w:top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2">
    <w:name w:val="xl13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3">
    <w:name w:val="xl13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4">
    <w:name w:val="xl13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5">
    <w:name w:val="xl135"/>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6">
    <w:name w:val="xl13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7">
    <w:name w:val="xl13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8">
    <w:name w:val="xl13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9">
    <w:name w:val="xl139"/>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0">
    <w:name w:val="xl14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1">
    <w:name w:val="xl141"/>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2">
    <w:name w:val="xl142"/>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3">
    <w:name w:val="xl143"/>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4">
    <w:name w:val="xl14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45">
    <w:name w:val="xl145"/>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6">
    <w:name w:val="xl14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7">
    <w:name w:val="xl147"/>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8">
    <w:name w:val="xl148"/>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9">
    <w:name w:val="xl149"/>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0">
    <w:name w:val="xl150"/>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FF0000"/>
      <w:kern w:val="0"/>
      <w:sz w:val="20"/>
    </w:rPr>
  </w:style>
  <w:style w:type="paragraph" w:customStyle="1" w:styleId="xl151">
    <w:name w:val="xl151"/>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2">
    <w:name w:val="xl152"/>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3">
    <w:name w:val="xl15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4">
    <w:name w:val="xl15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5">
    <w:name w:val="xl155"/>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6">
    <w:name w:val="xl15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57">
    <w:name w:val="xl157"/>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58">
    <w:name w:val="xl158"/>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9">
    <w:name w:val="xl15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0">
    <w:name w:val="xl16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1">
    <w:name w:val="xl161"/>
    <w:basedOn w:val="af8"/>
    <w:qFormat/>
    <w:rsid w:val="00722DFE"/>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2">
    <w:name w:val="xl162"/>
    <w:basedOn w:val="af8"/>
    <w:qFormat/>
    <w:rsid w:val="00722DFE"/>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3">
    <w:name w:val="xl163"/>
    <w:basedOn w:val="af8"/>
    <w:qFormat/>
    <w:rsid w:val="00722DFE"/>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4">
    <w:name w:val="xl16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6">
    <w:name w:val="xl166"/>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7">
    <w:name w:val="xl167"/>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68">
    <w:name w:val="xl168"/>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9">
    <w:name w:val="xl16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0">
    <w:name w:val="xl17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1">
    <w:name w:val="xl171"/>
    <w:basedOn w:val="af8"/>
    <w:qFormat/>
    <w:rsid w:val="00722DFE"/>
    <w:pPr>
      <w:widowControl/>
      <w:pBdr>
        <w:top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2">
    <w:name w:val="xl172"/>
    <w:basedOn w:val="af8"/>
    <w:qFormat/>
    <w:rsid w:val="00722DFE"/>
    <w:pPr>
      <w:widowControl/>
      <w:pBdr>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3">
    <w:name w:val="xl173"/>
    <w:basedOn w:val="af8"/>
    <w:qFormat/>
    <w:rsid w:val="00722DFE"/>
    <w:pPr>
      <w:widowControl/>
      <w:pBdr>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4">
    <w:name w:val="xl174"/>
    <w:basedOn w:val="af8"/>
    <w:qFormat/>
    <w:rsid w:val="00722DFE"/>
    <w:pPr>
      <w:widowControl/>
      <w:pBdr>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5">
    <w:name w:val="xl175"/>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6">
    <w:name w:val="xl176"/>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7">
    <w:name w:val="xl177"/>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8">
    <w:name w:val="xl178"/>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9">
    <w:name w:val="xl17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0">
    <w:name w:val="xl180"/>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1">
    <w:name w:val="xl181"/>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82">
    <w:name w:val="xl18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83">
    <w:name w:val="xl183"/>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4">
    <w:name w:val="xl18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85">
    <w:name w:val="xl185"/>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6">
    <w:name w:val="xl18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1013">
    <w:name w:val="样式 10 磅13"/>
    <w:uiPriority w:val="99"/>
    <w:qFormat/>
    <w:rsid w:val="00722DFE"/>
    <w:pPr>
      <w:widowControl w:val="0"/>
      <w:spacing w:after="160" w:line="276" w:lineRule="auto"/>
      <w:jc w:val="both"/>
    </w:pPr>
    <w:rPr>
      <w:rFonts w:ascii="Times New Roman" w:eastAsia="宋体" w:hAnsi="Times New Roman" w:cs="Times New Roman"/>
      <w:szCs w:val="24"/>
    </w:rPr>
  </w:style>
  <w:style w:type="paragraph" w:customStyle="1" w:styleId="BECC">
    <w:name w:val="!BECC正文"/>
    <w:basedOn w:val="af8"/>
    <w:link w:val="BECCChar"/>
    <w:qFormat/>
    <w:rsid w:val="00722DFE"/>
    <w:pPr>
      <w:widowControl/>
      <w:tabs>
        <w:tab w:val="left" w:pos="0"/>
      </w:tabs>
      <w:spacing w:after="160" w:line="360" w:lineRule="auto"/>
      <w:ind w:firstLineChars="200" w:firstLine="200"/>
      <w:contextualSpacing/>
      <w:jc w:val="left"/>
    </w:pPr>
    <w:rPr>
      <w:rFonts w:ascii="Calibri" w:hAnsi="Calibri"/>
      <w:szCs w:val="24"/>
      <w:lang w:val="zh-CN"/>
    </w:rPr>
  </w:style>
  <w:style w:type="character" w:customStyle="1" w:styleId="font112">
    <w:name w:val="font112"/>
    <w:basedOn w:val="afa"/>
    <w:qFormat/>
    <w:rsid w:val="00722DFE"/>
    <w:rPr>
      <w:rFonts w:ascii="宋体" w:eastAsia="宋体" w:hAnsi="宋体" w:cs="宋体" w:hint="eastAsia"/>
      <w:color w:val="000000"/>
      <w:sz w:val="20"/>
      <w:szCs w:val="20"/>
      <w:u w:val="none"/>
    </w:rPr>
  </w:style>
  <w:style w:type="paragraph" w:customStyle="1" w:styleId="Revision28716dda-cb4a-44e3-be78-33d35a55d4a0">
    <w:name w:val="Revision_28716dda-cb4a-44e3-be78-33d35a55d4a0"/>
    <w:uiPriority w:val="99"/>
    <w:qFormat/>
    <w:rsid w:val="00722DFE"/>
    <w:rPr>
      <w:rFonts w:ascii="Calibri" w:eastAsia="宋体" w:hAnsi="Calibri" w:cs="Times New Roman"/>
      <w:szCs w:val="24"/>
    </w:rPr>
  </w:style>
  <w:style w:type="paragraph" w:customStyle="1" w:styleId="223">
    <w:name w:val="修订22"/>
    <w:uiPriority w:val="99"/>
    <w:qFormat/>
    <w:rsid w:val="00722DFE"/>
    <w:rPr>
      <w:rFonts w:ascii="Times New Roman" w:eastAsia="宋体" w:hAnsi="Times New Roman" w:cs="Times New Roman"/>
      <w:szCs w:val="21"/>
    </w:rPr>
  </w:style>
  <w:style w:type="paragraph" w:customStyle="1" w:styleId="Style377">
    <w:name w:val="_Style 377"/>
    <w:basedOn w:val="af8"/>
    <w:next w:val="afff6"/>
    <w:uiPriority w:val="1"/>
    <w:qFormat/>
    <w:rsid w:val="00722DFE"/>
    <w:pPr>
      <w:spacing w:before="43" w:after="160" w:line="278" w:lineRule="auto"/>
      <w:ind w:left="386" w:hanging="266"/>
    </w:pPr>
    <w:rPr>
      <w:rFonts w:ascii="宋体" w:hAnsi="宋体" w:cs="宋体"/>
      <w:szCs w:val="22"/>
      <w:lang w:val="zh-CN" w:bidi="zh-CN"/>
    </w:rPr>
  </w:style>
  <w:style w:type="character" w:customStyle="1" w:styleId="2fff">
    <w:name w:val="正文文本缩进 2 字符"/>
    <w:qFormat/>
    <w:rsid w:val="00722DFE"/>
    <w:rPr>
      <w:rFonts w:ascii="宋体" w:hAnsi="宋体"/>
      <w:kern w:val="2"/>
      <w:sz w:val="30"/>
      <w:szCs w:val="24"/>
    </w:rPr>
  </w:style>
  <w:style w:type="character" w:customStyle="1" w:styleId="afffffffffff">
    <w:name w:val="正文文本 字符"/>
    <w:qFormat/>
    <w:rsid w:val="00722DFE"/>
    <w:rPr>
      <w:kern w:val="2"/>
      <w:sz w:val="21"/>
      <w:szCs w:val="24"/>
    </w:rPr>
  </w:style>
  <w:style w:type="paragraph" w:customStyle="1" w:styleId="Style386">
    <w:name w:val="_Style 386"/>
    <w:basedOn w:val="af8"/>
    <w:next w:val="afff6"/>
    <w:uiPriority w:val="34"/>
    <w:qFormat/>
    <w:rsid w:val="00722DFE"/>
    <w:pPr>
      <w:spacing w:after="160" w:line="278" w:lineRule="auto"/>
      <w:ind w:firstLineChars="200" w:firstLine="420"/>
    </w:pPr>
    <w:rPr>
      <w:rFonts w:ascii="Calibri" w:hAnsi="Calibri"/>
      <w:szCs w:val="24"/>
    </w:rPr>
  </w:style>
  <w:style w:type="paragraph" w:customStyle="1" w:styleId="3f4">
    <w:name w:val="正文3"/>
    <w:uiPriority w:val="99"/>
    <w:qFormat/>
    <w:rsid w:val="00722DFE"/>
    <w:pPr>
      <w:spacing w:after="160" w:line="278" w:lineRule="auto"/>
      <w:jc w:val="both"/>
    </w:pPr>
    <w:rPr>
      <w:rFonts w:ascii="Calibri" w:eastAsia="宋体" w:hAnsi="Calibri" w:cs="Calibri"/>
      <w:szCs w:val="21"/>
    </w:rPr>
  </w:style>
  <w:style w:type="paragraph" w:customStyle="1" w:styleId="Style389">
    <w:name w:val="_Style 389"/>
    <w:basedOn w:val="af8"/>
    <w:next w:val="afff6"/>
    <w:uiPriority w:val="34"/>
    <w:qFormat/>
    <w:rsid w:val="00722DFE"/>
    <w:pPr>
      <w:spacing w:after="160" w:line="278" w:lineRule="auto"/>
      <w:ind w:firstLineChars="200" w:firstLine="420"/>
    </w:pPr>
    <w:rPr>
      <w:rFonts w:ascii="Calibri" w:hAnsi="Calibri"/>
      <w:szCs w:val="24"/>
    </w:rPr>
  </w:style>
  <w:style w:type="character" w:customStyle="1" w:styleId="HTMLChar0">
    <w:name w:val="HTML 预先格式化 Char"/>
    <w:link w:val="HTML3"/>
    <w:qFormat/>
    <w:rsid w:val="00722DFE"/>
    <w:rPr>
      <w:rFonts w:ascii="黑体" w:eastAsia="黑体" w:hAnsi="Courier New"/>
    </w:rPr>
  </w:style>
  <w:style w:type="paragraph" w:customStyle="1" w:styleId="HTML3">
    <w:name w:val="HTML 预先格式化"/>
    <w:basedOn w:val="af8"/>
    <w:link w:val="HTMLChar0"/>
    <w:qFormat/>
    <w:rsid w:val="00722D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8" w:lineRule="auto"/>
      <w:jc w:val="left"/>
    </w:pPr>
    <w:rPr>
      <w:rFonts w:ascii="黑体" w:eastAsia="黑体" w:hAnsi="Courier New" w:cstheme="minorBidi"/>
      <w:szCs w:val="22"/>
    </w:rPr>
  </w:style>
  <w:style w:type="character" w:customStyle="1" w:styleId="BECCChar">
    <w:name w:val="!BECC正文 Char"/>
    <w:link w:val="BECC"/>
    <w:qFormat/>
    <w:rsid w:val="00722DFE"/>
    <w:rPr>
      <w:rFonts w:ascii="Calibri" w:eastAsia="宋体" w:hAnsi="Calibri" w:cs="Times New Roman"/>
      <w:szCs w:val="24"/>
      <w:lang w:val="zh-CN"/>
    </w:rPr>
  </w:style>
  <w:style w:type="character" w:customStyle="1" w:styleId="085Char">
    <w:name w:val="首行缩进:  0.85 厘米 Char"/>
    <w:link w:val="085"/>
    <w:qFormat/>
    <w:rsid w:val="00722DFE"/>
    <w:rPr>
      <w:rFonts w:cs="宋体"/>
      <w:sz w:val="24"/>
      <w:lang w:eastAsia="en-US" w:bidi="en-US"/>
    </w:rPr>
  </w:style>
  <w:style w:type="paragraph" w:customStyle="1" w:styleId="085">
    <w:name w:val="首行缩进:  0.85 厘米"/>
    <w:basedOn w:val="af8"/>
    <w:link w:val="085Char"/>
    <w:qFormat/>
    <w:rsid w:val="00722DFE"/>
    <w:pPr>
      <w:widowControl/>
      <w:spacing w:after="100" w:line="360" w:lineRule="auto"/>
      <w:ind w:firstLine="482"/>
      <w:jc w:val="left"/>
    </w:pPr>
    <w:rPr>
      <w:rFonts w:asciiTheme="minorHAnsi" w:eastAsiaTheme="minorEastAsia" w:hAnsiTheme="minorHAnsi" w:cs="宋体"/>
      <w:sz w:val="24"/>
      <w:szCs w:val="22"/>
      <w:lang w:eastAsia="en-US" w:bidi="en-US"/>
    </w:rPr>
  </w:style>
  <w:style w:type="paragraph" w:customStyle="1" w:styleId="afffffffffff0">
    <w:name w:val="左对齐的表内文字"/>
    <w:basedOn w:val="af8"/>
    <w:qFormat/>
    <w:rsid w:val="00722DFE"/>
    <w:pPr>
      <w:widowControl/>
      <w:spacing w:after="200" w:line="276" w:lineRule="auto"/>
      <w:jc w:val="left"/>
    </w:pPr>
    <w:rPr>
      <w:rFonts w:ascii="Calibri" w:eastAsia="仿宋_GB2312" w:hAnsi="Calibri" w:cs="宋体"/>
      <w:kern w:val="0"/>
      <w:sz w:val="22"/>
      <w:szCs w:val="24"/>
    </w:rPr>
  </w:style>
  <w:style w:type="table" w:customStyle="1" w:styleId="3f5">
    <w:name w:val="网格型3"/>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网格型4"/>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网格型6"/>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网格型7"/>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三级标题"/>
    <w:basedOn w:val="afffffffe"/>
    <w:qFormat/>
    <w:rsid w:val="00722DFE"/>
    <w:pPr>
      <w:keepLines w:val="0"/>
      <w:spacing w:beforeLines="100" w:afterLines="100" w:after="160"/>
      <w:contextualSpacing w:val="0"/>
      <w:jc w:val="left"/>
      <w:outlineLvl w:val="2"/>
    </w:pPr>
    <w:rPr>
      <w:rFonts w:ascii="Times New Roman" w:hAnsi="Times New Roman" w:cs="Times New Roman"/>
      <w:b/>
      <w:sz w:val="24"/>
      <w:szCs w:val="24"/>
    </w:rPr>
  </w:style>
  <w:style w:type="paragraph" w:customStyle="1" w:styleId="afffffffffff2">
    <w:name w:val="五级标题"/>
    <w:basedOn w:val="affffffff"/>
    <w:qFormat/>
    <w:rsid w:val="00722DFE"/>
    <w:pPr>
      <w:widowControl w:val="0"/>
      <w:tabs>
        <w:tab w:val="clear" w:pos="432"/>
        <w:tab w:val="clear" w:pos="720"/>
        <w:tab w:val="clear" w:pos="851"/>
      </w:tabs>
      <w:spacing w:beforeLines="100" w:afterLines="100" w:after="160" w:line="360" w:lineRule="auto"/>
      <w:ind w:rightChars="0" w:right="0"/>
      <w:outlineLvl w:val="4"/>
    </w:pPr>
    <w:rPr>
      <w:rFonts w:ascii="Times New Roman" w:eastAsia="黑体" w:hAnsi="Times New Roman" w:cs="Times New Roman"/>
      <w:bCs w:val="0"/>
      <w:sz w:val="24"/>
      <w:szCs w:val="24"/>
    </w:rPr>
  </w:style>
  <w:style w:type="paragraph" w:customStyle="1" w:styleId="afffffffffff3">
    <w:name w:val="六级标题"/>
    <w:basedOn w:val="afffffffffff2"/>
    <w:qFormat/>
    <w:rsid w:val="00722DFE"/>
    <w:pPr>
      <w:outlineLvl w:val="5"/>
    </w:pPr>
  </w:style>
  <w:style w:type="paragraph" w:customStyle="1" w:styleId="Revisionedd2a0bf-085b-4d36-ad3c-b3f7770a2063">
    <w:name w:val="Revision_edd2a0bf-085b-4d36-ad3c-b3f7770a2063"/>
    <w:uiPriority w:val="99"/>
    <w:qFormat/>
    <w:rsid w:val="00722DFE"/>
    <w:rPr>
      <w:rFonts w:ascii="Calibri" w:eastAsia="宋体" w:hAnsi="Calibri" w:cs="Times New Roman"/>
      <w:szCs w:val="24"/>
    </w:rPr>
  </w:style>
  <w:style w:type="paragraph" w:customStyle="1" w:styleId="1210">
    <w:name w:val="修订121"/>
    <w:uiPriority w:val="99"/>
    <w:qFormat/>
    <w:rsid w:val="00722DFE"/>
    <w:rPr>
      <w:rFonts w:ascii="Times New Roman" w:eastAsia="宋体" w:hAnsi="Times New Roman" w:cs="Times New Roman"/>
      <w:szCs w:val="24"/>
    </w:rPr>
  </w:style>
  <w:style w:type="paragraph" w:customStyle="1" w:styleId="131">
    <w:name w:val="修订13"/>
    <w:uiPriority w:val="99"/>
    <w:qFormat/>
    <w:rsid w:val="00722DFE"/>
    <w:rPr>
      <w:rFonts w:ascii="Times New Roman" w:eastAsia="宋体" w:hAnsi="Times New Roman" w:cs="Times New Roman"/>
      <w:szCs w:val="24"/>
    </w:rPr>
  </w:style>
  <w:style w:type="paragraph" w:customStyle="1" w:styleId="141">
    <w:name w:val="修订14"/>
    <w:uiPriority w:val="99"/>
    <w:qFormat/>
    <w:rsid w:val="00722DFE"/>
    <w:rPr>
      <w:rFonts w:ascii="Times New Roman" w:eastAsia="宋体" w:hAnsi="Times New Roman" w:cs="Times New Roman"/>
      <w:szCs w:val="24"/>
    </w:rPr>
  </w:style>
  <w:style w:type="paragraph" w:customStyle="1" w:styleId="152">
    <w:name w:val="修订15"/>
    <w:uiPriority w:val="99"/>
    <w:rsid w:val="00722DFE"/>
    <w:rPr>
      <w:rFonts w:ascii="Times New Roman" w:eastAsia="宋体" w:hAnsi="Times New Roman" w:cs="Times New Roman"/>
      <w:szCs w:val="24"/>
    </w:rPr>
  </w:style>
  <w:style w:type="paragraph" w:customStyle="1" w:styleId="161">
    <w:name w:val="修订16"/>
    <w:hidden/>
    <w:uiPriority w:val="99"/>
    <w:unhideWhenUsed/>
    <w:rsid w:val="00722DF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46</Pages>
  <Words>5766</Words>
  <Characters>32869</Characters>
  <Application>Microsoft Office Word</Application>
  <DocSecurity>0</DocSecurity>
  <Lines>273</Lines>
  <Paragraphs>77</Paragraphs>
  <ScaleCrop>false</ScaleCrop>
  <Company/>
  <LinksUpToDate>false</LinksUpToDate>
  <CharactersWithSpaces>38558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19</cp:revision>
  <dcterms:created xsi:type="dcterms:W3CDTF">2021-01-14T01:30:00Z</dcterms:created>
  <dcterms:modified xsi:type="dcterms:W3CDTF">2026-08-03T10:24:00Z</dcterms:modified>
</cp:coreProperties>
</file>